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AC50" w14:textId="33FDA2D8" w:rsidR="00CC3EF1" w:rsidRDefault="00CC3EF1" w:rsidP="00F97097">
      <w:pPr>
        <w:jc w:val="left"/>
        <w:rPr>
          <w:b/>
          <w:bCs/>
        </w:rPr>
      </w:pPr>
      <w:r w:rsidRPr="00F12AE7">
        <w:rPr>
          <w:b/>
          <w:bCs/>
        </w:rPr>
        <w:t>Les perspectives d'encadrement des technologies quantiques</w:t>
      </w:r>
      <w:r>
        <w:rPr>
          <w:b/>
          <w:bCs/>
        </w:rPr>
        <w:t> : les usages des technologies quantiques</w:t>
      </w:r>
    </w:p>
    <w:p w14:paraId="63D6D0F5" w14:textId="77777777" w:rsidR="00F97097" w:rsidRDefault="00F97097" w:rsidP="00F97097">
      <w:pPr>
        <w:jc w:val="left"/>
        <w:rPr>
          <w:b/>
          <w:bCs/>
        </w:rPr>
      </w:pPr>
    </w:p>
    <w:p w14:paraId="170B33C2" w14:textId="147E1260" w:rsidR="00F97097" w:rsidRPr="00F97097" w:rsidRDefault="00F97097" w:rsidP="00F97097">
      <w:pPr>
        <w:jc w:val="left"/>
        <w:rPr>
          <w:rFonts w:cs="Times New Roman"/>
          <w:b/>
          <w:bCs/>
        </w:rPr>
      </w:pPr>
      <w:r w:rsidRPr="00F97097">
        <w:rPr>
          <w:rFonts w:cs="Times New Roman"/>
          <w:b/>
          <w:bCs/>
        </w:rPr>
        <w:t>Raphaël MAUREL</w:t>
      </w:r>
    </w:p>
    <w:p w14:paraId="1904DC2C" w14:textId="38591E3B" w:rsidR="00F97097" w:rsidRPr="00F97097" w:rsidRDefault="00F97097" w:rsidP="00F97097">
      <w:pPr>
        <w:jc w:val="left"/>
        <w:rPr>
          <w:rFonts w:cs="Times New Roman"/>
        </w:rPr>
      </w:pPr>
      <w:r w:rsidRPr="00F97097">
        <w:rPr>
          <w:rFonts w:cs="Times New Roman"/>
        </w:rPr>
        <w:t>Ma</w:t>
      </w:r>
      <w:r w:rsidR="006914A1">
        <w:rPr>
          <w:rFonts w:cs="Times New Roman"/>
        </w:rPr>
        <w:t>ître de confé</w:t>
      </w:r>
      <w:r w:rsidRPr="00F97097">
        <w:rPr>
          <w:rFonts w:cs="Times New Roman"/>
        </w:rPr>
        <w:t xml:space="preserve">rences HDR en droit public </w:t>
      </w:r>
      <w:proofErr w:type="spellStart"/>
      <w:r w:rsidRPr="00F97097">
        <w:rPr>
          <w:rFonts w:cs="Times New Roman"/>
        </w:rPr>
        <w:t>a</w:t>
      </w:r>
      <w:proofErr w:type="spellEnd"/>
      <w:r w:rsidRPr="00F97097">
        <w:rPr>
          <w:rFonts w:cs="Times New Roman"/>
        </w:rPr>
        <w:t xml:space="preserve"> l’</w:t>
      </w:r>
      <w:r>
        <w:rPr>
          <w:rFonts w:cs="Times New Roman"/>
        </w:rPr>
        <w:t>u</w:t>
      </w:r>
      <w:r w:rsidRPr="00F97097">
        <w:rPr>
          <w:rFonts w:cs="Times New Roman"/>
        </w:rPr>
        <w:t>niversi</w:t>
      </w:r>
      <w:r>
        <w:rPr>
          <w:rFonts w:cs="Times New Roman"/>
        </w:rPr>
        <w:t>té</w:t>
      </w:r>
      <w:r w:rsidRPr="00F97097">
        <w:rPr>
          <w:rFonts w:cs="Times New Roman"/>
        </w:rPr>
        <w:t xml:space="preserve"> Bourgogne Europe – CREDIMI</w:t>
      </w:r>
    </w:p>
    <w:p w14:paraId="03EFE2D3" w14:textId="13A27E05" w:rsidR="00F97097" w:rsidRPr="00F97097" w:rsidRDefault="00F97097" w:rsidP="00F97097">
      <w:pPr>
        <w:jc w:val="left"/>
        <w:rPr>
          <w:rFonts w:cs="Times New Roman"/>
        </w:rPr>
      </w:pPr>
      <w:r w:rsidRPr="00F97097">
        <w:rPr>
          <w:rFonts w:cs="Times New Roman"/>
        </w:rPr>
        <w:t xml:space="preserve">Chaire Encadrement </w:t>
      </w:r>
      <w:r w:rsidR="006914A1">
        <w:rPr>
          <w:rFonts w:cs="Times New Roman"/>
        </w:rPr>
        <w:t>é</w:t>
      </w:r>
      <w:r w:rsidRPr="00F97097">
        <w:rPr>
          <w:rFonts w:cs="Times New Roman"/>
        </w:rPr>
        <w:t>thique et juridique des technologies quantiques a l’Institut Universitaire de France</w:t>
      </w:r>
    </w:p>
    <w:p w14:paraId="567E0F6B" w14:textId="77777777" w:rsidR="00CC3EF1" w:rsidRDefault="00CC3EF1" w:rsidP="00CC3EF1">
      <w:pPr>
        <w:rPr>
          <w:b/>
          <w:bCs/>
        </w:rPr>
      </w:pPr>
    </w:p>
    <w:p w14:paraId="6878A1B6" w14:textId="77777777" w:rsidR="00CC3EF1" w:rsidRDefault="00CC3EF1" w:rsidP="00CC3EF1">
      <w:pPr>
        <w:rPr>
          <w:b/>
          <w:bCs/>
        </w:rPr>
      </w:pPr>
    </w:p>
    <w:p w14:paraId="5D28842C" w14:textId="4C8CBAEC" w:rsidR="009E68E0" w:rsidRDefault="009E68E0" w:rsidP="00CC3EF1">
      <w:r>
        <w:t>Ce second volet de l’étude proposée des perspectives d’encadrement des technologies quantiques</w:t>
      </w:r>
      <w:r>
        <w:rPr>
          <w:rStyle w:val="Appelnotedebasdep"/>
        </w:rPr>
        <w:footnoteReference w:id="1"/>
      </w:r>
      <w:r>
        <w:t xml:space="preserve"> vise à interroger, de manière prospective, le rôle du droit dans l’encadrement non plus</w:t>
      </w:r>
      <w:r w:rsidR="0006076B">
        <w:t xml:space="preserve"> exclusivement</w:t>
      </w:r>
      <w:r>
        <w:t xml:space="preserve"> du développement, mais des usages des technologies quantiques. </w:t>
      </w:r>
      <w:r w:rsidR="00DB64EE">
        <w:t xml:space="preserve">La démarche ici suivie est donc </w:t>
      </w:r>
      <w:r w:rsidR="00F97097">
        <w:t xml:space="preserve">résolument </w:t>
      </w:r>
      <w:r w:rsidR="00DB64EE" w:rsidRPr="00944B30">
        <w:t>prescriptiviste : il ne s’agit pas d’analyser le droit positif applicable aux usages des technologies quantiques, lequel est particulièrement peu dense et surtout peu théorisé à l’heure actuelle. L’exercice consiste plutôt à identifier des méthodes de raisonnement juridique devant ou pouvant être mobilisées afin de mettre en place les conditions de l’encadrement à venir. Cette contribution s’inscrit dès lors dans une perspective prescriptiviste, particulièreme</w:t>
      </w:r>
      <w:r w:rsidR="007E4249" w:rsidRPr="00944B30">
        <w:t xml:space="preserve">nt </w:t>
      </w:r>
      <w:r w:rsidR="00DB64EE" w:rsidRPr="00944B30">
        <w:t>dans la mesure où</w:t>
      </w:r>
      <w:r w:rsidR="00DB64EE">
        <w:t xml:space="preserve"> elle propose une combinaison d’approches en vue d’atteindre l’objectif visé – un encadrement limitant les risques des technologies quantiques.</w:t>
      </w:r>
    </w:p>
    <w:p w14:paraId="2212ACAF" w14:textId="77777777" w:rsidR="0006076B" w:rsidRDefault="0006076B" w:rsidP="00CC3EF1"/>
    <w:p w14:paraId="6C61AACB" w14:textId="518EC507" w:rsidR="00C17513" w:rsidRDefault="00C17513" w:rsidP="00CC3EF1">
      <w:r>
        <w:t>L’analyse contemporaine du droit du numérique privilégie</w:t>
      </w:r>
      <w:r w:rsidR="00B403A5">
        <w:t>, qu’il s’agisse d’étudier son contenu en vigueur (démarche positiviste) ou son contenu souhaitable (démarche prescriptiviste)</w:t>
      </w:r>
      <w:r w:rsidR="00944B30">
        <w:t>,</w:t>
      </w:r>
      <w:r w:rsidR="00B403A5">
        <w:t xml:space="preserve"> </w:t>
      </w:r>
      <w:r>
        <w:t xml:space="preserve">un raisonnement juridique binaire prenant pour point de départ la recension des usages actuels et possibles des technologies étudiées. Ainsi, il s’agit d’abord d’identifier des cas d’usage de telle ou telle nouvelle technologie, avant d’étudier dans un second temps les règles de droit positif applicables </w:t>
      </w:r>
      <w:r w:rsidR="00630159">
        <w:t xml:space="preserve">aux risques suscités par l’usage </w:t>
      </w:r>
      <w:r>
        <w:t>en question. Dans la mesure où les cas d’usage des technologies quantiques restent dans l’ensemble de l’ordre de l’hypothèse, il est néanmoins nécessaire de poser la question différemment</w:t>
      </w:r>
      <w:r w:rsidR="006E253F">
        <w:t xml:space="preserve"> : </w:t>
      </w:r>
      <w:r>
        <w:t>il est</w:t>
      </w:r>
      <w:r w:rsidR="00630159">
        <w:t xml:space="preserve"> encore</w:t>
      </w:r>
      <w:r>
        <w:t>, à ce stade, possible</w:t>
      </w:r>
      <w:r w:rsidR="000A206D">
        <w:t xml:space="preserve"> (et souhaitable)</w:t>
      </w:r>
      <w:r>
        <w:t xml:space="preserve"> de poser d’abord celle de la méthode d’encadrement</w:t>
      </w:r>
      <w:r w:rsidR="006E253F">
        <w:t>.</w:t>
      </w:r>
    </w:p>
    <w:p w14:paraId="14573EC5" w14:textId="77777777" w:rsidR="00CC3EF1" w:rsidRDefault="00CC3EF1" w:rsidP="00CC3EF1"/>
    <w:p w14:paraId="0EFEF7F1" w14:textId="50A67FA1" w:rsidR="007714C8" w:rsidRDefault="002A5A16" w:rsidP="00CC3EF1">
      <w:r>
        <w:t xml:space="preserve">Une méthode d’analyse et d’encadrement, en droit du numérique, </w:t>
      </w:r>
      <w:r w:rsidR="007714C8">
        <w:t>rencontre un grand succès en Europe : l’approche par les risques (</w:t>
      </w:r>
      <w:r w:rsidR="006E253F">
        <w:t>I</w:t>
      </w:r>
      <w:r w:rsidR="007714C8">
        <w:t>). Il existe néanmoins des raisons de penser que d’autres approches sont nécessaires</w:t>
      </w:r>
      <w:r w:rsidR="008F0ED1">
        <w:t xml:space="preserve"> s’agissant des technologies quantiques</w:t>
      </w:r>
      <w:r w:rsidR="007714C8">
        <w:t xml:space="preserve"> (</w:t>
      </w:r>
      <w:r w:rsidR="006E253F">
        <w:t>II</w:t>
      </w:r>
      <w:r w:rsidR="007714C8">
        <w:t>).</w:t>
      </w:r>
    </w:p>
    <w:p w14:paraId="0757AED7" w14:textId="77777777" w:rsidR="007714C8" w:rsidRDefault="007714C8" w:rsidP="00CC3EF1"/>
    <w:p w14:paraId="720FD298" w14:textId="5F4A2579" w:rsidR="00CC3EF1" w:rsidRPr="006E253F" w:rsidRDefault="006E253F" w:rsidP="006E253F">
      <w:pPr>
        <w:rPr>
          <w:b/>
          <w:bCs/>
        </w:rPr>
      </w:pPr>
      <w:r>
        <w:rPr>
          <w:b/>
          <w:bCs/>
        </w:rPr>
        <w:t>I.</w:t>
      </w:r>
      <w:r w:rsidR="006914A1">
        <w:rPr>
          <w:b/>
          <w:bCs/>
        </w:rPr>
        <w:t> </w:t>
      </w:r>
      <w:r>
        <w:rPr>
          <w:b/>
          <w:bCs/>
        </w:rPr>
        <w:t>L’approche</w:t>
      </w:r>
      <w:r w:rsidR="00CC3EF1" w:rsidRPr="006E253F">
        <w:rPr>
          <w:b/>
          <w:bCs/>
        </w:rPr>
        <w:t xml:space="preserve"> par </w:t>
      </w:r>
      <w:proofErr w:type="gramStart"/>
      <w:r w:rsidR="00CC3EF1" w:rsidRPr="006E253F">
        <w:rPr>
          <w:b/>
          <w:bCs/>
        </w:rPr>
        <w:t>les risques</w:t>
      </w:r>
      <w:r>
        <w:rPr>
          <w:b/>
          <w:bCs/>
        </w:rPr>
        <w:t xml:space="preserve"> appliquée</w:t>
      </w:r>
      <w:proofErr w:type="gramEnd"/>
      <w:r>
        <w:rPr>
          <w:b/>
          <w:bCs/>
        </w:rPr>
        <w:t xml:space="preserve"> aux usages des technologies quantiques</w:t>
      </w:r>
    </w:p>
    <w:p w14:paraId="640F18E9" w14:textId="77777777" w:rsidR="00CC3EF1" w:rsidRDefault="00CC3EF1" w:rsidP="00CC3EF1"/>
    <w:p w14:paraId="323BA10D" w14:textId="19769F09" w:rsidR="00CC3EF1" w:rsidRDefault="00545108" w:rsidP="00545108">
      <w:r w:rsidRPr="00545108">
        <w:t>L’approche par les risques, « </w:t>
      </w:r>
      <w:r w:rsidRPr="00F97097">
        <w:rPr>
          <w:i/>
          <w:iCs/>
        </w:rPr>
        <w:t>qu’ils soient technologiques ou naturels, vise à concilier, d’une part, un objectif de liberté (économique, sociale) et de promotion de l’innovation avec, d’autre part, l’exigence de protection d’intérêts individuels (santé, sécurité, propriété, etc.) ou collectif (environnement, sécurité, dignité, etc.)</w:t>
      </w:r>
      <w:r>
        <w:rPr>
          <w:rStyle w:val="Appelnotedebasdep"/>
        </w:rPr>
        <w:footnoteReference w:id="2"/>
      </w:r>
      <w:r w:rsidR="00F97097" w:rsidRPr="00F97097">
        <w:rPr>
          <w:i/>
          <w:iCs/>
        </w:rPr>
        <w:t> </w:t>
      </w:r>
      <w:r w:rsidR="00F97097" w:rsidRPr="00F97097">
        <w:t>»</w:t>
      </w:r>
      <w:r w:rsidRPr="00545108">
        <w:t>. En ce sens, elle est une « </w:t>
      </w:r>
      <w:r w:rsidRPr="00F97097">
        <w:rPr>
          <w:i/>
          <w:iCs/>
        </w:rPr>
        <w:t>méthode de conciliation d’intérêts opposés</w:t>
      </w:r>
      <w:r w:rsidR="00B01744">
        <w:rPr>
          <w:rStyle w:val="Appelnotedebasdep"/>
        </w:rPr>
        <w:footnoteReference w:id="3"/>
      </w:r>
      <w:r w:rsidR="00F97097" w:rsidRPr="00F97097">
        <w:rPr>
          <w:i/>
          <w:iCs/>
        </w:rPr>
        <w:t> </w:t>
      </w:r>
      <w:r w:rsidR="00F97097" w:rsidRPr="00F97097">
        <w:t>»</w:t>
      </w:r>
      <w:r w:rsidRPr="00545108">
        <w:t xml:space="preserve"> qui est actuellement largement </w:t>
      </w:r>
      <w:r w:rsidR="00CC3EF1" w:rsidRPr="00545108">
        <w:t>privilégiée</w:t>
      </w:r>
      <w:r w:rsidRPr="00545108">
        <w:t xml:space="preserve"> en</w:t>
      </w:r>
      <w:r w:rsidR="00CC3EF1" w:rsidRPr="00545108">
        <w:t xml:space="preserve"> droit du numérique</w:t>
      </w:r>
      <w:r w:rsidRPr="00545108">
        <w:t>, à la fois par la doctrine prescriptiviste analysant les mesures qu’il conviendrait selon elle d’adopter face à telle ou telle évolution des pratiques et des besoins numériques, et par le législateur national et européen dans l’élaboration du droit positif.</w:t>
      </w:r>
      <w:r w:rsidR="0018390D">
        <w:t xml:space="preserve"> </w:t>
      </w:r>
      <w:r w:rsidR="002042EB">
        <w:t xml:space="preserve">Il paraît, dans cette mesure, tout à fait possible </w:t>
      </w:r>
      <w:proofErr w:type="gramStart"/>
      <w:r w:rsidR="002042EB">
        <w:lastRenderedPageBreak/>
        <w:t>de</w:t>
      </w:r>
      <w:proofErr w:type="gramEnd"/>
      <w:r w:rsidR="002042EB">
        <w:t xml:space="preserve"> l’appliquer aux technologies quantiques </w:t>
      </w:r>
      <w:r w:rsidR="002042EB" w:rsidRPr="00CB1DCA">
        <w:t>émergentes (A) ; un certain nombre de limites doivent néanmoins être mentionnées à ce propos (B).</w:t>
      </w:r>
    </w:p>
    <w:p w14:paraId="3108ED63" w14:textId="77777777" w:rsidR="002042EB" w:rsidRDefault="002042EB" w:rsidP="00545108"/>
    <w:p w14:paraId="76F37DC0" w14:textId="3901B25B" w:rsidR="002042EB" w:rsidRPr="002042EB" w:rsidRDefault="002042EB" w:rsidP="002042EB">
      <w:pPr>
        <w:pStyle w:val="Paragraphedeliste"/>
        <w:numPr>
          <w:ilvl w:val="0"/>
          <w:numId w:val="8"/>
        </w:numPr>
        <w:rPr>
          <w:b/>
          <w:bCs/>
        </w:rPr>
      </w:pPr>
      <w:r w:rsidRPr="002042EB">
        <w:rPr>
          <w:b/>
          <w:bCs/>
        </w:rPr>
        <w:t>L’application possible de l’approche par les risques</w:t>
      </w:r>
    </w:p>
    <w:p w14:paraId="419675D7" w14:textId="77777777" w:rsidR="0018390D" w:rsidRDefault="0018390D" w:rsidP="00545108"/>
    <w:p w14:paraId="0B342D19" w14:textId="5F8EDD69" w:rsidR="0018390D" w:rsidRDefault="0018390D" w:rsidP="00545108">
      <w:r>
        <w:t>Le point de départ d’une approche des technologies quantiques – et de leur régulation – par les risques réside dans l’identification de ces risques, laquelle s’appuie sur l’analyse des cas d’usage. Avant même de déterminer lesquels sont susceptibles de soulever des difficultés, c’est</w:t>
      </w:r>
      <w:r w:rsidR="00944B30">
        <w:noBreakHyphen/>
      </w:r>
      <w:r>
        <w:t>à-dire de donner lieu à des oppositions d’intérêts devant être conciliées, ces cas d’usage doivent être identifiés, et sont à cet égard eux-mêmes divisibles en trois catégories : les cas d’usage existant, probables et possibles. En matière de technologies quantiques, les cas d’usage relevant de la première catégorie sont pour l’instant peu nombreux, de sorte que l’approche par les risques ne peut pour l’essentiel se fonder que sur les cas probables (c’est-à-dire actuellement projetés et annoncés par les entités qui les développent) et les cas possibles (c’est-à-dire ne faisant pas nécessairement l’objet de recherches ou d’annonces spécifiques, mais étant susceptibles, selon diverses perspectives, d’être à terme développés). La démarche par les risques est donc, lorsque la technologie est seulement en cours de développement, particulièrement hasardeuse, ce qui constitue l’une de ses limites.</w:t>
      </w:r>
    </w:p>
    <w:p w14:paraId="0DBE9FCC" w14:textId="77777777" w:rsidR="0018390D" w:rsidRDefault="0018390D" w:rsidP="00545108"/>
    <w:p w14:paraId="75FB0BF3" w14:textId="13C42938" w:rsidR="00CC3EF1" w:rsidRDefault="0018390D" w:rsidP="00CC3EF1">
      <w:r>
        <w:t>Les principaux risques des technologies quantiques relèvent donc de la prospective appliquée à chacun des trois grands domaines que sont le calcul quantique, les communications quantiques et la détection quantique</w:t>
      </w:r>
      <w:r>
        <w:rPr>
          <w:rStyle w:val="Appelnotedebasdep"/>
        </w:rPr>
        <w:footnoteReference w:id="4"/>
      </w:r>
      <w:r>
        <w:t>.</w:t>
      </w:r>
      <w:r w:rsidR="003A4340">
        <w:t xml:space="preserve"> Pour n’en mentionner que quelques-uns, les cyberattaques menées par des ordinateurs dotés d’une puissance de calcul quantique </w:t>
      </w:r>
      <w:r w:rsidR="00174A1A">
        <w:t>sont</w:t>
      </w:r>
      <w:r w:rsidR="003A4340">
        <w:t xml:space="preserve"> l’un des principaux points d</w:t>
      </w:r>
      <w:r w:rsidR="00174A1A">
        <w:t>’inquiétude dans le monde,</w:t>
      </w:r>
      <w:r w:rsidR="003A4340">
        <w:t xml:space="preserve"> puisque les chiffrements actuels de l’ensemble de nos communications (militaires et diplomatiques comprises) reposent sur les capacités de calcul des ordinateurs classiques – et surtout sur leurs limites.</w:t>
      </w:r>
      <w:r w:rsidR="00174A1A">
        <w:t xml:space="preserve"> Le risque de voir l’ensemble des données d’un État, codes nucléaires inclus, dévoilé aux yeux d’une puissance étrangère dotée de capacités de calcul quantique constitue une hantise compréhensible.</w:t>
      </w:r>
      <w:r w:rsidR="003A4340">
        <w:t xml:space="preserve"> Une solution réside dans </w:t>
      </w:r>
      <w:r w:rsidR="00CC3EF1">
        <w:t>une migration</w:t>
      </w:r>
      <w:r w:rsidR="003A4340">
        <w:t xml:space="preserve"> globale vers des algorithmes de chiffrement</w:t>
      </w:r>
      <w:r w:rsidR="00CC3EF1">
        <w:t xml:space="preserve"> post</w:t>
      </w:r>
      <w:r w:rsidR="003A4340">
        <w:t>-</w:t>
      </w:r>
      <w:r w:rsidR="00CC3EF1">
        <w:t>quantiqu</w:t>
      </w:r>
      <w:r w:rsidR="003A4340">
        <w:t>es, que préfigure par exemple l’ANSSI</w:t>
      </w:r>
      <w:r w:rsidR="00174A1A">
        <w:rPr>
          <w:rStyle w:val="Appelnotedebasdep"/>
        </w:rPr>
        <w:footnoteReference w:id="5"/>
      </w:r>
      <w:r w:rsidR="00174A1A">
        <w:t xml:space="preserve"> mais qui ne pourra rien face au phénomène SNDL (« </w:t>
      </w:r>
      <w:r w:rsidR="00174A1A" w:rsidRPr="00F02CBB">
        <w:rPr>
          <w:i/>
          <w:iCs/>
        </w:rPr>
        <w:t xml:space="preserve">store </w:t>
      </w:r>
      <w:proofErr w:type="spellStart"/>
      <w:r w:rsidR="00174A1A" w:rsidRPr="00F02CBB">
        <w:rPr>
          <w:i/>
          <w:iCs/>
        </w:rPr>
        <w:t>now</w:t>
      </w:r>
      <w:proofErr w:type="spellEnd"/>
      <w:r w:rsidR="00174A1A" w:rsidRPr="00F02CBB">
        <w:rPr>
          <w:i/>
          <w:iCs/>
        </w:rPr>
        <w:t xml:space="preserve">, </w:t>
      </w:r>
      <w:proofErr w:type="spellStart"/>
      <w:r w:rsidR="00174A1A" w:rsidRPr="00F02CBB">
        <w:rPr>
          <w:i/>
          <w:iCs/>
        </w:rPr>
        <w:t>decrypt</w:t>
      </w:r>
      <w:proofErr w:type="spellEnd"/>
      <w:r w:rsidR="00174A1A" w:rsidRPr="00F02CBB">
        <w:rPr>
          <w:i/>
          <w:iCs/>
        </w:rPr>
        <w:t xml:space="preserve"> </w:t>
      </w:r>
      <w:proofErr w:type="spellStart"/>
      <w:r w:rsidR="00174A1A" w:rsidRPr="00F02CBB">
        <w:rPr>
          <w:i/>
          <w:iCs/>
        </w:rPr>
        <w:t>later</w:t>
      </w:r>
      <w:proofErr w:type="spellEnd"/>
      <w:r w:rsidR="00174A1A" w:rsidRPr="00F02CBB">
        <w:rPr>
          <w:i/>
          <w:iCs/>
        </w:rPr>
        <w:t> </w:t>
      </w:r>
      <w:r w:rsidR="00174A1A">
        <w:t>», parfois nommé « </w:t>
      </w:r>
      <w:proofErr w:type="spellStart"/>
      <w:r w:rsidR="00174A1A" w:rsidRPr="00F02CBB">
        <w:rPr>
          <w:i/>
          <w:iCs/>
        </w:rPr>
        <w:t>harvest</w:t>
      </w:r>
      <w:proofErr w:type="spellEnd"/>
      <w:r w:rsidR="00174A1A" w:rsidRPr="00F02CBB">
        <w:rPr>
          <w:i/>
          <w:iCs/>
        </w:rPr>
        <w:t xml:space="preserve"> </w:t>
      </w:r>
      <w:proofErr w:type="spellStart"/>
      <w:r w:rsidR="00174A1A" w:rsidRPr="00F02CBB">
        <w:rPr>
          <w:i/>
          <w:iCs/>
        </w:rPr>
        <w:t>now</w:t>
      </w:r>
      <w:proofErr w:type="spellEnd"/>
      <w:r w:rsidR="00174A1A" w:rsidRPr="00F02CBB">
        <w:rPr>
          <w:i/>
          <w:iCs/>
        </w:rPr>
        <w:t xml:space="preserve">, </w:t>
      </w:r>
      <w:proofErr w:type="spellStart"/>
      <w:r w:rsidR="00174A1A" w:rsidRPr="00F02CBB">
        <w:rPr>
          <w:i/>
          <w:iCs/>
        </w:rPr>
        <w:t>decrypt</w:t>
      </w:r>
      <w:proofErr w:type="spellEnd"/>
      <w:r w:rsidR="00174A1A" w:rsidRPr="00F02CBB">
        <w:rPr>
          <w:i/>
          <w:iCs/>
        </w:rPr>
        <w:t xml:space="preserve"> </w:t>
      </w:r>
      <w:proofErr w:type="spellStart"/>
      <w:r w:rsidR="00174A1A" w:rsidRPr="00F02CBB">
        <w:rPr>
          <w:i/>
          <w:iCs/>
        </w:rPr>
        <w:t>later</w:t>
      </w:r>
      <w:proofErr w:type="spellEnd"/>
      <w:r w:rsidR="00174A1A">
        <w:t> »</w:t>
      </w:r>
      <w:r w:rsidR="00174A1A">
        <w:rPr>
          <w:rStyle w:val="Appelnotedebasdep"/>
        </w:rPr>
        <w:footnoteReference w:id="6"/>
      </w:r>
      <w:r w:rsidR="00174A1A">
        <w:t>). S’agissant du calcul quantique, d’autres risques peuvent être relevés, à l’instar du risque de privatisation de ces technologies échappant ainsi aux États à la prééminence de l’intérêt général, ou encore de celui d’u</w:t>
      </w:r>
      <w:r w:rsidR="00F02CBB">
        <w:t xml:space="preserve">n accès limite à quelques États « dotés » au détriment du reste de l’humanité. Les capteurs quantiques ouvrent pour leur part la possibilité de formidables avancées en matière de développement scientifique (exploration de l’espace, précision médicale) et militaire (renseignement, exploration sous-marine ou encore surveillance aérienne), mais soulèvent d’emblée des possibilités de dérives </w:t>
      </w:r>
      <w:proofErr w:type="spellStart"/>
      <w:r w:rsidR="00F02CBB">
        <w:t>technosécuritaires</w:t>
      </w:r>
      <w:proofErr w:type="spellEnd"/>
      <w:r w:rsidR="00F02CBB">
        <w:t xml:space="preserve"> – on imagine aisément l’installation de milliers de caméras dotées de capteurs quantiques capables de déterminer la pression sanguine ou le pouls de foules entières, et de mesurer statistiquement la probabilité d’un passage à l’action hostile sur ces bases. Des risques pour les libertés publiques peuvent donc être anticipés ; on peut encore évoquer les risques environnementaux et énergétiques liés au développement de </w:t>
      </w:r>
      <w:proofErr w:type="gramStart"/>
      <w:r w:rsidR="00F02CBB">
        <w:lastRenderedPageBreak/>
        <w:t>technologies</w:t>
      </w:r>
      <w:proofErr w:type="gramEnd"/>
      <w:r w:rsidR="00F02CBB">
        <w:t xml:space="preserve"> qui s’ajouteront aux technologies existantes, dans un contexte où le poids du secteur du numérique</w:t>
      </w:r>
      <w:r w:rsidR="00F02CBB" w:rsidRPr="00F02CBB">
        <w:rPr>
          <w:rFonts w:cs="Times New Roman"/>
        </w:rPr>
        <w:t xml:space="preserve"> </w:t>
      </w:r>
      <w:r w:rsidR="00F02CBB">
        <w:rPr>
          <w:rFonts w:cs="Times New Roman"/>
        </w:rPr>
        <w:t xml:space="preserve">représentait déjà en 2022 </w:t>
      </w:r>
      <w:r w:rsidR="00F02CBB" w:rsidRPr="00671B20">
        <w:rPr>
          <w:rFonts w:cs="Times New Roman"/>
        </w:rPr>
        <w:t>4,4</w:t>
      </w:r>
      <w:r w:rsidR="006914A1">
        <w:rPr>
          <w:rFonts w:cs="Times New Roman"/>
        </w:rPr>
        <w:t> </w:t>
      </w:r>
      <w:r w:rsidR="00F02CBB" w:rsidRPr="00671B20">
        <w:rPr>
          <w:rFonts w:cs="Times New Roman"/>
        </w:rPr>
        <w:t xml:space="preserve">% de l’empreinte carbone nationale, se rapprochant du total des émissions du secteur des poids lourds en </w:t>
      </w:r>
      <w:r w:rsidR="00F02CBB">
        <w:rPr>
          <w:rFonts w:cs="Times New Roman"/>
        </w:rPr>
        <w:t>France, tandis que</w:t>
      </w:r>
      <w:r w:rsidR="00F02CBB" w:rsidRPr="00671B20">
        <w:rPr>
          <w:rFonts w:cs="Times New Roman"/>
        </w:rPr>
        <w:t xml:space="preserve"> 11</w:t>
      </w:r>
      <w:r w:rsidR="006914A1">
        <w:rPr>
          <w:rFonts w:cs="Times New Roman"/>
        </w:rPr>
        <w:t> %</w:t>
      </w:r>
      <w:r w:rsidR="00F02CBB" w:rsidRPr="00671B20">
        <w:rPr>
          <w:rFonts w:cs="Times New Roman"/>
        </w:rPr>
        <w:t xml:space="preserve"> de la production nationale d'électricité </w:t>
      </w:r>
      <w:r w:rsidR="00F02CBB">
        <w:rPr>
          <w:rFonts w:cs="Times New Roman"/>
        </w:rPr>
        <w:t>est déjà</w:t>
      </w:r>
      <w:r w:rsidR="00F02CBB" w:rsidRPr="00671B20">
        <w:rPr>
          <w:rFonts w:cs="Times New Roman"/>
        </w:rPr>
        <w:t xml:space="preserve"> dédiée au secteur numérique, le tout étant en accélération </w:t>
      </w:r>
      <w:r w:rsidR="00F02CBB">
        <w:rPr>
          <w:rFonts w:cs="Times New Roman"/>
        </w:rPr>
        <w:t>continue</w:t>
      </w:r>
      <w:r w:rsidR="00F02CBB">
        <w:rPr>
          <w:rStyle w:val="Appelnotedebasdep"/>
          <w:rFonts w:cs="Times New Roman"/>
        </w:rPr>
        <w:footnoteReference w:id="7"/>
      </w:r>
      <w:r w:rsidR="00F02CBB">
        <w:rPr>
          <w:rFonts w:cs="Times New Roman"/>
        </w:rPr>
        <w:t xml:space="preserve">. De manière plausible, des interrogations liées aux chaînes de </w:t>
      </w:r>
      <w:proofErr w:type="gramStart"/>
      <w:r w:rsidR="00F02CBB">
        <w:rPr>
          <w:rFonts w:cs="Times New Roman"/>
        </w:rPr>
        <w:t>dépendance générées</w:t>
      </w:r>
      <w:proofErr w:type="gramEnd"/>
      <w:r w:rsidR="00F02CBB">
        <w:rPr>
          <w:rFonts w:cs="Times New Roman"/>
        </w:rPr>
        <w:t xml:space="preserve"> par l’usage de ces technologies devraient également émerger, faisant émerger des risques sociaux, environnementaux, mais aussi en termes d’autonomie stratégique des États.</w:t>
      </w:r>
    </w:p>
    <w:p w14:paraId="5CE8E5E4" w14:textId="77777777" w:rsidR="00F02CBB" w:rsidRDefault="00F02CBB" w:rsidP="00CC3EF1"/>
    <w:p w14:paraId="5FA0E113" w14:textId="055A29FE" w:rsidR="006E253F" w:rsidRPr="006E253F" w:rsidRDefault="006E253F" w:rsidP="006E253F">
      <w:pPr>
        <w:ind w:firstLine="708"/>
        <w:rPr>
          <w:b/>
          <w:bCs/>
        </w:rPr>
      </w:pPr>
      <w:r w:rsidRPr="006E253F">
        <w:rPr>
          <w:b/>
          <w:bCs/>
        </w:rPr>
        <w:t>B.</w:t>
      </w:r>
      <w:r w:rsidR="006914A1">
        <w:rPr>
          <w:b/>
          <w:bCs/>
        </w:rPr>
        <w:t> </w:t>
      </w:r>
      <w:r w:rsidR="00C72877">
        <w:rPr>
          <w:b/>
          <w:bCs/>
        </w:rPr>
        <w:t>Quelques</w:t>
      </w:r>
      <w:r w:rsidRPr="006E253F">
        <w:rPr>
          <w:b/>
          <w:bCs/>
        </w:rPr>
        <w:t xml:space="preserve"> limites de l’approche par les risques</w:t>
      </w:r>
    </w:p>
    <w:p w14:paraId="0331A11A" w14:textId="77777777" w:rsidR="006E253F" w:rsidRDefault="006E253F" w:rsidP="00CC3EF1"/>
    <w:p w14:paraId="2CACD55A" w14:textId="6F09BA94" w:rsidR="00C72877" w:rsidRDefault="00F02CBB" w:rsidP="00CC3EF1">
      <w:r w:rsidRPr="003B5689">
        <w:t>Une approche par les risques permet donc d’en identifier de nombreux</w:t>
      </w:r>
      <w:r w:rsidR="003B5689" w:rsidRPr="003B5689">
        <w:t> ;</w:t>
      </w:r>
      <w:r w:rsidR="003B5689">
        <w:t xml:space="preserve"> elle n’en présente pas moins un certain nombre de limites. </w:t>
      </w:r>
      <w:r w:rsidR="00772206">
        <w:t xml:space="preserve">Arnaud </w:t>
      </w:r>
      <w:proofErr w:type="spellStart"/>
      <w:r w:rsidR="00772206">
        <w:t>Latil</w:t>
      </w:r>
      <w:proofErr w:type="spellEnd"/>
      <w:r w:rsidR="00772206">
        <w:t xml:space="preserve"> en indique plusieurs</w:t>
      </w:r>
      <w:r w:rsidR="003B5689">
        <w:t> ; s</w:t>
      </w:r>
      <w:r w:rsidR="00772206">
        <w:t>ur le plan strictement juridique – car en tant que « </w:t>
      </w:r>
      <w:r w:rsidR="00772206" w:rsidRPr="00711BCF">
        <w:rPr>
          <w:i/>
          <w:iCs/>
        </w:rPr>
        <w:t>méthode de conciliation d’intérêts</w:t>
      </w:r>
      <w:r w:rsidR="00772206">
        <w:t> » celle-ci a des fondements et des conséquences philosophiques, politiques et économiques importantes et également discutables – on retiendra surtout le fait que les « </w:t>
      </w:r>
      <w:r w:rsidR="00772206" w:rsidRPr="00711BCF">
        <w:rPr>
          <w:i/>
          <w:iCs/>
        </w:rPr>
        <w:t>dispositions fondées sur les risques sont […] très</w:t>
      </w:r>
      <w:r w:rsidR="003B5689" w:rsidRPr="00711BCF">
        <w:rPr>
          <w:i/>
          <w:iCs/>
        </w:rPr>
        <w:t xml:space="preserve"> </w:t>
      </w:r>
      <w:r w:rsidR="00772206" w:rsidRPr="00711BCF">
        <w:rPr>
          <w:i/>
          <w:iCs/>
        </w:rPr>
        <w:t>souvent floues, sans compter qu’elles sont aussi évolutives au gré des innovations techniques</w:t>
      </w:r>
      <w:r w:rsidR="00772206">
        <w:rPr>
          <w:rStyle w:val="Appelnotedebasdep"/>
        </w:rPr>
        <w:footnoteReference w:id="8"/>
      </w:r>
      <w:r w:rsidR="00711BCF" w:rsidRPr="00711BCF">
        <w:rPr>
          <w:i/>
          <w:iCs/>
        </w:rPr>
        <w:t> </w:t>
      </w:r>
      <w:r w:rsidR="00711BCF" w:rsidRPr="00711BCF">
        <w:t>»</w:t>
      </w:r>
      <w:r w:rsidR="00772206">
        <w:t>.</w:t>
      </w:r>
      <w:r w:rsidR="00E64F72">
        <w:t xml:space="preserve"> </w:t>
      </w:r>
      <w:r w:rsidR="00C72877">
        <w:t>En utilisant des outils normatifs tels que la précaution, la vigilance ou la résilience,</w:t>
      </w:r>
      <w:r w:rsidR="007E0FA9">
        <w:t xml:space="preserve"> dont l’évaluation du contenu est parfois laissée – avant l’intervention des premiers contentieux – aux soins des destinataires de ces dispositions,</w:t>
      </w:r>
      <w:r w:rsidR="00C72877">
        <w:t xml:space="preserve"> il est vrai que les textes fondés sur les risques ne facilitent pas toujours l’ouvrage des juristes chargés de les mettre en application.</w:t>
      </w:r>
    </w:p>
    <w:p w14:paraId="72290E6F" w14:textId="77777777" w:rsidR="00C72877" w:rsidRDefault="00C72877" w:rsidP="00CC3EF1"/>
    <w:p w14:paraId="1831CCCC" w14:textId="1153C982" w:rsidR="00A41054" w:rsidRDefault="00A41054" w:rsidP="00CC3EF1">
      <w:r>
        <w:t xml:space="preserve">L’approche par les risques aboutit à d’autres résultats problématiques, que l’on peut identifier en observant la manière dont d’autres enjeux que le quantique ont fait l’objet d’un encadrement – à commencer par les menaces de cyberattaques et l’intelligence artificielle générative. Dans le premier cas, l’approche par les risques, couplée à des enjeux économiques et logistiques au demeurant compréhensibles, a davantage conduit à « responsabiliser » l’utilisateur final (l’usager, </w:t>
      </w:r>
      <w:r w:rsidRPr="00A41054">
        <w:rPr>
          <w:i/>
          <w:iCs/>
        </w:rPr>
        <w:t>i.e.</w:t>
      </w:r>
      <w:r>
        <w:t xml:space="preserve"> la victime potentielle de la cyberattaque) qu’à mettre en place un système international efficace de lutte coordonnée contre la cybercriminalité</w:t>
      </w:r>
      <w:r>
        <w:rPr>
          <w:rStyle w:val="Appelnotedebasdep"/>
        </w:rPr>
        <w:footnoteReference w:id="9"/>
      </w:r>
      <w:r>
        <w:t>. Dans le second cas, les développeurs de systèmes d’intelligence artificielle</w:t>
      </w:r>
      <w:r w:rsidR="00105ABA">
        <w:t xml:space="preserve"> y compris générative</w:t>
      </w:r>
      <w:r>
        <w:t xml:space="preserve"> ont été plus spécifiquement ciblés par des obligations découlant du </w:t>
      </w:r>
      <w:r w:rsidR="00711BCF">
        <w:t>r</w:t>
      </w:r>
      <w:r>
        <w:t>èglement sur l’IA</w:t>
      </w:r>
      <w:r w:rsidR="00010F03">
        <w:rPr>
          <w:rStyle w:val="Appelnotedebasdep"/>
        </w:rPr>
        <w:footnoteReference w:id="10"/>
      </w:r>
      <w:r w:rsidR="00105ABA">
        <w:t>. Néanmoins, le discours politique et juridique concernant leur encadrement a pour l’essentiel tourné autour de la nécessité de respecter des « principes » éthiques au contenu variable – approche « principielle » fondée sur les risques qui ne paraît pas avoir été en mesure de les atténuer sérieusement, qu’il s’agisse des risques environnementaux, énergétiques, sociaux ou encore des biais algorithmiques à propos desquels on ne peut que sensibiliser</w:t>
      </w:r>
      <w:r w:rsidR="00105ABA">
        <w:rPr>
          <w:rStyle w:val="Appelnotedebasdep"/>
        </w:rPr>
        <w:footnoteReference w:id="11"/>
      </w:r>
      <w:r w:rsidR="00105ABA">
        <w:t>.</w:t>
      </w:r>
      <w:r w:rsidR="004A553F">
        <w:t xml:space="preserve"> Autrement dit, l’approche par les risques doit être mise en perspective et analysée à l’aune de ses résultats concrets, lesquels ne paraissent pas tous satisfaisants au regard des objectifs attendus des législations devant les encadrer.</w:t>
      </w:r>
    </w:p>
    <w:p w14:paraId="6C35E81F" w14:textId="77777777" w:rsidR="00CC3EF1" w:rsidRDefault="00CC3EF1" w:rsidP="00CC3EF1"/>
    <w:p w14:paraId="6B16EA04" w14:textId="58E383C2" w:rsidR="00CC3EF1" w:rsidRPr="006E253F" w:rsidRDefault="006E253F" w:rsidP="006E253F">
      <w:pPr>
        <w:rPr>
          <w:b/>
          <w:bCs/>
        </w:rPr>
      </w:pPr>
      <w:r>
        <w:rPr>
          <w:b/>
          <w:bCs/>
        </w:rPr>
        <w:t xml:space="preserve">II. </w:t>
      </w:r>
      <w:r w:rsidR="00CC3EF1" w:rsidRPr="006E253F">
        <w:rPr>
          <w:b/>
          <w:bCs/>
        </w:rPr>
        <w:t>La nécessité d’approches complémentaires</w:t>
      </w:r>
      <w:r w:rsidR="000A206D" w:rsidRPr="006E253F">
        <w:rPr>
          <w:b/>
          <w:bCs/>
        </w:rPr>
        <w:t> : penser le droit d’après les infrastructures et l’éthique</w:t>
      </w:r>
    </w:p>
    <w:p w14:paraId="691C85ED" w14:textId="77777777" w:rsidR="00CC3EF1" w:rsidRDefault="00CC3EF1" w:rsidP="00CC3EF1"/>
    <w:p w14:paraId="622EC7FC" w14:textId="14EF6A48" w:rsidR="00F36BB2" w:rsidRPr="00711BCF" w:rsidRDefault="00F36BB2" w:rsidP="00CC3EF1">
      <w:r>
        <w:t>L’avantage principal de l’approche par les risques réside à notre sens dans « </w:t>
      </w:r>
      <w:r w:rsidRPr="00711BCF">
        <w:rPr>
          <w:i/>
          <w:iCs/>
        </w:rPr>
        <w:t>l’hétérogénéité des outils juridiques mis en œuvre. Les règles civiles, pénales et administratives sont organisées de manière à remplir un objectif identifié. Il est alors nécessaire de les croiser afin d’obtenir une vue d’ensemble de la matière. L’approche par les risques transcende ainsi les branches du droit</w:t>
      </w:r>
      <w:r>
        <w:rPr>
          <w:rStyle w:val="Appelnotedebasdep"/>
        </w:rPr>
        <w:footnoteReference w:id="12"/>
      </w:r>
      <w:r w:rsidR="00711BCF" w:rsidRPr="00711BCF">
        <w:rPr>
          <w:i/>
          <w:iCs/>
        </w:rPr>
        <w:t> </w:t>
      </w:r>
      <w:r w:rsidR="00711BCF" w:rsidRPr="00711BCF">
        <w:t>»</w:t>
      </w:r>
      <w:r>
        <w:t xml:space="preserve">. Il est toutefois loin d’être certain qu’il s’agisse de la seule manière de parvenir à ce résultat, ni d’ailleurs qu’il s’agisse de la plus efficace, s’agissant des technologies quantiques. Il paraît dès lors pertinent de concevoir l’approche par les risques comme </w:t>
      </w:r>
      <w:r>
        <w:rPr>
          <w:i/>
          <w:iCs/>
        </w:rPr>
        <w:t>l’une</w:t>
      </w:r>
      <w:r>
        <w:t xml:space="preserve"> des méthodes législatives et légistiques susceptible d’être déployée pour encadrer les usages futurs des technologies quantiques, en complément d’autres approches.</w:t>
      </w:r>
      <w:r w:rsidR="002042EB">
        <w:t xml:space="preserve"> Les d</w:t>
      </w:r>
      <w:r w:rsidR="002042EB" w:rsidRPr="00711BCF">
        <w:t>eux autres dont on propose la mobilisation peuvent être qualifiées d’infrastructurelle (A) et d’éthique (B).</w:t>
      </w:r>
    </w:p>
    <w:p w14:paraId="64AB88B9" w14:textId="77777777" w:rsidR="002042EB" w:rsidRPr="00711BCF" w:rsidRDefault="002042EB" w:rsidP="00CC3EF1"/>
    <w:p w14:paraId="296B16B7" w14:textId="1A3BD6EE" w:rsidR="002042EB" w:rsidRPr="002042EB" w:rsidRDefault="002042EB" w:rsidP="002042EB">
      <w:pPr>
        <w:pStyle w:val="Paragraphedeliste"/>
        <w:numPr>
          <w:ilvl w:val="0"/>
          <w:numId w:val="9"/>
        </w:numPr>
        <w:rPr>
          <w:b/>
          <w:bCs/>
        </w:rPr>
      </w:pPr>
      <w:r w:rsidRPr="002042EB">
        <w:rPr>
          <w:b/>
          <w:bCs/>
        </w:rPr>
        <w:t>L’approche infrastructurelle</w:t>
      </w:r>
    </w:p>
    <w:p w14:paraId="0E8F607C" w14:textId="77777777" w:rsidR="00F36BB2" w:rsidRDefault="00F36BB2" w:rsidP="00CC3EF1"/>
    <w:p w14:paraId="6E71B95A" w14:textId="62E89546" w:rsidR="00E10741" w:rsidRDefault="00F36BB2" w:rsidP="00E10741">
      <w:r>
        <w:t xml:space="preserve">Une </w:t>
      </w:r>
      <w:r w:rsidR="0004194C">
        <w:t>deuxième</w:t>
      </w:r>
      <w:r w:rsidR="00F560C5">
        <w:t xml:space="preserve"> </w:t>
      </w:r>
      <w:r>
        <w:t>approche peut d’abord être qualifiée d’infrastructurelle</w:t>
      </w:r>
      <w:r>
        <w:rPr>
          <w:rStyle w:val="Appelnotedebasdep"/>
        </w:rPr>
        <w:footnoteReference w:id="13"/>
      </w:r>
      <w:r>
        <w:t xml:space="preserve">. </w:t>
      </w:r>
      <w:r w:rsidR="00033AE2">
        <w:t>L’approche</w:t>
      </w:r>
      <w:r w:rsidR="00E10741">
        <w:t xml:space="preserve"> </w:t>
      </w:r>
      <w:r w:rsidR="00033AE2">
        <w:t>par les</w:t>
      </w:r>
      <w:r w:rsidR="00E10741">
        <w:t xml:space="preserve"> risques prend pour point de départ</w:t>
      </w:r>
      <w:r w:rsidR="00514221">
        <w:t xml:space="preserve"> l’identification de différents risques pour les prévenir et encadrer leurs conséquences, ce qui implique d’abord de « </w:t>
      </w:r>
      <w:r w:rsidR="00514221" w:rsidRPr="00711BCF">
        <w:rPr>
          <w:i/>
          <w:iCs/>
        </w:rPr>
        <w:t>[m]</w:t>
      </w:r>
      <w:proofErr w:type="spellStart"/>
      <w:r w:rsidR="00514221" w:rsidRPr="00711BCF">
        <w:rPr>
          <w:i/>
          <w:iCs/>
        </w:rPr>
        <w:t>esurer</w:t>
      </w:r>
      <w:proofErr w:type="spellEnd"/>
      <w:r w:rsidR="00514221" w:rsidRPr="00711BCF">
        <w:rPr>
          <w:i/>
          <w:iCs/>
        </w:rPr>
        <w:t xml:space="preserve"> des probabilités, tenir compte de statistiques et auditionner des parties prenantes</w:t>
      </w:r>
      <w:r w:rsidR="00514221">
        <w:rPr>
          <w:rStyle w:val="Appelnotedebasdep"/>
        </w:rPr>
        <w:footnoteReference w:id="14"/>
      </w:r>
      <w:r w:rsidR="00711BCF" w:rsidRPr="00711BCF">
        <w:rPr>
          <w:i/>
          <w:iCs/>
        </w:rPr>
        <w:t> </w:t>
      </w:r>
      <w:r w:rsidR="00711BCF" w:rsidRPr="00711BCF">
        <w:t>»</w:t>
      </w:r>
      <w:r w:rsidR="00033AE2">
        <w:t>. L’approche infrastructurelle se présente davantage comme une méthode positiviste : il s’agit d’identifier les infrastructures nécessaires au fonctionnement normal des technologie</w:t>
      </w:r>
      <w:r w:rsidR="006914A1">
        <w:t>s</w:t>
      </w:r>
      <w:r w:rsidR="00033AE2">
        <w:t xml:space="preserve">, en partant de leur point de départ physique. Une telle démarche appliquée à l’objet « intelligence artificielle générative » implique par exemple de s’appesantir d’abord sur le droit applicable aux centres de données qui permettent leur entraînement, à celui aux personnes qui programment, alimentent et entraînent ces modèles, puis aux câbles sous-marins et aux satellites par lesquels transitent toutes les connexions Internet qui rendent accessibles ces systèmes au monde. En tant que méthode, l’approche infrastructurelle permet alors aisément de révéler les espaces de non-droit et les zones grises de la législation, </w:t>
      </w:r>
      <w:r w:rsidR="00E91C92">
        <w:t xml:space="preserve">là où </w:t>
      </w:r>
      <w:r w:rsidR="00033AE2">
        <w:t>l’approche par les risques se concentre sur l’utilisateur final ou, plus précisément, sur le résultat produit par la technologie.</w:t>
      </w:r>
    </w:p>
    <w:p w14:paraId="5706CF7B" w14:textId="77777777" w:rsidR="00F33C8F" w:rsidRDefault="00F33C8F" w:rsidP="00E10741"/>
    <w:p w14:paraId="6967722C" w14:textId="5D858743" w:rsidR="00F33C8F" w:rsidRDefault="00F33C8F" w:rsidP="0072599B">
      <w:r>
        <w:t xml:space="preserve">Appliquée aux technologies quantiques, une approche infrastructurelle révèle de nombreux enjeux n’apparaissant pas avec évidence par d’autres méthodes. Elle pose d’abord la question des supports et de l’interopérabilité des ordinateurs quantiques, et </w:t>
      </w:r>
      <w:r w:rsidR="00383E46">
        <w:t>implique particulièrement d’interroger d’emblée les chaînes de dépendance des États développant ces technologies</w:t>
      </w:r>
      <w:r w:rsidR="00B2043D">
        <w:t>. Pour ne prendre qu’un unique exemple, a</w:t>
      </w:r>
      <w:r w:rsidR="0072599B">
        <w:t>lors que certaines techniques permettant d’atteindre un état quantique nécessaire au développement du calcul</w:t>
      </w:r>
      <w:r w:rsidR="00B2043D">
        <w:t xml:space="preserve"> et de la détection</w:t>
      </w:r>
      <w:r w:rsidR="0072599B">
        <w:t xml:space="preserve"> quantique impliquent des conditions (température) extrêmes dont l’atteinte est particulièrement énergivore, il est dans cette perspective notable que d’autres, comme l’utilisation de centres colorés NV, ne présentent pas cette contrainte. Ces centres colorés NV se situent toutefois au cœur de diamants, dont le commerce mondial soulève historiquement de graves difficultés</w:t>
      </w:r>
      <w:r w:rsidR="00B2043D">
        <w:t xml:space="preserve"> (« </w:t>
      </w:r>
      <w:r w:rsidR="00B2043D" w:rsidRPr="00E91C92">
        <w:rPr>
          <w:i/>
          <w:iCs/>
        </w:rPr>
        <w:t>diamants du sang</w:t>
      </w:r>
      <w:r w:rsidR="00B2043D">
        <w:rPr>
          <w:rStyle w:val="Appelnotedebasdep"/>
        </w:rPr>
        <w:footnoteReference w:id="15"/>
      </w:r>
      <w:r w:rsidR="00E91C92" w:rsidRPr="00E91C92">
        <w:rPr>
          <w:i/>
          <w:iCs/>
        </w:rPr>
        <w:t> </w:t>
      </w:r>
      <w:r w:rsidR="00E91C92" w:rsidRPr="00E91C92">
        <w:t>»</w:t>
      </w:r>
      <w:r w:rsidR="00B2043D">
        <w:t>)</w:t>
      </w:r>
      <w:r w:rsidR="0072599B">
        <w:t>. Le Conseil de sécurité des Nations Unies rappelle ainsi, dans sa résolution 1459 en 2003, « </w:t>
      </w:r>
      <w:r w:rsidR="0072599B" w:rsidRPr="00E91C92">
        <w:rPr>
          <w:i/>
          <w:iCs/>
        </w:rPr>
        <w:t xml:space="preserve">le lien entre le commerce illicite de diamants bruts provenant de certaines régions du monde et la perpétuation de conflits armés qui ont une incidence sur la paix et la sécurité </w:t>
      </w:r>
      <w:r w:rsidR="0072599B" w:rsidRPr="00E91C92">
        <w:rPr>
          <w:i/>
          <w:iCs/>
        </w:rPr>
        <w:lastRenderedPageBreak/>
        <w:t>internationales</w:t>
      </w:r>
      <w:r w:rsidR="0072599B">
        <w:rPr>
          <w:rStyle w:val="Appelnotedebasdep"/>
        </w:rPr>
        <w:footnoteReference w:id="16"/>
      </w:r>
      <w:r w:rsidR="00E91C92" w:rsidRPr="00E91C92">
        <w:rPr>
          <w:i/>
          <w:iCs/>
        </w:rPr>
        <w:t> </w:t>
      </w:r>
      <w:r w:rsidR="00E91C92" w:rsidRPr="00E91C92">
        <w:t>»</w:t>
      </w:r>
      <w:r w:rsidR="0072599B">
        <w:t>, lequel a</w:t>
      </w:r>
      <w:r w:rsidR="00B2043D">
        <w:t xml:space="preserve"> notamment</w:t>
      </w:r>
      <w:r w:rsidR="0072599B">
        <w:t xml:space="preserve"> </w:t>
      </w:r>
      <w:r w:rsidR="00B2043D">
        <w:t xml:space="preserve">mené </w:t>
      </w:r>
      <w:r w:rsidR="0072599B">
        <w:t>à la création du système d’autoréglementation du Processus de Kimberley</w:t>
      </w:r>
      <w:r w:rsidR="00B2043D">
        <w:rPr>
          <w:rStyle w:val="Appelnotedebasdep"/>
        </w:rPr>
        <w:footnoteReference w:id="17"/>
      </w:r>
      <w:r w:rsidR="0072599B">
        <w:t>.</w:t>
      </w:r>
      <w:r w:rsidR="00B2043D">
        <w:t xml:space="preserve"> La perspective de l’usage de diamants à grande échelle pour créer et commercialiser des ordinateurs quantiques fonctionnels soulève dès lors des questions dépassant largement les contextes nationaux des États engagés dans la course à ces technologies, de sorte que l’utilisation de diamants synthétiques s’avère </w:t>
      </w:r>
      <w:r w:rsidR="00B2043D">
        <w:rPr>
          <w:i/>
          <w:iCs/>
        </w:rPr>
        <w:t>prima facie</w:t>
      </w:r>
      <w:r w:rsidR="00B2043D">
        <w:t xml:space="preserve"> préférable – comme l’ont compris certaines sociétés européennes qui cherchent à le produire massivement</w:t>
      </w:r>
      <w:r w:rsidR="00B2043D">
        <w:rPr>
          <w:rStyle w:val="Appelnotedebasdep"/>
        </w:rPr>
        <w:footnoteReference w:id="18"/>
      </w:r>
      <w:r w:rsidR="00B2043D">
        <w:t xml:space="preserve">. Néanmoins, encore faut-il garantir que les systèmes fonctionnant grâce à de telles techniques seront interopérables avec ceux fondés sur d’autres modalités d’accès à un état quantique, ce qui nécessite </w:t>
      </w:r>
      <w:r w:rsidR="00B2043D">
        <w:rPr>
          <w:i/>
          <w:iCs/>
        </w:rPr>
        <w:t>a minima</w:t>
      </w:r>
      <w:r w:rsidR="00B2043D">
        <w:t xml:space="preserve"> une standardisation internationale, </w:t>
      </w:r>
      <w:r w:rsidR="00B2043D">
        <w:rPr>
          <w:i/>
          <w:iCs/>
        </w:rPr>
        <w:t>a maxima</w:t>
      </w:r>
      <w:r w:rsidR="00B2043D">
        <w:t xml:space="preserve"> une </w:t>
      </w:r>
      <w:r w:rsidR="00F027C5">
        <w:t>entité</w:t>
      </w:r>
      <w:r w:rsidR="00B2043D">
        <w:t xml:space="preserve"> internationale dédiée, à l’image de </w:t>
      </w:r>
      <w:r w:rsidR="00943600">
        <w:t>l’Union</w:t>
      </w:r>
      <w:r w:rsidR="00B2043D">
        <w:t xml:space="preserve"> internationale des télécommunications</w:t>
      </w:r>
      <w:r w:rsidR="00F027C5">
        <w:t>, permettant aux États et acteurs privés de s’accorder sur les règles applicables aux usages de telles ou telles infrastructures quantiques – faute de quoi une superposition d’infrastructures diverses pourtant dédiées au même objectif final pourrait voir le jour, soulevant alors des enjeux environnementaux et économiques. Une fois l’interopérabilité technique garantie, la question des infrastructures opérant le lien ou la connexion entre les terminaux quantiques doit être posée : qu’il s’agisse de câbles sous-marins distribuant l’intrication, de satellites quantiques ou d’autres moyens physiques, le droit international public mais aussi le droit de l’environnement, des télécommunications nationales, de l’urbanisme, des assurances ou encore de la propriété intellectuelle seront nécessairement mobilisés.</w:t>
      </w:r>
    </w:p>
    <w:p w14:paraId="2F51039D" w14:textId="77777777" w:rsidR="00F027C5" w:rsidRDefault="00F027C5" w:rsidP="0072599B"/>
    <w:p w14:paraId="7D68521F" w14:textId="449B93D7" w:rsidR="00CC3EF1" w:rsidRDefault="00F027C5" w:rsidP="00CC3EF1">
      <w:r>
        <w:t>Une</w:t>
      </w:r>
      <w:r w:rsidR="00D55DDB">
        <w:t xml:space="preserve"> telle</w:t>
      </w:r>
      <w:r>
        <w:t xml:space="preserve"> approche infrastructurelle, ici seulement ébauchée, permet non pas de remplacer une approche par les risques, mais de la compléter</w:t>
      </w:r>
      <w:r w:rsidR="00D55DDB">
        <w:t xml:space="preserve"> utilement</w:t>
      </w:r>
      <w:r>
        <w:t xml:space="preserve"> en prenant un point de départ différent</w:t>
      </w:r>
      <w:r w:rsidR="00D55DDB">
        <w:t xml:space="preserve">. Elle ouvre en outre la possibilité facilitée d’une théorisation – </w:t>
      </w:r>
      <w:r w:rsidR="00D55DDB" w:rsidRPr="00D55DDB">
        <w:rPr>
          <w:i/>
          <w:iCs/>
        </w:rPr>
        <w:t>i.e.</w:t>
      </w:r>
      <w:r w:rsidR="00D55DDB">
        <w:t xml:space="preserve"> d’une exposition systématique et cohérente – du droit des technologies quantiques que l’approche par les risques rend à notre sens délicate</w:t>
      </w:r>
      <w:r w:rsidR="00562714">
        <w:t xml:space="preserve"> en l’absence d’usages civils évidents à court terme.</w:t>
      </w:r>
      <w:r w:rsidR="005E33A8">
        <w:t xml:space="preserve"> D’un point de vue prospectif, elle invite à faire débuter la réflexion </w:t>
      </w:r>
      <w:r w:rsidR="00CC3EF1">
        <w:t>non des cas d’usage mais de la structure</w:t>
      </w:r>
      <w:r w:rsidR="005E33A8">
        <w:t xml:space="preserve"> physique qui les rend possible afin d’</w:t>
      </w:r>
      <w:r w:rsidR="00CC3EF1">
        <w:t xml:space="preserve">identifier les difficultés pas à pas et </w:t>
      </w:r>
      <w:r w:rsidR="005E33A8">
        <w:t>de porter un regard systématique sur l’adéquation</w:t>
      </w:r>
      <w:r w:rsidR="00CC3EF1">
        <w:t xml:space="preserve"> </w:t>
      </w:r>
      <w:r w:rsidR="005E33A8">
        <w:t>des cadres juridiques aux usages finaux projetés – analyse qui pourra ultérieurement être augmentée d’une approche fondée sur leurs risques.</w:t>
      </w:r>
    </w:p>
    <w:p w14:paraId="26947372" w14:textId="77777777" w:rsidR="002042EB" w:rsidRDefault="002042EB" w:rsidP="00CC3EF1"/>
    <w:p w14:paraId="14FA2367" w14:textId="06C15706" w:rsidR="002042EB" w:rsidRPr="002042EB" w:rsidRDefault="002042EB" w:rsidP="002042EB">
      <w:pPr>
        <w:pStyle w:val="Paragraphedeliste"/>
        <w:numPr>
          <w:ilvl w:val="0"/>
          <w:numId w:val="9"/>
        </w:numPr>
        <w:rPr>
          <w:b/>
          <w:bCs/>
        </w:rPr>
      </w:pPr>
      <w:r w:rsidRPr="002042EB">
        <w:rPr>
          <w:b/>
          <w:bCs/>
        </w:rPr>
        <w:t>L’approche éthique</w:t>
      </w:r>
    </w:p>
    <w:p w14:paraId="1295093F" w14:textId="77777777" w:rsidR="005E33A8" w:rsidRDefault="005E33A8" w:rsidP="00CC3EF1"/>
    <w:p w14:paraId="3B604FE9" w14:textId="6560FAD0" w:rsidR="002042EB" w:rsidRDefault="005E33A8" w:rsidP="00CC3EF1">
      <w:pPr>
        <w:rPr>
          <w:rStyle w:val="agcmg"/>
        </w:rPr>
      </w:pPr>
      <w:r>
        <w:t xml:space="preserve">Une troisième approche possible, elle aussi complémentaire des démarches fondées sur l’analyse des risques et des infrastructures, consiste à </w:t>
      </w:r>
      <w:r w:rsidR="004926D7">
        <w:t>engager</w:t>
      </w:r>
      <w:r>
        <w:t xml:space="preserve"> la réflexion à partir du </w:t>
      </w:r>
      <w:r w:rsidR="00CC3EF1">
        <w:t>processus de questionnement</w:t>
      </w:r>
      <w:r>
        <w:t xml:space="preserve"> lui-même</w:t>
      </w:r>
      <w:r w:rsidR="00CC3EF1">
        <w:t xml:space="preserve">. </w:t>
      </w:r>
      <w:r>
        <w:t xml:space="preserve">Comme on l’a écrit ailleurs, une éthique du numérique ou des nouvelles technologies est d’abord une éthique des affaires, laquelle repose sur trois piliers fondamentaux : </w:t>
      </w:r>
      <w:r>
        <w:rPr>
          <w:rStyle w:val="agcmg"/>
        </w:rPr>
        <w:t>l’intégrité, la dignité et la durabilité</w:t>
      </w:r>
      <w:r>
        <w:rPr>
          <w:rStyle w:val="Appelnotedebasdep"/>
        </w:rPr>
        <w:footnoteReference w:id="19"/>
      </w:r>
      <w:r>
        <w:rPr>
          <w:rStyle w:val="agcmg"/>
        </w:rPr>
        <w:t xml:space="preserve">. </w:t>
      </w:r>
      <w:r w:rsidR="000A206D">
        <w:rPr>
          <w:rStyle w:val="agcmg"/>
        </w:rPr>
        <w:t>Ceux-ci peuvent constituer les sources matérielles du droit applicable à une nouvelle technologie, le cas échéant en les « opérationnalisant » – par exemple, sur le modèle de l’intégration de l’éthique animale en droit</w:t>
      </w:r>
      <w:r w:rsidR="000A206D">
        <w:rPr>
          <w:rStyle w:val="Appelnotedebasdep"/>
        </w:rPr>
        <w:footnoteReference w:id="20"/>
      </w:r>
      <w:r w:rsidR="000A206D">
        <w:rPr>
          <w:rStyle w:val="agcmg"/>
        </w:rPr>
        <w:t>, en dégageant une règle</w:t>
      </w:r>
      <w:r w:rsidR="00C60F2D">
        <w:rPr>
          <w:rStyle w:val="agcmg"/>
        </w:rPr>
        <w:t xml:space="preserve"> « APR » : améliorer de manière continue l’intégrité de la technologie pour lutter contre ses biais et risques ; faire prévaloir la dignité humaine sur toute autre considération ; rendre durable le système dès la conception et au cours de tout son cycle </w:t>
      </w:r>
      <w:r w:rsidR="00C60F2D">
        <w:rPr>
          <w:rStyle w:val="agcmg"/>
        </w:rPr>
        <w:lastRenderedPageBreak/>
        <w:t>de vie, recyclage au terme de la « vie » inclus</w:t>
      </w:r>
      <w:r w:rsidR="00C60F2D">
        <w:rPr>
          <w:rStyle w:val="Appelnotedebasdep"/>
        </w:rPr>
        <w:footnoteReference w:id="21"/>
      </w:r>
      <w:r w:rsidR="00C60F2D">
        <w:rPr>
          <w:rStyle w:val="agcmg"/>
        </w:rPr>
        <w:t>.</w:t>
      </w:r>
      <w:r w:rsidR="000A206D">
        <w:rPr>
          <w:rStyle w:val="agcmg"/>
        </w:rPr>
        <w:t xml:space="preserve"> </w:t>
      </w:r>
      <w:r w:rsidR="00315827">
        <w:rPr>
          <w:rStyle w:val="agcmg"/>
        </w:rPr>
        <w:t>Or, plutôt que de se concentrer sur une réflexion mettant</w:t>
      </w:r>
      <w:r w:rsidR="00D978EC">
        <w:rPr>
          <w:rStyle w:val="agcmg"/>
        </w:rPr>
        <w:t xml:space="preserve"> concrètement</w:t>
      </w:r>
      <w:r w:rsidR="00315827">
        <w:rPr>
          <w:rStyle w:val="agcmg"/>
        </w:rPr>
        <w:t xml:space="preserve"> en œuvre ces trois piliers, le discours sur l’encadrement de l’intelligence artificielle</w:t>
      </w:r>
      <w:r w:rsidR="00A564E6">
        <w:rPr>
          <w:rStyle w:val="agcmg"/>
        </w:rPr>
        <w:t>, pour prendre cet exemple topique récent,</w:t>
      </w:r>
      <w:r w:rsidR="00315827">
        <w:rPr>
          <w:rStyle w:val="agcmg"/>
        </w:rPr>
        <w:t xml:space="preserve"> a plutôt vu la multiplication de lignes directrices complexes combinant une quinzaine de principes éthiques plus ou moins opérationnels et vagues</w:t>
      </w:r>
      <w:r w:rsidR="00D978EC">
        <w:rPr>
          <w:rStyle w:val="agcmg"/>
        </w:rPr>
        <w:t>, dont les destinataires ne sont eux-mêmes pas toujours identifiables clairement</w:t>
      </w:r>
      <w:r w:rsidR="00315827">
        <w:rPr>
          <w:rStyle w:val="Appelnotedebasdep"/>
        </w:rPr>
        <w:footnoteReference w:id="22"/>
      </w:r>
      <w:r w:rsidR="00315827">
        <w:rPr>
          <w:rStyle w:val="agcmg"/>
        </w:rPr>
        <w:t>.</w:t>
      </w:r>
      <w:r w:rsidR="00A564E6">
        <w:rPr>
          <w:rStyle w:val="agcmg"/>
        </w:rPr>
        <w:t xml:space="preserve"> Leur promotion par une série d’acteurs publics et privés, combinée à un discours ambiant </w:t>
      </w:r>
      <w:proofErr w:type="spellStart"/>
      <w:r w:rsidR="00A564E6">
        <w:rPr>
          <w:rStyle w:val="agcmg"/>
        </w:rPr>
        <w:t>technosolutionniste</w:t>
      </w:r>
      <w:proofErr w:type="spellEnd"/>
      <w:r w:rsidR="00A564E6">
        <w:rPr>
          <w:rStyle w:val="agcmg"/>
        </w:rPr>
        <w:t xml:space="preserve"> ou </w:t>
      </w:r>
      <w:r w:rsidR="00A564E6">
        <w:rPr>
          <w:rStyle w:val="agcmg"/>
          <w:i/>
          <w:iCs/>
        </w:rPr>
        <w:t xml:space="preserve">a minima </w:t>
      </w:r>
      <w:r w:rsidR="00A564E6">
        <w:rPr>
          <w:rStyle w:val="agcmg"/>
        </w:rPr>
        <w:t>déterministe quant à l’absolue nécessité économique de développer au plus vite des outils d’IA à tous les niveaux de l’activité humaine, a conduit à l’absence d’adoption de textes généraux encadrant concrètement les usages de l’intelligence artificielle en France, dans l’Union européenne</w:t>
      </w:r>
      <w:r w:rsidR="00A564E6">
        <w:rPr>
          <w:rStyle w:val="Appelnotedebasdep"/>
        </w:rPr>
        <w:footnoteReference w:id="23"/>
      </w:r>
      <w:r w:rsidR="00A564E6">
        <w:rPr>
          <w:rStyle w:val="agcmg"/>
        </w:rPr>
        <w:t xml:space="preserve"> et le monde.</w:t>
      </w:r>
    </w:p>
    <w:p w14:paraId="3BC4F5B8" w14:textId="77777777" w:rsidR="002042EB" w:rsidRDefault="002042EB" w:rsidP="00CC3EF1">
      <w:pPr>
        <w:rPr>
          <w:rStyle w:val="agcmg"/>
        </w:rPr>
      </w:pPr>
    </w:p>
    <w:p w14:paraId="78244ADA" w14:textId="44BDB0F4" w:rsidR="00FD6C2C" w:rsidRDefault="00D978EC" w:rsidP="00CC3EF1">
      <w:r>
        <w:rPr>
          <w:rStyle w:val="agcmg"/>
        </w:rPr>
        <w:t>Une approche éthique consiste, à l’inverse, à se poser la question des besoins de la société et de l’utilité concrète de telles technologies</w:t>
      </w:r>
      <w:r w:rsidR="006F254B">
        <w:rPr>
          <w:rStyle w:val="agcmg"/>
        </w:rPr>
        <w:t xml:space="preserve">, et de faire </w:t>
      </w:r>
      <w:r w:rsidR="00CC3EF1">
        <w:t xml:space="preserve">en sorte que le droit généré </w:t>
      </w:r>
      <w:r w:rsidR="006F254B">
        <w:t xml:space="preserve">pour encadrer leurs usages </w:t>
      </w:r>
      <w:r w:rsidR="00CC3EF1">
        <w:t xml:space="preserve">incite au questionnement, plutôt qu’à </w:t>
      </w:r>
      <w:r w:rsidR="006F254B">
        <w:t>une perpétuelle</w:t>
      </w:r>
      <w:r w:rsidR="00CC3EF1">
        <w:t xml:space="preserve"> course en avant vers la tech</w:t>
      </w:r>
      <w:r w:rsidR="006F254B">
        <w:t>nologie</w:t>
      </w:r>
      <w:r w:rsidR="006F254B" w:rsidRPr="00FD6C2C">
        <w:t>.</w:t>
      </w:r>
      <w:r w:rsidR="002042EB" w:rsidRPr="00FD6C2C">
        <w:t xml:space="preserve"> </w:t>
      </w:r>
      <w:r w:rsidR="00B83CFD" w:rsidRPr="00FD6C2C">
        <w:t xml:space="preserve">Appliquée aux technologies quantiques, </w:t>
      </w:r>
      <w:r w:rsidR="00FD6C2C">
        <w:t>une telle approche</w:t>
      </w:r>
      <w:r w:rsidR="00B83CFD" w:rsidRPr="00FD6C2C">
        <w:t xml:space="preserve"> consiste à se poser un certain nombre de questions</w:t>
      </w:r>
      <w:r w:rsidR="00FD6C2C">
        <w:t>, dont les premières sont les suivantes</w:t>
      </w:r>
      <w:r w:rsidR="00B83CFD" w:rsidRPr="00FD6C2C">
        <w:t xml:space="preserve"> : </w:t>
      </w:r>
      <w:r w:rsidR="00FD6C2C">
        <w:t>comment inscrire ces technologies dans une forme d’intérêt général mondial et national ? À qui vont-elles profiter ? Comment éviter que leurs usages portent préjudice à une partie de la société ou des personnes en particulier ?</w:t>
      </w:r>
    </w:p>
    <w:p w14:paraId="1E003692" w14:textId="77777777" w:rsidR="00FD6C2C" w:rsidRDefault="00FD6C2C" w:rsidP="00CC3EF1"/>
    <w:p w14:paraId="1B3D4645" w14:textId="046BA64E" w:rsidR="00FD6C2C" w:rsidRPr="00FD6C2C" w:rsidRDefault="00FD6C2C" w:rsidP="007867F3">
      <w:r>
        <w:t xml:space="preserve">Les réponses à ces questions ne peuvent toutes être formulées par les mêmes institutions, ce qui conduit à penser que l’encadrement des technologies quantiques devrait être réalisé à différents niveaux. </w:t>
      </w:r>
      <w:r w:rsidR="001030AF">
        <w:t xml:space="preserve">En marge des travaux d’encadrement en cours de préparation au sein de l’Union européenne qui devrait proposer un </w:t>
      </w:r>
      <w:r w:rsidR="001030AF">
        <w:rPr>
          <w:i/>
          <w:iCs/>
        </w:rPr>
        <w:t xml:space="preserve">Quantum </w:t>
      </w:r>
      <w:proofErr w:type="spellStart"/>
      <w:r w:rsidR="001030AF">
        <w:rPr>
          <w:i/>
          <w:iCs/>
        </w:rPr>
        <w:t>Act</w:t>
      </w:r>
      <w:proofErr w:type="spellEnd"/>
      <w:r w:rsidR="001030AF">
        <w:t xml:space="preserve"> en 2026</w:t>
      </w:r>
      <w:r w:rsidR="001030AF">
        <w:rPr>
          <w:rStyle w:val="Appelnotedebasdep"/>
        </w:rPr>
        <w:footnoteReference w:id="24"/>
      </w:r>
      <w:r w:rsidR="001030AF">
        <w:t>, il</w:t>
      </w:r>
      <w:r>
        <w:t xml:space="preserve"> paraît</w:t>
      </w:r>
      <w:r w:rsidR="001030AF">
        <w:t xml:space="preserve"> également</w:t>
      </w:r>
      <w:r>
        <w:t xml:space="preserve"> pertinent que les institutions internationales</w:t>
      </w:r>
      <w:r w:rsidR="007867F3">
        <w:t xml:space="preserve"> se saisissent de l’enjeu pour garantir que ces technologies seront utilisées de manière pacifique. En soulignant en 2024 que « </w:t>
      </w:r>
      <w:r w:rsidR="007867F3" w:rsidRPr="005E52C5">
        <w:rPr>
          <w:i/>
          <w:iCs/>
        </w:rPr>
        <w:t>les sciences et technologies quantiques sont essentielles au progrès économique et que leurs applications possibles pourraient pourvoir aux besoins de base, tels que l’alimentation, la santé, des villes et communautés durables, les communications, l’eau et l’énergie propres, et soutenir l’action climatique</w:t>
      </w:r>
      <w:r w:rsidR="007867F3">
        <w:rPr>
          <w:rStyle w:val="Appelnotedebasdep"/>
        </w:rPr>
        <w:footnoteReference w:id="25"/>
      </w:r>
      <w:r w:rsidR="005E52C5" w:rsidRPr="005E52C5">
        <w:rPr>
          <w:i/>
          <w:iCs/>
        </w:rPr>
        <w:t> </w:t>
      </w:r>
      <w:r w:rsidR="005E52C5" w:rsidRPr="005E52C5">
        <w:t>»</w:t>
      </w:r>
      <w:r w:rsidR="007867F3">
        <w:t>, l’Assemblée générale des Nations Unies a initié une dynamique visant à les intégrer à l’agenda onusien, sans pour autant aborder l’hypothèse de leurs usages militaires. On peut à cet égard souhaiter qu’elle puisse se prononcer plus clairement sur la nécessité de ne pas « </w:t>
      </w:r>
      <w:proofErr w:type="spellStart"/>
      <w:r w:rsidR="007867F3">
        <w:t>arsenaliser</w:t>
      </w:r>
      <w:proofErr w:type="spellEnd"/>
      <w:r w:rsidR="007867F3">
        <w:t xml:space="preserve"> » le monde ou l’espace extra-atmosphérique en y installant des infrastructures quantiques à usage militaire. </w:t>
      </w:r>
      <w:r w:rsidR="0042632A">
        <w:t>Pour sa part</w:t>
      </w:r>
      <w:r w:rsidR="007867F3">
        <w:t>, l’UNESCO a récemment rappelé que « </w:t>
      </w:r>
      <w:r w:rsidR="007867F3" w:rsidRPr="005E52C5">
        <w:rPr>
          <w:i/>
          <w:iCs/>
        </w:rPr>
        <w:t xml:space="preserve">[d]ans le cadre de la Décennie internationale des sciences au service du développement durable (2024-2033), l’Organisation fait progresser les initiatives en matière de sciences et technologies quantiques, promeut l’inclusion dans les sciences, la technologie, l’ingénierie et les </w:t>
      </w:r>
      <w:r w:rsidR="007867F3" w:rsidRPr="005E52C5">
        <w:rPr>
          <w:i/>
          <w:iCs/>
        </w:rPr>
        <w:lastRenderedPageBreak/>
        <w:t>mathématiques (STIM) et développe les capacités d’innovation par le biais d’ateliers d’entrepreneuriat et de partenariats université-industrie. Cette approche intégrée associe connaissances théoriques et applications pratiques, ce qui garantit que les efforts de renforcement des capacités aboutissent à des capacités de recherche durables, à des innovations technologiques et à un développement économique aux niveaux national et régional</w:t>
      </w:r>
      <w:r w:rsidR="007867F3">
        <w:rPr>
          <w:rStyle w:val="Appelnotedebasdep"/>
        </w:rPr>
        <w:footnoteReference w:id="26"/>
      </w:r>
      <w:r w:rsidR="005E52C5" w:rsidRPr="005E52C5">
        <w:rPr>
          <w:i/>
          <w:iCs/>
        </w:rPr>
        <w:t> </w:t>
      </w:r>
      <w:r w:rsidR="005E52C5" w:rsidRPr="005E52C5">
        <w:t>»</w:t>
      </w:r>
      <w:r w:rsidR="007867F3">
        <w:t>.</w:t>
      </w:r>
      <w:r w:rsidR="0042632A">
        <w:t xml:space="preserve"> Là encore, on peut juger désirable que l’UNESCO se saisisse davantage du sujet et produise des lignes directrices à destination de l’ensemble des acteurs des écosystèmes quantiques pour orienter les recherches mondiales vers la réalisation concrète des objectifs du développement durable</w:t>
      </w:r>
      <w:r w:rsidR="005E52C5">
        <w:t>,</w:t>
      </w:r>
      <w:r w:rsidR="0042632A">
        <w:t xml:space="preserve"> voire travaille en vue de la reconnaissance de l’intégration de ces technologies en tant que biens communs de l’humanité, ouvrant la voie à un accès équitable à l’ensemble de la planète.</w:t>
      </w:r>
    </w:p>
    <w:p w14:paraId="3C4AD2FB" w14:textId="77777777" w:rsidR="001903FE" w:rsidRDefault="001903FE"/>
    <w:p w14:paraId="6F1948FC" w14:textId="4FEB4A97" w:rsidR="00403742" w:rsidRDefault="005E52C5">
      <w:r w:rsidRPr="005E52C5">
        <w:rPr>
          <w:b/>
          <w:bCs/>
        </w:rPr>
        <w:t>Conclusion</w:t>
      </w:r>
      <w:r>
        <w:t xml:space="preserve">. </w:t>
      </w:r>
      <w:r w:rsidR="009B444E">
        <w:t>C’est, de notre point de vue, en combinant ces trois approches par les risques, par les infrastructures et par le questionnement éthique, qu’il convient d’aborder le droit des technologies quantiques, lequel reste, on l’a dit, de l’ordre essentiellement prospectif – de sorte qu’il convient certainement d’évoquer plutôt des approches devant guider </w:t>
      </w:r>
      <w:r w:rsidR="009B444E" w:rsidRPr="009B444E">
        <w:rPr>
          <w:i/>
          <w:iCs/>
        </w:rPr>
        <w:t>la</w:t>
      </w:r>
      <w:r w:rsidR="009B444E">
        <w:t xml:space="preserve"> </w:t>
      </w:r>
      <w:r w:rsidR="009B444E" w:rsidRPr="009B444E">
        <w:rPr>
          <w:i/>
          <w:iCs/>
        </w:rPr>
        <w:t>fabrique</w:t>
      </w:r>
      <w:r w:rsidR="009B444E">
        <w:t xml:space="preserve"> du droit des technologies quantiques.</w:t>
      </w:r>
    </w:p>
    <w:p w14:paraId="3DCBF8A4" w14:textId="77777777" w:rsidR="00AE6E4A" w:rsidRDefault="00AE6E4A"/>
    <w:sectPr w:rsidR="00AE6E4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F412" w14:textId="77777777" w:rsidR="0022611F" w:rsidRDefault="0022611F" w:rsidP="009E68E0">
      <w:r>
        <w:separator/>
      </w:r>
    </w:p>
  </w:endnote>
  <w:endnote w:type="continuationSeparator" w:id="0">
    <w:p w14:paraId="3D4B804E" w14:textId="77777777" w:rsidR="0022611F" w:rsidRDefault="0022611F" w:rsidP="009E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A2"/>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76019131"/>
      <w:docPartObj>
        <w:docPartGallery w:val="Page Numbers (Bottom of Page)"/>
        <w:docPartUnique/>
      </w:docPartObj>
    </w:sdtPr>
    <w:sdtContent>
      <w:p w14:paraId="79695A35" w14:textId="4FC34493" w:rsidR="005C789B" w:rsidRDefault="005C789B" w:rsidP="003E780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CAC9ACD" w14:textId="77777777" w:rsidR="005C789B" w:rsidRDefault="005C78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15886531"/>
      <w:docPartObj>
        <w:docPartGallery w:val="Page Numbers (Bottom of Page)"/>
        <w:docPartUnique/>
      </w:docPartObj>
    </w:sdtPr>
    <w:sdtContent>
      <w:p w14:paraId="08329696" w14:textId="6AA1C931" w:rsidR="005C789B" w:rsidRDefault="005C789B" w:rsidP="003E780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30D2514" w14:textId="77777777" w:rsidR="005C789B" w:rsidRDefault="005C78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6F5E" w14:textId="77777777" w:rsidR="0022611F" w:rsidRDefault="0022611F" w:rsidP="009E68E0">
      <w:r>
        <w:separator/>
      </w:r>
    </w:p>
  </w:footnote>
  <w:footnote w:type="continuationSeparator" w:id="0">
    <w:p w14:paraId="407C47A2" w14:textId="77777777" w:rsidR="0022611F" w:rsidRDefault="0022611F" w:rsidP="009E68E0">
      <w:r>
        <w:continuationSeparator/>
      </w:r>
    </w:p>
  </w:footnote>
  <w:footnote w:id="1">
    <w:p w14:paraId="35044D80" w14:textId="3B78E6E0" w:rsidR="009E68E0" w:rsidRPr="00545108" w:rsidRDefault="009E68E0">
      <w:pPr>
        <w:pStyle w:val="Notedebasdepage"/>
      </w:pPr>
      <w:r>
        <w:rPr>
          <w:rStyle w:val="Appelnotedebasdep"/>
        </w:rPr>
        <w:footnoteRef/>
      </w:r>
      <w:r w:rsidR="006914A1">
        <w:t xml:space="preserve"> v. </w:t>
      </w:r>
      <w:r w:rsidR="00545108">
        <w:t xml:space="preserve">R. Maurel, « Les perspectives d’encadrement des technologies quantiques : le droit du développement des technologies quantiques », </w:t>
      </w:r>
      <w:r w:rsidR="00545108">
        <w:rPr>
          <w:i/>
          <w:iCs/>
        </w:rPr>
        <w:t>RLDI</w:t>
      </w:r>
      <w:r w:rsidR="00F97097">
        <w:t xml:space="preserve"> </w:t>
      </w:r>
      <w:r w:rsidR="00545108">
        <w:t xml:space="preserve">2026, </w:t>
      </w:r>
      <w:r w:rsidR="00F97097">
        <w:t>n°</w:t>
      </w:r>
      <w:r w:rsidR="00944B30">
        <w:t> </w:t>
      </w:r>
      <w:r w:rsidR="00F97097">
        <w:t xml:space="preserve">232-29, </w:t>
      </w:r>
      <w:r w:rsidR="00545108">
        <w:t>pp.</w:t>
      </w:r>
      <w:r w:rsidR="00944B30">
        <w:t> </w:t>
      </w:r>
      <w:r w:rsidR="00545108">
        <w:t>46-51.</w:t>
      </w:r>
    </w:p>
  </w:footnote>
  <w:footnote w:id="2">
    <w:p w14:paraId="1A838EFE" w14:textId="6BD68CED" w:rsidR="00545108" w:rsidRDefault="00545108">
      <w:pPr>
        <w:pStyle w:val="Notedebasdepage"/>
      </w:pPr>
      <w:r>
        <w:rPr>
          <w:rStyle w:val="Appelnotedebasdep"/>
        </w:rPr>
        <w:footnoteRef/>
      </w:r>
      <w:r>
        <w:t xml:space="preserve"> A. </w:t>
      </w:r>
      <w:proofErr w:type="spellStart"/>
      <w:r>
        <w:t>Latil</w:t>
      </w:r>
      <w:proofErr w:type="spellEnd"/>
      <w:r>
        <w:t>,</w:t>
      </w:r>
      <w:r>
        <w:rPr>
          <w:i/>
          <w:iCs/>
        </w:rPr>
        <w:t xml:space="preserve"> Le droit du numérique. Une approche par les risques</w:t>
      </w:r>
      <w:r>
        <w:t>, 2</w:t>
      </w:r>
      <w:r w:rsidR="00F97097">
        <w:rPr>
          <w:vertAlign w:val="superscript"/>
        </w:rPr>
        <w:t>e</w:t>
      </w:r>
      <w:r>
        <w:t xml:space="preserve"> édition, Dalloz, 2024, p.</w:t>
      </w:r>
      <w:r w:rsidR="006914A1">
        <w:t> </w:t>
      </w:r>
      <w:r>
        <w:t>28.</w:t>
      </w:r>
    </w:p>
  </w:footnote>
  <w:footnote w:id="3">
    <w:p w14:paraId="575874BB" w14:textId="685CD502" w:rsidR="00B01744" w:rsidRPr="00B01744" w:rsidRDefault="00B01744">
      <w:pPr>
        <w:pStyle w:val="Notedebasdepage"/>
      </w:pPr>
      <w:r>
        <w:rPr>
          <w:rStyle w:val="Appelnotedebasdep"/>
        </w:rPr>
        <w:footnoteRef/>
      </w:r>
      <w:r>
        <w:t xml:space="preserve"> </w:t>
      </w:r>
      <w:r>
        <w:rPr>
          <w:i/>
          <w:iCs/>
        </w:rPr>
        <w:t>I</w:t>
      </w:r>
      <w:r w:rsidR="00F97097">
        <w:rPr>
          <w:i/>
          <w:iCs/>
        </w:rPr>
        <w:t>bid</w:t>
      </w:r>
      <w:r>
        <w:t>.</w:t>
      </w:r>
    </w:p>
  </w:footnote>
  <w:footnote w:id="4">
    <w:p w14:paraId="31BB198F" w14:textId="335704C6" w:rsidR="0018390D" w:rsidRPr="00A0647C" w:rsidRDefault="0018390D">
      <w:pPr>
        <w:pStyle w:val="Notedebasdepage"/>
      </w:pPr>
      <w:r>
        <w:rPr>
          <w:rStyle w:val="Appelnotedebasdep"/>
        </w:rPr>
        <w:footnoteRef/>
      </w:r>
      <w:r>
        <w:t xml:space="preserve"> R.</w:t>
      </w:r>
      <w:r w:rsidR="006914A1">
        <w:t> </w:t>
      </w:r>
      <w:r>
        <w:t xml:space="preserve">Maurel, « Les perspectives d’encadrement des technologies quantiques : le droit du développement des technologies quantiques », </w:t>
      </w:r>
      <w:proofErr w:type="spellStart"/>
      <w:r w:rsidR="00A0647C">
        <w:t>préc</w:t>
      </w:r>
      <w:proofErr w:type="spellEnd"/>
      <w:r w:rsidR="00A0647C">
        <w:t>.</w:t>
      </w:r>
    </w:p>
  </w:footnote>
  <w:footnote w:id="5">
    <w:p w14:paraId="0EFF4309" w14:textId="7702C8E7" w:rsidR="00174A1A" w:rsidRDefault="00174A1A">
      <w:pPr>
        <w:pStyle w:val="Notedebasdepage"/>
      </w:pPr>
      <w:r>
        <w:rPr>
          <w:rStyle w:val="Appelnotedebasdep"/>
        </w:rPr>
        <w:footnoteRef/>
      </w:r>
      <w:r>
        <w:t xml:space="preserve"> ANSSI, </w:t>
      </w:r>
      <w:r w:rsidR="00A0647C">
        <w:t>a</w:t>
      </w:r>
      <w:r w:rsidRPr="00174A1A">
        <w:t>vis de l'ANSSI sur la migration vers la cryptographie post-quantique</w:t>
      </w:r>
      <w:r>
        <w:t>, 21 déc</w:t>
      </w:r>
      <w:r w:rsidR="00A0647C">
        <w:t>.</w:t>
      </w:r>
      <w:r>
        <w:t xml:space="preserve"> 2023.</w:t>
      </w:r>
    </w:p>
  </w:footnote>
  <w:footnote w:id="6">
    <w:p w14:paraId="0270524D" w14:textId="02185C0D" w:rsidR="00174A1A" w:rsidRDefault="00174A1A">
      <w:pPr>
        <w:pStyle w:val="Notedebasdepage"/>
      </w:pPr>
      <w:r>
        <w:rPr>
          <w:rStyle w:val="Appelnotedebasdep"/>
        </w:rPr>
        <w:footnoteRef/>
      </w:r>
      <w:r>
        <w:t xml:space="preserve"> Il s’agit d’une</w:t>
      </w:r>
      <w:r w:rsidRPr="00174A1A">
        <w:t xml:space="preserve"> </w:t>
      </w:r>
      <w:r>
        <w:t>stratégie</w:t>
      </w:r>
      <w:r w:rsidRPr="00174A1A">
        <w:t xml:space="preserve"> consistant</w:t>
      </w:r>
      <w:r>
        <w:t xml:space="preserve"> </w:t>
      </w:r>
      <w:r w:rsidRPr="00174A1A">
        <w:t>à stocker des données chiffrées</w:t>
      </w:r>
      <w:r>
        <w:t xml:space="preserve"> et pour l’heure indéchiffrable,</w:t>
      </w:r>
      <w:r w:rsidRPr="00174A1A">
        <w:t xml:space="preserve"> afin de les déchiffrer ultérieurement à l'aide de capacités informatiques quantiques.</w:t>
      </w:r>
      <w:r>
        <w:t xml:space="preserve"> Le phénomène est difficilement identifiable mais des indices tendent à faire penser que plusieurs accidents de routage et de redirection subis de données gouvernementales ou de grandes entreprises étatsuniennes, ces dernières années, vers la Chine ou la Russie correspondent à cette pratique (v. M.</w:t>
      </w:r>
      <w:r w:rsidR="006914A1">
        <w:t> </w:t>
      </w:r>
      <w:proofErr w:type="spellStart"/>
      <w:r>
        <w:t>Ivezic</w:t>
      </w:r>
      <w:proofErr w:type="spellEnd"/>
      <w:r>
        <w:t>, « </w:t>
      </w:r>
      <w:r w:rsidRPr="00174A1A">
        <w:t xml:space="preserve">Harvest </w:t>
      </w:r>
      <w:proofErr w:type="spellStart"/>
      <w:r w:rsidRPr="00174A1A">
        <w:t>Now</w:t>
      </w:r>
      <w:proofErr w:type="spellEnd"/>
      <w:r w:rsidRPr="00174A1A">
        <w:t xml:space="preserve">, </w:t>
      </w:r>
      <w:proofErr w:type="spellStart"/>
      <w:r w:rsidRPr="00174A1A">
        <w:t>Decrypt</w:t>
      </w:r>
      <w:proofErr w:type="spellEnd"/>
      <w:r w:rsidRPr="00174A1A">
        <w:t xml:space="preserve"> </w:t>
      </w:r>
      <w:proofErr w:type="spellStart"/>
      <w:r w:rsidRPr="00174A1A">
        <w:t>Later</w:t>
      </w:r>
      <w:proofErr w:type="spellEnd"/>
      <w:r w:rsidRPr="00174A1A">
        <w:t xml:space="preserve"> (HNDL) Risk</w:t>
      </w:r>
      <w:r>
        <w:t xml:space="preserve"> », </w:t>
      </w:r>
      <w:r w:rsidRPr="00944B30">
        <w:rPr>
          <w:i/>
          <w:iCs/>
        </w:rPr>
        <w:t>postquantum.com</w:t>
      </w:r>
      <w:r>
        <w:t>, 8</w:t>
      </w:r>
      <w:r w:rsidR="006914A1">
        <w:t> </w:t>
      </w:r>
      <w:r>
        <w:t>juin 2023).</w:t>
      </w:r>
    </w:p>
  </w:footnote>
  <w:footnote w:id="7">
    <w:p w14:paraId="5AB6FE72" w14:textId="602E2AAD" w:rsidR="00F02CBB" w:rsidRDefault="00F02CBB">
      <w:pPr>
        <w:pStyle w:val="Notedebasdepage"/>
      </w:pPr>
      <w:r>
        <w:rPr>
          <w:rStyle w:val="Appelnotedebasdep"/>
        </w:rPr>
        <w:footnoteRef/>
      </w:r>
      <w:r>
        <w:t> </w:t>
      </w:r>
      <w:r w:rsidRPr="008701F9">
        <w:rPr>
          <w:rFonts w:cs="Times New Roman"/>
        </w:rPr>
        <w:t>ADEME (</w:t>
      </w:r>
      <w:r>
        <w:rPr>
          <w:rFonts w:cs="Times New Roman"/>
        </w:rPr>
        <w:t>Th.</w:t>
      </w:r>
      <w:r w:rsidRPr="008701F9">
        <w:rPr>
          <w:rFonts w:cs="Times New Roman"/>
        </w:rPr>
        <w:t xml:space="preserve"> </w:t>
      </w:r>
      <w:proofErr w:type="spellStart"/>
      <w:r w:rsidRPr="008701F9">
        <w:rPr>
          <w:rFonts w:cs="Times New Roman"/>
        </w:rPr>
        <w:t>Brilland</w:t>
      </w:r>
      <w:proofErr w:type="spellEnd"/>
      <w:r w:rsidRPr="008701F9">
        <w:rPr>
          <w:rFonts w:cs="Times New Roman"/>
        </w:rPr>
        <w:t xml:space="preserve">, </w:t>
      </w:r>
      <w:r>
        <w:rPr>
          <w:rFonts w:cs="Times New Roman"/>
        </w:rPr>
        <w:t>E.</w:t>
      </w:r>
      <w:r w:rsidR="006914A1">
        <w:rPr>
          <w:rFonts w:cs="Times New Roman"/>
        </w:rPr>
        <w:t> </w:t>
      </w:r>
      <w:proofErr w:type="spellStart"/>
      <w:r w:rsidRPr="008701F9">
        <w:rPr>
          <w:rFonts w:cs="Times New Roman"/>
        </w:rPr>
        <w:t>Fangeat</w:t>
      </w:r>
      <w:proofErr w:type="spellEnd"/>
      <w:r w:rsidRPr="008701F9">
        <w:rPr>
          <w:rFonts w:cs="Times New Roman"/>
        </w:rPr>
        <w:t xml:space="preserve">, </w:t>
      </w:r>
      <w:r>
        <w:rPr>
          <w:rFonts w:cs="Times New Roman"/>
        </w:rPr>
        <w:t>J.</w:t>
      </w:r>
      <w:r w:rsidRPr="008701F9">
        <w:rPr>
          <w:rFonts w:cs="Times New Roman"/>
        </w:rPr>
        <w:t xml:space="preserve"> Meyer, </w:t>
      </w:r>
      <w:r>
        <w:rPr>
          <w:rFonts w:cs="Times New Roman"/>
        </w:rPr>
        <w:t>M.</w:t>
      </w:r>
      <w:r w:rsidR="006914A1">
        <w:rPr>
          <w:rFonts w:cs="Times New Roman"/>
        </w:rPr>
        <w:t> </w:t>
      </w:r>
      <w:proofErr w:type="spellStart"/>
      <w:r w:rsidRPr="008701F9">
        <w:rPr>
          <w:rFonts w:cs="Times New Roman"/>
        </w:rPr>
        <w:t>Wellhoff</w:t>
      </w:r>
      <w:proofErr w:type="spellEnd"/>
      <w:r w:rsidRPr="008701F9">
        <w:rPr>
          <w:rFonts w:cs="Times New Roman"/>
        </w:rPr>
        <w:t xml:space="preserve">), </w:t>
      </w:r>
      <w:r w:rsidRPr="00711BCF">
        <w:rPr>
          <w:rFonts w:cs="Times New Roman"/>
        </w:rPr>
        <w:t>Évaluation de l’impact environnemental du numérique en France</w:t>
      </w:r>
      <w:r w:rsidRPr="008701F9">
        <w:rPr>
          <w:rFonts w:cs="Times New Roman"/>
        </w:rPr>
        <w:t xml:space="preserve">, mise à jour de l’étude ADEME-ARCEP, </w:t>
      </w:r>
      <w:r w:rsidR="00711BCF">
        <w:rPr>
          <w:rFonts w:cs="Times New Roman"/>
        </w:rPr>
        <w:t>janv.</w:t>
      </w:r>
      <w:r w:rsidRPr="008701F9">
        <w:rPr>
          <w:rFonts w:cs="Times New Roman"/>
        </w:rPr>
        <w:t xml:space="preserve"> 202</w:t>
      </w:r>
      <w:r w:rsidR="00711BCF">
        <w:rPr>
          <w:rFonts w:cs="Times New Roman"/>
        </w:rPr>
        <w:t>5</w:t>
      </w:r>
      <w:r w:rsidRPr="008701F9">
        <w:rPr>
          <w:rFonts w:cs="Times New Roman"/>
        </w:rPr>
        <w:t>.</w:t>
      </w:r>
    </w:p>
  </w:footnote>
  <w:footnote w:id="8">
    <w:p w14:paraId="4663412A" w14:textId="0927A9A9" w:rsidR="00772206" w:rsidRPr="00772206" w:rsidRDefault="00772206">
      <w:pPr>
        <w:pStyle w:val="Notedebasdepage"/>
      </w:pPr>
      <w:r>
        <w:rPr>
          <w:rStyle w:val="Appelnotedebasdep"/>
        </w:rPr>
        <w:footnoteRef/>
      </w:r>
      <w:r>
        <w:t xml:space="preserve"> A. </w:t>
      </w:r>
      <w:proofErr w:type="spellStart"/>
      <w:r>
        <w:t>Latil</w:t>
      </w:r>
      <w:proofErr w:type="spellEnd"/>
      <w:r>
        <w:t xml:space="preserve">, </w:t>
      </w:r>
      <w:r>
        <w:rPr>
          <w:i/>
          <w:iCs/>
        </w:rPr>
        <w:t xml:space="preserve">op. </w:t>
      </w:r>
      <w:proofErr w:type="spellStart"/>
      <w:proofErr w:type="gramStart"/>
      <w:r>
        <w:rPr>
          <w:i/>
          <w:iCs/>
        </w:rPr>
        <w:t>cit</w:t>
      </w:r>
      <w:proofErr w:type="spellEnd"/>
      <w:proofErr w:type="gramEnd"/>
      <w:r>
        <w:t>., p.</w:t>
      </w:r>
      <w:r w:rsidR="009847CA">
        <w:t> </w:t>
      </w:r>
      <w:r>
        <w:t>30.</w:t>
      </w:r>
    </w:p>
  </w:footnote>
  <w:footnote w:id="9">
    <w:p w14:paraId="1A8BB175" w14:textId="146B43A9" w:rsidR="00A41054" w:rsidRPr="00A41054" w:rsidRDefault="00A41054">
      <w:pPr>
        <w:pStyle w:val="Notedebasdepage"/>
      </w:pPr>
      <w:r>
        <w:rPr>
          <w:rStyle w:val="Appelnotedebasdep"/>
        </w:rPr>
        <w:footnoteRef/>
      </w:r>
      <w:r>
        <w:t xml:space="preserve"> Tel est le sens général du droit de l’Union européenne en la matière ; v.</w:t>
      </w:r>
      <w:r w:rsidR="009847CA">
        <w:t> </w:t>
      </w:r>
      <w:r>
        <w:t>par ex. X.</w:t>
      </w:r>
      <w:r w:rsidR="009847CA">
        <w:t> </w:t>
      </w:r>
      <w:r>
        <w:t xml:space="preserve">Leonetti, Ch. </w:t>
      </w:r>
      <w:proofErr w:type="spellStart"/>
      <w:r>
        <w:t>Féral-Schuhl</w:t>
      </w:r>
      <w:proofErr w:type="spellEnd"/>
      <w:r>
        <w:t xml:space="preserve">, </w:t>
      </w:r>
      <w:r>
        <w:rPr>
          <w:i/>
          <w:iCs/>
        </w:rPr>
        <w:t>Cybersécurité. Mode d’emploi</w:t>
      </w:r>
      <w:r>
        <w:t>, 2</w:t>
      </w:r>
      <w:r w:rsidR="00711BCF">
        <w:rPr>
          <w:vertAlign w:val="superscript"/>
        </w:rPr>
        <w:t>e</w:t>
      </w:r>
      <w:r>
        <w:t xml:space="preserve"> éd., PUF, 2025, pp. 323 et s</w:t>
      </w:r>
      <w:r w:rsidR="00711BCF">
        <w:t>.</w:t>
      </w:r>
    </w:p>
  </w:footnote>
  <w:footnote w:id="10">
    <w:p w14:paraId="38AB6A57" w14:textId="21640ECC" w:rsidR="00010F03" w:rsidRDefault="00010F03">
      <w:pPr>
        <w:pStyle w:val="Notedebasdepage"/>
      </w:pPr>
      <w:r>
        <w:rPr>
          <w:rStyle w:val="Appelnotedebasdep"/>
        </w:rPr>
        <w:footnoteRef/>
      </w:r>
      <w:r>
        <w:t xml:space="preserve"> </w:t>
      </w:r>
      <w:proofErr w:type="spellStart"/>
      <w:r>
        <w:t>Règl</w:t>
      </w:r>
      <w:proofErr w:type="spellEnd"/>
      <w:r w:rsidR="00711BCF">
        <w:t>.</w:t>
      </w:r>
      <w:r>
        <w:t xml:space="preserve"> (UE) 2024/1689</w:t>
      </w:r>
      <w:r w:rsidR="00711BCF">
        <w:t xml:space="preserve">, </w:t>
      </w:r>
      <w:r>
        <w:t>13</w:t>
      </w:r>
      <w:r w:rsidR="009847CA">
        <w:t> </w:t>
      </w:r>
      <w:r>
        <w:t>juin 2024</w:t>
      </w:r>
      <w:r w:rsidR="00711BCF">
        <w:t>,</w:t>
      </w:r>
      <w:r>
        <w:t xml:space="preserve"> établissant des règles harmonisées concernant l’intelligence artificielle et modifiant les règlements (CE) n°</w:t>
      </w:r>
      <w:r w:rsidR="009847CA">
        <w:t> </w:t>
      </w:r>
      <w:r>
        <w:t>300/2008, (UE) n°</w:t>
      </w:r>
      <w:r w:rsidR="009847CA">
        <w:t> </w:t>
      </w:r>
      <w:r>
        <w:t>167/2013, (UE) n°</w:t>
      </w:r>
      <w:r w:rsidR="009847CA">
        <w:t> </w:t>
      </w:r>
      <w:r>
        <w:t>168/2013, (UE) 2018/858, (UE) 2018/1139 et (UE) 2019/2144 et les directives 2014/90/UE, (UE) 2016/797 et (UE) 2020/1828 (règlement sur l’intelligence artificielle).</w:t>
      </w:r>
    </w:p>
  </w:footnote>
  <w:footnote w:id="11">
    <w:p w14:paraId="5870C891" w14:textId="761D2153" w:rsidR="00105ABA" w:rsidRPr="00105ABA" w:rsidRDefault="00105ABA">
      <w:pPr>
        <w:pStyle w:val="Notedebasdepage"/>
      </w:pPr>
      <w:r>
        <w:rPr>
          <w:rStyle w:val="Appelnotedebasdep"/>
        </w:rPr>
        <w:footnoteRef/>
      </w:r>
      <w:r w:rsidR="009847CA">
        <w:t xml:space="preserve"> R. </w:t>
      </w:r>
      <w:r>
        <w:t>Maurel (</w:t>
      </w:r>
      <w:proofErr w:type="spellStart"/>
      <w:r>
        <w:t>dir</w:t>
      </w:r>
      <w:proofErr w:type="spellEnd"/>
      <w:r>
        <w:t xml:space="preserve">.), </w:t>
      </w:r>
      <w:r w:rsidRPr="00105ABA">
        <w:rPr>
          <w:i/>
          <w:iCs/>
        </w:rPr>
        <w:t>64 propositions pour une éthique des systèmes d’intelligence artificielle</w:t>
      </w:r>
      <w:r>
        <w:t>, Livre blanc de l’Observatoire de l’éthique publique, janv</w:t>
      </w:r>
      <w:r w:rsidR="00711BCF">
        <w:t>.</w:t>
      </w:r>
      <w:r>
        <w:t xml:space="preserve"> 2026 ; R.</w:t>
      </w:r>
      <w:r w:rsidR="009847CA">
        <w:t> </w:t>
      </w:r>
      <w:r>
        <w:t>Maurel, « </w:t>
      </w:r>
      <w:r w:rsidRPr="00105ABA">
        <w:t>Démystifier l’IA et en dessiner une éthique pour sortir de la confusion ambiante</w:t>
      </w:r>
      <w:r>
        <w:t xml:space="preserve"> », </w:t>
      </w:r>
      <w:r>
        <w:rPr>
          <w:i/>
          <w:iCs/>
        </w:rPr>
        <w:t xml:space="preserve">The </w:t>
      </w:r>
      <w:r w:rsidR="00F0111E">
        <w:rPr>
          <w:i/>
          <w:iCs/>
        </w:rPr>
        <w:t>C</w:t>
      </w:r>
      <w:r>
        <w:rPr>
          <w:i/>
          <w:iCs/>
        </w:rPr>
        <w:t>onversation</w:t>
      </w:r>
      <w:r>
        <w:t>, févr</w:t>
      </w:r>
      <w:r w:rsidR="00711BCF">
        <w:t>.</w:t>
      </w:r>
      <w:r>
        <w:t xml:space="preserve"> 2025.</w:t>
      </w:r>
    </w:p>
  </w:footnote>
  <w:footnote w:id="12">
    <w:p w14:paraId="05444DA9" w14:textId="60449225" w:rsidR="00F36BB2" w:rsidRPr="00772206" w:rsidRDefault="00F36BB2" w:rsidP="00F36BB2">
      <w:pPr>
        <w:pStyle w:val="Notedebasdepage"/>
      </w:pPr>
      <w:r>
        <w:rPr>
          <w:rStyle w:val="Appelnotedebasdep"/>
        </w:rPr>
        <w:footnoteRef/>
      </w:r>
      <w:r>
        <w:t xml:space="preserve"> A. </w:t>
      </w:r>
      <w:proofErr w:type="spellStart"/>
      <w:r>
        <w:t>Latil</w:t>
      </w:r>
      <w:proofErr w:type="spellEnd"/>
      <w:r>
        <w:t xml:space="preserve">, </w:t>
      </w:r>
      <w:r>
        <w:rPr>
          <w:i/>
          <w:iCs/>
        </w:rPr>
        <w:t xml:space="preserve">op. </w:t>
      </w:r>
      <w:proofErr w:type="spellStart"/>
      <w:proofErr w:type="gramStart"/>
      <w:r>
        <w:rPr>
          <w:i/>
          <w:iCs/>
        </w:rPr>
        <w:t>cit</w:t>
      </w:r>
      <w:proofErr w:type="spellEnd"/>
      <w:proofErr w:type="gramEnd"/>
      <w:r>
        <w:t>., p.</w:t>
      </w:r>
      <w:r w:rsidR="009847CA">
        <w:t> </w:t>
      </w:r>
      <w:r>
        <w:t>33.</w:t>
      </w:r>
    </w:p>
  </w:footnote>
  <w:footnote w:id="13">
    <w:p w14:paraId="54DB90FE" w14:textId="51D1D2E5" w:rsidR="00F36BB2" w:rsidRPr="00F36BB2" w:rsidRDefault="00F36BB2">
      <w:pPr>
        <w:pStyle w:val="Notedebasdepage"/>
      </w:pPr>
      <w:r>
        <w:rPr>
          <w:rStyle w:val="Appelnotedebasdep"/>
        </w:rPr>
        <w:footnoteRef/>
      </w:r>
      <w:r>
        <w:t xml:space="preserve"> Notamment développée dans R. Maurel, </w:t>
      </w:r>
      <w:r>
        <w:rPr>
          <w:i/>
          <w:iCs/>
        </w:rPr>
        <w:t>Droit de l’Internet</w:t>
      </w:r>
      <w:r>
        <w:t>, Bréal, 2024, p.</w:t>
      </w:r>
      <w:r w:rsidR="009847CA">
        <w:t> </w:t>
      </w:r>
      <w:r>
        <w:t>11 et pp. 29 et s.</w:t>
      </w:r>
    </w:p>
  </w:footnote>
  <w:footnote w:id="14">
    <w:p w14:paraId="78B9949D" w14:textId="4E1E53CE" w:rsidR="00514221" w:rsidRDefault="00514221">
      <w:pPr>
        <w:pStyle w:val="Notedebasdepage"/>
      </w:pPr>
      <w:r>
        <w:rPr>
          <w:rStyle w:val="Appelnotedebasdep"/>
        </w:rPr>
        <w:footnoteRef/>
      </w:r>
      <w:r>
        <w:t xml:space="preserve"> A. </w:t>
      </w:r>
      <w:proofErr w:type="spellStart"/>
      <w:r>
        <w:t>Latil</w:t>
      </w:r>
      <w:proofErr w:type="spellEnd"/>
      <w:r w:rsidR="00056227">
        <w:t>,</w:t>
      </w:r>
      <w:r>
        <w:t xml:space="preserve"> </w:t>
      </w:r>
      <w:r>
        <w:rPr>
          <w:i/>
          <w:iCs/>
        </w:rPr>
        <w:t xml:space="preserve">op. </w:t>
      </w:r>
      <w:proofErr w:type="spellStart"/>
      <w:proofErr w:type="gramStart"/>
      <w:r>
        <w:rPr>
          <w:i/>
          <w:iCs/>
        </w:rPr>
        <w:t>cit</w:t>
      </w:r>
      <w:proofErr w:type="spellEnd"/>
      <w:proofErr w:type="gramEnd"/>
      <w:r>
        <w:t>., p.</w:t>
      </w:r>
      <w:r w:rsidR="009847CA">
        <w:t> </w:t>
      </w:r>
      <w:r>
        <w:t>25.</w:t>
      </w:r>
    </w:p>
  </w:footnote>
  <w:footnote w:id="15">
    <w:p w14:paraId="6FB838DA" w14:textId="351791ED" w:rsidR="00B2043D" w:rsidRDefault="00B2043D">
      <w:pPr>
        <w:pStyle w:val="Notedebasdepage"/>
      </w:pPr>
      <w:r>
        <w:rPr>
          <w:rStyle w:val="Appelnotedebasdep"/>
        </w:rPr>
        <w:footnoteRef/>
      </w:r>
      <w:r>
        <w:t xml:space="preserve"> V.</w:t>
      </w:r>
      <w:r w:rsidR="009847CA">
        <w:t> </w:t>
      </w:r>
      <w:r>
        <w:t>par ex. S.</w:t>
      </w:r>
      <w:r w:rsidR="009847CA">
        <w:t> </w:t>
      </w:r>
      <w:proofErr w:type="spellStart"/>
      <w:r>
        <w:t>Szurek</w:t>
      </w:r>
      <w:proofErr w:type="spellEnd"/>
      <w:r>
        <w:t xml:space="preserve">, « Sierra Leone : un État en attente de ‘paix durable’. La communauté internationale dans l’engrenage de la paix en Afrique de l’Ouest », </w:t>
      </w:r>
      <w:r>
        <w:rPr>
          <w:i/>
          <w:iCs/>
        </w:rPr>
        <w:t>AFDI</w:t>
      </w:r>
      <w:r>
        <w:t>, vol. 46, 2000, pp. 195-200.</w:t>
      </w:r>
    </w:p>
  </w:footnote>
  <w:footnote w:id="16">
    <w:p w14:paraId="536BC89D" w14:textId="2C871407" w:rsidR="0072599B" w:rsidRDefault="0072599B">
      <w:pPr>
        <w:pStyle w:val="Notedebasdepage"/>
      </w:pPr>
      <w:r>
        <w:rPr>
          <w:rStyle w:val="Appelnotedebasdep"/>
        </w:rPr>
        <w:footnoteRef/>
      </w:r>
      <w:r>
        <w:t xml:space="preserve"> Conseil de sécurité, </w:t>
      </w:r>
      <w:proofErr w:type="spellStart"/>
      <w:r w:rsidR="00E91C92">
        <w:t>rés</w:t>
      </w:r>
      <w:proofErr w:type="spellEnd"/>
      <w:r w:rsidR="00E91C92">
        <w:t>.</w:t>
      </w:r>
      <w:r>
        <w:t xml:space="preserve"> 1459</w:t>
      </w:r>
      <w:r w:rsidR="00E91C92">
        <w:t>,</w:t>
      </w:r>
      <w:r>
        <w:t xml:space="preserve"> </w:t>
      </w:r>
      <w:r w:rsidR="00B2043D">
        <w:t>28 janv</w:t>
      </w:r>
      <w:r w:rsidR="00E91C92">
        <w:t>.</w:t>
      </w:r>
      <w:r w:rsidR="00B2043D">
        <w:t xml:space="preserve"> 2003, S/RES/1459 (2003).</w:t>
      </w:r>
    </w:p>
  </w:footnote>
  <w:footnote w:id="17">
    <w:p w14:paraId="2E245168" w14:textId="69432D71" w:rsidR="00B2043D" w:rsidRDefault="00B2043D">
      <w:pPr>
        <w:pStyle w:val="Notedebasdepage"/>
      </w:pPr>
      <w:r>
        <w:rPr>
          <w:rStyle w:val="Appelnotedebasdep"/>
        </w:rPr>
        <w:footnoteRef/>
      </w:r>
      <w:r>
        <w:t xml:space="preserve"> </w:t>
      </w:r>
      <w:r w:rsidR="00E91C92">
        <w:t>V.</w:t>
      </w:r>
      <w:r w:rsidR="009847CA">
        <w:t> </w:t>
      </w:r>
      <w:r w:rsidR="00E91C92">
        <w:t xml:space="preserve">le site : </w:t>
      </w:r>
      <w:r w:rsidRPr="00E91C92">
        <w:t>kimberleyprocess.com/en</w:t>
      </w:r>
      <w:r>
        <w:t>.</w:t>
      </w:r>
    </w:p>
  </w:footnote>
  <w:footnote w:id="18">
    <w:p w14:paraId="64E0F520" w14:textId="2064FDD3" w:rsidR="00B2043D" w:rsidRDefault="00B2043D">
      <w:pPr>
        <w:pStyle w:val="Notedebasdepage"/>
      </w:pPr>
      <w:r>
        <w:rPr>
          <w:rStyle w:val="Appelnotedebasdep"/>
        </w:rPr>
        <w:footnoteRef/>
      </w:r>
      <w:r>
        <w:t xml:space="preserve"> Th. Lucas, « </w:t>
      </w:r>
      <w:proofErr w:type="spellStart"/>
      <w:r w:rsidRPr="00B2043D">
        <w:t>HiQuTe</w:t>
      </w:r>
      <w:proofErr w:type="spellEnd"/>
      <w:r w:rsidRPr="00B2043D">
        <w:t xml:space="preserve"> Diamond : des diamants pour des applications quantiques</w:t>
      </w:r>
      <w:r>
        <w:t xml:space="preserve"> », </w:t>
      </w:r>
      <w:r w:rsidRPr="00B2043D">
        <w:rPr>
          <w:i/>
          <w:iCs/>
        </w:rPr>
        <w:t>CNRS Innovation</w:t>
      </w:r>
      <w:r>
        <w:t>, 23 avr</w:t>
      </w:r>
      <w:r w:rsidR="00A0647C">
        <w:t>.</w:t>
      </w:r>
      <w:r>
        <w:t xml:space="preserve"> 2023.</w:t>
      </w:r>
    </w:p>
  </w:footnote>
  <w:footnote w:id="19">
    <w:p w14:paraId="320BDB2C" w14:textId="3466179C" w:rsidR="005E33A8" w:rsidRPr="005E33A8" w:rsidRDefault="005E33A8" w:rsidP="005E33A8">
      <w:pPr>
        <w:pStyle w:val="Notedebasdepage"/>
      </w:pPr>
      <w:r>
        <w:rPr>
          <w:rStyle w:val="Appelnotedebasdep"/>
        </w:rPr>
        <w:footnoteRef/>
      </w:r>
      <w:r>
        <w:t xml:space="preserve"> Notamment R. Maurel, </w:t>
      </w:r>
      <w:r>
        <w:rPr>
          <w:i/>
          <w:iCs/>
        </w:rPr>
        <w:t>Introduction au droit international de l’éthique des affaires</w:t>
      </w:r>
      <w:r>
        <w:t>, Mare &amp; Martin, 2025.</w:t>
      </w:r>
    </w:p>
  </w:footnote>
  <w:footnote w:id="20">
    <w:p w14:paraId="7B02F09A" w14:textId="679D4D56" w:rsidR="000A206D" w:rsidRDefault="000A206D" w:rsidP="00C60F2D">
      <w:pPr>
        <w:pStyle w:val="Notedebasdepage"/>
      </w:pPr>
      <w:r>
        <w:rPr>
          <w:rStyle w:val="Appelnotedebasdep"/>
        </w:rPr>
        <w:footnoteRef/>
      </w:r>
      <w:r>
        <w:t xml:space="preserve"> On pense ici à la règle des « 3R » </w:t>
      </w:r>
      <w:r w:rsidR="00C60F2D">
        <w:t>en éthique animale</w:t>
      </w:r>
      <w:r w:rsidR="009847CA">
        <w:t xml:space="preserve"> </w:t>
      </w:r>
      <w:r w:rsidR="00C60F2D">
        <w:t xml:space="preserve">(réduire, remplacer, raffiner l’utilisation </w:t>
      </w:r>
      <w:r w:rsidR="00E91C92">
        <w:t>d’</w:t>
      </w:r>
      <w:r w:rsidR="00C60F2D">
        <w:t>animaux dans le cadre des expérimentations</w:t>
      </w:r>
      <w:r w:rsidR="00E91C92">
        <w:t>,</w:t>
      </w:r>
      <w:r w:rsidR="009847CA">
        <w:t xml:space="preserve"> </w:t>
      </w:r>
      <w:r w:rsidR="00E91C92">
        <w:t>intégrée en droit positif états-unien et européen </w:t>
      </w:r>
      <w:r w:rsidR="00C60F2D">
        <w:t>; v.</w:t>
      </w:r>
      <w:r w:rsidR="009847CA">
        <w:t> </w:t>
      </w:r>
      <w:r w:rsidR="00C60F2D">
        <w:t>W. M. S. Russell, R.</w:t>
      </w:r>
      <w:r w:rsidR="009847CA">
        <w:t> </w:t>
      </w:r>
      <w:r w:rsidR="00C60F2D">
        <w:t xml:space="preserve">L. </w:t>
      </w:r>
      <w:proofErr w:type="spellStart"/>
      <w:r w:rsidR="00C60F2D">
        <w:t>Burch</w:t>
      </w:r>
      <w:proofErr w:type="spellEnd"/>
      <w:r w:rsidR="00C60F2D">
        <w:t xml:space="preserve">, </w:t>
      </w:r>
      <w:r w:rsidR="00C60F2D" w:rsidRPr="00C60F2D">
        <w:rPr>
          <w:i/>
          <w:iCs/>
        </w:rPr>
        <w:t xml:space="preserve">The Principles of Humane </w:t>
      </w:r>
      <w:proofErr w:type="spellStart"/>
      <w:r w:rsidR="00C60F2D" w:rsidRPr="00C60F2D">
        <w:rPr>
          <w:i/>
          <w:iCs/>
        </w:rPr>
        <w:t>Experimental</w:t>
      </w:r>
      <w:proofErr w:type="spellEnd"/>
      <w:r w:rsidR="00C60F2D" w:rsidRPr="00C60F2D">
        <w:rPr>
          <w:i/>
          <w:iCs/>
        </w:rPr>
        <w:t xml:space="preserve"> Technique</w:t>
      </w:r>
      <w:r w:rsidR="00C60F2D">
        <w:t>, Methuen &amp; Co Limited, 1959</w:t>
      </w:r>
      <w:r w:rsidR="00E91C92">
        <w:t>.</w:t>
      </w:r>
    </w:p>
  </w:footnote>
  <w:footnote w:id="21">
    <w:p w14:paraId="460855C0" w14:textId="1AF41098" w:rsidR="00C60F2D" w:rsidRPr="005E52C5" w:rsidRDefault="00C60F2D">
      <w:pPr>
        <w:pStyle w:val="Notedebasdepage"/>
      </w:pPr>
      <w:r>
        <w:rPr>
          <w:rStyle w:val="Appelnotedebasdep"/>
        </w:rPr>
        <w:footnoteRef/>
      </w:r>
      <w:r>
        <w:t xml:space="preserve"> R.</w:t>
      </w:r>
      <w:r w:rsidR="009847CA">
        <w:t> </w:t>
      </w:r>
      <w:r w:rsidRPr="005E52C5">
        <w:t xml:space="preserve">Maurel, </w:t>
      </w:r>
      <w:r w:rsidR="005E52C5">
        <w:t>« </w:t>
      </w:r>
      <w:r w:rsidRPr="005E52C5">
        <w:t>Éléments pour une éthique de l'IA simplifiée</w:t>
      </w:r>
      <w:r w:rsidR="005E52C5">
        <w:t> »</w:t>
      </w:r>
      <w:r w:rsidRPr="005E52C5">
        <w:t xml:space="preserve">, Observatoire de l’éthique publique, </w:t>
      </w:r>
      <w:r w:rsidR="005E52C5">
        <w:t xml:space="preserve">note n° 40, </w:t>
      </w:r>
      <w:r w:rsidR="005E52C5" w:rsidRPr="005E52C5">
        <w:t>févr</w:t>
      </w:r>
      <w:r w:rsidR="005E52C5">
        <w:t>.</w:t>
      </w:r>
      <w:r w:rsidR="005E52C5" w:rsidRPr="005E52C5">
        <w:t xml:space="preserve"> </w:t>
      </w:r>
      <w:r w:rsidRPr="005E52C5">
        <w:t>2025.</w:t>
      </w:r>
    </w:p>
  </w:footnote>
  <w:footnote w:id="22">
    <w:p w14:paraId="5056EEF4" w14:textId="3411D59E" w:rsidR="00315827" w:rsidRPr="00315827" w:rsidRDefault="00315827">
      <w:pPr>
        <w:pStyle w:val="Notedebasdepage"/>
      </w:pPr>
      <w:r>
        <w:rPr>
          <w:rStyle w:val="Appelnotedebasdep"/>
        </w:rPr>
        <w:footnoteRef/>
      </w:r>
      <w:r>
        <w:t xml:space="preserve"> </w:t>
      </w:r>
      <w:r w:rsidR="00A15B1D" w:rsidRPr="00A15B1D">
        <w:rPr>
          <w:i/>
          <w:iCs/>
        </w:rPr>
        <w:t>Ibid</w:t>
      </w:r>
      <w:r w:rsidR="00A15B1D">
        <w:t>. ; v. aussi</w:t>
      </w:r>
      <w:r>
        <w:t xml:space="preserve"> R. Maurel (</w:t>
      </w:r>
      <w:proofErr w:type="spellStart"/>
      <w:r>
        <w:t>dir</w:t>
      </w:r>
      <w:proofErr w:type="spellEnd"/>
      <w:r>
        <w:t xml:space="preserve">.), </w:t>
      </w:r>
      <w:r w:rsidRPr="00105ABA">
        <w:rPr>
          <w:i/>
          <w:iCs/>
        </w:rPr>
        <w:t>64 propositions pour une éthique des systèmes d’intelligence artificielle</w:t>
      </w:r>
      <w:r>
        <w:t xml:space="preserve">, </w:t>
      </w:r>
      <w:proofErr w:type="spellStart"/>
      <w:r w:rsidR="005E52C5" w:rsidRPr="005E52C5">
        <w:t>préc</w:t>
      </w:r>
      <w:proofErr w:type="spellEnd"/>
      <w:r w:rsidR="005E52C5" w:rsidRPr="005E52C5">
        <w:t>.</w:t>
      </w:r>
      <w:r w:rsidR="005E52C5">
        <w:t>,</w:t>
      </w:r>
      <w:r>
        <w:t xml:space="preserve"> </w:t>
      </w:r>
      <w:proofErr w:type="spellStart"/>
      <w:r>
        <w:t>spéc</w:t>
      </w:r>
      <w:proofErr w:type="spellEnd"/>
      <w:r>
        <w:t xml:space="preserve">. </w:t>
      </w:r>
      <w:proofErr w:type="gramStart"/>
      <w:r>
        <w:t>l’introduction</w:t>
      </w:r>
      <w:proofErr w:type="gramEnd"/>
      <w:r>
        <w:t>.</w:t>
      </w:r>
    </w:p>
  </w:footnote>
  <w:footnote w:id="23">
    <w:p w14:paraId="0D56E6F5" w14:textId="76CAB3A4" w:rsidR="00A564E6" w:rsidRDefault="00A564E6">
      <w:pPr>
        <w:pStyle w:val="Notedebasdepage"/>
      </w:pPr>
      <w:r>
        <w:rPr>
          <w:rStyle w:val="Appelnotedebasdep"/>
        </w:rPr>
        <w:footnoteRef/>
      </w:r>
      <w:r w:rsidR="004150FA">
        <w:t> </w:t>
      </w:r>
      <w:r>
        <w:t xml:space="preserve">À cet égard, le Règlement sur l’IA (précité) ne peut être considéré autrement que comme un texte de protectionnisme économique de l’Union vis-à-vis du reste du monde, visant à favoriser l’innovation sur le sol européen tout en protégeant le consommateur des externalités les plus négatives de certains systèmes d’IA. Le champ matériel du règlement, qu’il s’agisse de la limitation de son champ d’application comme des exceptions posées aux interdictions, conduit toutefois à nuancer fortement la portée des protections </w:t>
      </w:r>
      <w:r w:rsidR="00611684">
        <w:t>insérées – ce qui n’est pas anormal, le texte n’ayant principalement vocation ni à garantir les droits de l’homme, ni à limiter le développement de technologies vues comme indispensables à la compétition économique mondiale.</w:t>
      </w:r>
    </w:p>
  </w:footnote>
  <w:footnote w:id="24">
    <w:p w14:paraId="5E2BD8CE" w14:textId="074F010B" w:rsidR="001030AF" w:rsidRPr="005E52C5" w:rsidRDefault="001030AF">
      <w:pPr>
        <w:pStyle w:val="Notedebasdepage"/>
      </w:pPr>
      <w:r>
        <w:rPr>
          <w:rStyle w:val="Appelnotedebasdep"/>
        </w:rPr>
        <w:footnoteRef/>
      </w:r>
      <w:r>
        <w:t xml:space="preserve"> </w:t>
      </w:r>
      <w:r w:rsidR="004B42D7">
        <w:t>R.</w:t>
      </w:r>
      <w:r w:rsidR="009847CA">
        <w:t> </w:t>
      </w:r>
      <w:r w:rsidR="004B42D7">
        <w:t xml:space="preserve">Maurel, « Les perspectives d’encadrement des technologies quantiques : le droit du développement des technologies quantiques », </w:t>
      </w:r>
      <w:proofErr w:type="spellStart"/>
      <w:r w:rsidR="005E52C5">
        <w:t>préc</w:t>
      </w:r>
      <w:proofErr w:type="spellEnd"/>
      <w:r w:rsidR="005E52C5">
        <w:t>.</w:t>
      </w:r>
    </w:p>
  </w:footnote>
  <w:footnote w:id="25">
    <w:p w14:paraId="03A4C475" w14:textId="3AA8D20D" w:rsidR="007867F3" w:rsidRDefault="007867F3">
      <w:pPr>
        <w:pStyle w:val="Notedebasdepage"/>
      </w:pPr>
      <w:r>
        <w:rPr>
          <w:rStyle w:val="Appelnotedebasdep"/>
        </w:rPr>
        <w:footnoteRef/>
      </w:r>
      <w:r>
        <w:t xml:space="preserve"> Assemblée générale des Nations Unies, </w:t>
      </w:r>
      <w:proofErr w:type="spellStart"/>
      <w:r>
        <w:t>rés</w:t>
      </w:r>
      <w:proofErr w:type="spellEnd"/>
      <w:r w:rsidR="005E52C5">
        <w:t>.</w:t>
      </w:r>
      <w:r>
        <w:t xml:space="preserve"> 78/286</w:t>
      </w:r>
      <w:r w:rsidR="005E52C5">
        <w:t>,</w:t>
      </w:r>
      <w:r>
        <w:t xml:space="preserve"> 7</w:t>
      </w:r>
      <w:r w:rsidR="009847CA">
        <w:t> </w:t>
      </w:r>
      <w:r>
        <w:t>juin 2024</w:t>
      </w:r>
      <w:r w:rsidR="005E52C5">
        <w:t>,</w:t>
      </w:r>
      <w:r>
        <w:t xml:space="preserve"> </w:t>
      </w:r>
      <w:r w:rsidR="005E52C5">
        <w:t>« </w:t>
      </w:r>
      <w:r w:rsidR="005E52C5" w:rsidRPr="005E52C5">
        <w:t>2025, Année internationale des sciences et technologies quantiques</w:t>
      </w:r>
      <w:r w:rsidR="005E52C5">
        <w:t> ».</w:t>
      </w:r>
    </w:p>
  </w:footnote>
  <w:footnote w:id="26">
    <w:p w14:paraId="2ACA5F35" w14:textId="6A01E19E" w:rsidR="007867F3" w:rsidRDefault="007867F3">
      <w:pPr>
        <w:pStyle w:val="Notedebasdepage"/>
      </w:pPr>
      <w:r>
        <w:rPr>
          <w:rStyle w:val="Appelnotedebasdep"/>
        </w:rPr>
        <w:footnoteRef/>
      </w:r>
      <w:r>
        <w:t xml:space="preserve"> UNESCO, Conseil exécutif, 222</w:t>
      </w:r>
      <w:r w:rsidR="005E52C5">
        <w:rPr>
          <w:vertAlign w:val="superscript"/>
        </w:rPr>
        <w:t>e</w:t>
      </w:r>
      <w:r>
        <w:t xml:space="preserve"> session, </w:t>
      </w:r>
      <w:r w:rsidR="000858C2">
        <w:t xml:space="preserve">« Faire progresser la réalisation des ODD dans le cadre du mandat de l’UNESCO », </w:t>
      </w:r>
      <w:r>
        <w:t>rapport sur les progrès relatifs à l’exécution de la décision 221 EX/45, 1</w:t>
      </w:r>
      <w:r w:rsidRPr="007867F3">
        <w:rPr>
          <w:vertAlign w:val="superscript"/>
        </w:rPr>
        <w:t>er</w:t>
      </w:r>
      <w:r>
        <w:t xml:space="preserve"> sept</w:t>
      </w:r>
      <w:r w:rsidR="005E52C5">
        <w:t>.</w:t>
      </w:r>
      <w:r>
        <w:t xml:space="preserve"> 2025, 222 EX/17.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81E"/>
    <w:multiLevelType w:val="hybridMultilevel"/>
    <w:tmpl w:val="6798A6A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2A2C24F2"/>
    <w:multiLevelType w:val="hybridMultilevel"/>
    <w:tmpl w:val="E79E30C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C51658"/>
    <w:multiLevelType w:val="hybridMultilevel"/>
    <w:tmpl w:val="E0F8124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8234AAD"/>
    <w:multiLevelType w:val="hybridMultilevel"/>
    <w:tmpl w:val="527CAE9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445F406C"/>
    <w:multiLevelType w:val="hybridMultilevel"/>
    <w:tmpl w:val="8662BD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CA3436"/>
    <w:multiLevelType w:val="hybridMultilevel"/>
    <w:tmpl w:val="67B877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4B412B"/>
    <w:multiLevelType w:val="hybridMultilevel"/>
    <w:tmpl w:val="90742E8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73B24F4C"/>
    <w:multiLevelType w:val="hybridMultilevel"/>
    <w:tmpl w:val="9F342AA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7D47539A"/>
    <w:multiLevelType w:val="hybridMultilevel"/>
    <w:tmpl w:val="58D20C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1437087">
    <w:abstractNumId w:val="4"/>
  </w:num>
  <w:num w:numId="2" w16cid:durableId="766001197">
    <w:abstractNumId w:val="5"/>
  </w:num>
  <w:num w:numId="3" w16cid:durableId="953361464">
    <w:abstractNumId w:val="0"/>
  </w:num>
  <w:num w:numId="4" w16cid:durableId="314142583">
    <w:abstractNumId w:val="2"/>
  </w:num>
  <w:num w:numId="5" w16cid:durableId="1474592630">
    <w:abstractNumId w:val="3"/>
  </w:num>
  <w:num w:numId="6" w16cid:durableId="1856309293">
    <w:abstractNumId w:val="6"/>
  </w:num>
  <w:num w:numId="7" w16cid:durableId="938561779">
    <w:abstractNumId w:val="7"/>
  </w:num>
  <w:num w:numId="8" w16cid:durableId="993528608">
    <w:abstractNumId w:val="1"/>
  </w:num>
  <w:num w:numId="9" w16cid:durableId="362364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F1"/>
    <w:rsid w:val="00010F03"/>
    <w:rsid w:val="00033AE2"/>
    <w:rsid w:val="0004194C"/>
    <w:rsid w:val="00056227"/>
    <w:rsid w:val="0006076B"/>
    <w:rsid w:val="000858C2"/>
    <w:rsid w:val="000A206D"/>
    <w:rsid w:val="000A4085"/>
    <w:rsid w:val="000C3B1F"/>
    <w:rsid w:val="001030AF"/>
    <w:rsid w:val="00103D08"/>
    <w:rsid w:val="00105ABA"/>
    <w:rsid w:val="00131BED"/>
    <w:rsid w:val="00174A1A"/>
    <w:rsid w:val="0018390D"/>
    <w:rsid w:val="001903FE"/>
    <w:rsid w:val="00193BD4"/>
    <w:rsid w:val="002042EB"/>
    <w:rsid w:val="00210A14"/>
    <w:rsid w:val="00213178"/>
    <w:rsid w:val="0022611F"/>
    <w:rsid w:val="00256340"/>
    <w:rsid w:val="00273A3C"/>
    <w:rsid w:val="002A02C1"/>
    <w:rsid w:val="002A5A16"/>
    <w:rsid w:val="00315827"/>
    <w:rsid w:val="003346C9"/>
    <w:rsid w:val="00383E46"/>
    <w:rsid w:val="0039659B"/>
    <w:rsid w:val="003A4340"/>
    <w:rsid w:val="003B5689"/>
    <w:rsid w:val="003E5451"/>
    <w:rsid w:val="00403742"/>
    <w:rsid w:val="004150FA"/>
    <w:rsid w:val="0042632A"/>
    <w:rsid w:val="0044628F"/>
    <w:rsid w:val="00461E51"/>
    <w:rsid w:val="004926D7"/>
    <w:rsid w:val="00494917"/>
    <w:rsid w:val="004A553F"/>
    <w:rsid w:val="004B42D7"/>
    <w:rsid w:val="004B792B"/>
    <w:rsid w:val="00514221"/>
    <w:rsid w:val="00524C08"/>
    <w:rsid w:val="00536C10"/>
    <w:rsid w:val="0054350E"/>
    <w:rsid w:val="00545108"/>
    <w:rsid w:val="00562714"/>
    <w:rsid w:val="005C789B"/>
    <w:rsid w:val="005E33A8"/>
    <w:rsid w:val="005E52C5"/>
    <w:rsid w:val="005F557A"/>
    <w:rsid w:val="00611684"/>
    <w:rsid w:val="00630159"/>
    <w:rsid w:val="00651311"/>
    <w:rsid w:val="00653D62"/>
    <w:rsid w:val="006914A1"/>
    <w:rsid w:val="006D4ABD"/>
    <w:rsid w:val="006E253F"/>
    <w:rsid w:val="006F254B"/>
    <w:rsid w:val="00711BCF"/>
    <w:rsid w:val="0072599B"/>
    <w:rsid w:val="007714C8"/>
    <w:rsid w:val="00772206"/>
    <w:rsid w:val="007867F3"/>
    <w:rsid w:val="007E0FA9"/>
    <w:rsid w:val="007E4249"/>
    <w:rsid w:val="007E73D0"/>
    <w:rsid w:val="008543CE"/>
    <w:rsid w:val="00887C47"/>
    <w:rsid w:val="008F0ED1"/>
    <w:rsid w:val="00942AB6"/>
    <w:rsid w:val="00943600"/>
    <w:rsid w:val="00944B30"/>
    <w:rsid w:val="009462D8"/>
    <w:rsid w:val="00970213"/>
    <w:rsid w:val="009716B5"/>
    <w:rsid w:val="009847CA"/>
    <w:rsid w:val="009B444E"/>
    <w:rsid w:val="009E4974"/>
    <w:rsid w:val="009E68E0"/>
    <w:rsid w:val="00A0647C"/>
    <w:rsid w:val="00A15B1D"/>
    <w:rsid w:val="00A21A11"/>
    <w:rsid w:val="00A41054"/>
    <w:rsid w:val="00A564E6"/>
    <w:rsid w:val="00AE5DF4"/>
    <w:rsid w:val="00AE6E4A"/>
    <w:rsid w:val="00B01744"/>
    <w:rsid w:val="00B2043D"/>
    <w:rsid w:val="00B403A5"/>
    <w:rsid w:val="00B72D03"/>
    <w:rsid w:val="00B75F88"/>
    <w:rsid w:val="00B83CFD"/>
    <w:rsid w:val="00BE4F29"/>
    <w:rsid w:val="00C134F9"/>
    <w:rsid w:val="00C17513"/>
    <w:rsid w:val="00C34252"/>
    <w:rsid w:val="00C60F2D"/>
    <w:rsid w:val="00C72877"/>
    <w:rsid w:val="00CA7877"/>
    <w:rsid w:val="00CB1DCA"/>
    <w:rsid w:val="00CC3EF1"/>
    <w:rsid w:val="00CE05E2"/>
    <w:rsid w:val="00D1711F"/>
    <w:rsid w:val="00D55DDB"/>
    <w:rsid w:val="00D978EC"/>
    <w:rsid w:val="00DB64EE"/>
    <w:rsid w:val="00E10741"/>
    <w:rsid w:val="00E373C1"/>
    <w:rsid w:val="00E64F72"/>
    <w:rsid w:val="00E91C92"/>
    <w:rsid w:val="00F0111E"/>
    <w:rsid w:val="00F027C5"/>
    <w:rsid w:val="00F02CBB"/>
    <w:rsid w:val="00F33C8F"/>
    <w:rsid w:val="00F36BB2"/>
    <w:rsid w:val="00F560C5"/>
    <w:rsid w:val="00F71267"/>
    <w:rsid w:val="00F866BA"/>
    <w:rsid w:val="00F97097"/>
    <w:rsid w:val="00FD6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A991"/>
  <w15:chartTrackingRefBased/>
  <w15:docId w15:val="{E92B911B-1BC2-BE42-9CE7-64BDDA7A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F1"/>
    <w:pPr>
      <w:jc w:val="both"/>
    </w:pPr>
    <w:rPr>
      <w:rFonts w:ascii="Times New Roman" w:hAnsi="Times New Roman"/>
    </w:rPr>
  </w:style>
  <w:style w:type="paragraph" w:styleId="Titre1">
    <w:name w:val="heading 1"/>
    <w:basedOn w:val="Normal"/>
    <w:next w:val="Normal"/>
    <w:link w:val="Titre1Car"/>
    <w:uiPriority w:val="9"/>
    <w:qFormat/>
    <w:rsid w:val="00CC3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3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3E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3E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C3EF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C3EF1"/>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C3EF1"/>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C3EF1"/>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C3EF1"/>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3E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3E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3E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3E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3E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3E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3E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3E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3EF1"/>
    <w:rPr>
      <w:rFonts w:eastAsiaTheme="majorEastAsia" w:cstheme="majorBidi"/>
      <w:color w:val="272727" w:themeColor="text1" w:themeTint="D8"/>
    </w:rPr>
  </w:style>
  <w:style w:type="paragraph" w:styleId="Titre">
    <w:name w:val="Title"/>
    <w:basedOn w:val="Normal"/>
    <w:next w:val="Normal"/>
    <w:link w:val="TitreCar"/>
    <w:uiPriority w:val="10"/>
    <w:qFormat/>
    <w:rsid w:val="00CC3EF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3E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3E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3E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3EF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3EF1"/>
    <w:rPr>
      <w:rFonts w:ascii="Times New Roman" w:hAnsi="Times New Roman"/>
      <w:i/>
      <w:iCs/>
      <w:color w:val="404040" w:themeColor="text1" w:themeTint="BF"/>
    </w:rPr>
  </w:style>
  <w:style w:type="paragraph" w:styleId="Paragraphedeliste">
    <w:name w:val="List Paragraph"/>
    <w:basedOn w:val="Normal"/>
    <w:uiPriority w:val="34"/>
    <w:qFormat/>
    <w:rsid w:val="00CC3EF1"/>
    <w:pPr>
      <w:ind w:left="720"/>
      <w:contextualSpacing/>
    </w:pPr>
  </w:style>
  <w:style w:type="character" w:styleId="Accentuationintense">
    <w:name w:val="Intense Emphasis"/>
    <w:basedOn w:val="Policepardfaut"/>
    <w:uiPriority w:val="21"/>
    <w:qFormat/>
    <w:rsid w:val="00CC3EF1"/>
    <w:rPr>
      <w:i/>
      <w:iCs/>
      <w:color w:val="0F4761" w:themeColor="accent1" w:themeShade="BF"/>
    </w:rPr>
  </w:style>
  <w:style w:type="paragraph" w:styleId="Citationintense">
    <w:name w:val="Intense Quote"/>
    <w:basedOn w:val="Normal"/>
    <w:next w:val="Normal"/>
    <w:link w:val="CitationintenseCar"/>
    <w:uiPriority w:val="30"/>
    <w:qFormat/>
    <w:rsid w:val="00CC3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3EF1"/>
    <w:rPr>
      <w:rFonts w:ascii="Times New Roman" w:hAnsi="Times New Roman"/>
      <w:i/>
      <w:iCs/>
      <w:color w:val="0F4761" w:themeColor="accent1" w:themeShade="BF"/>
    </w:rPr>
  </w:style>
  <w:style w:type="character" w:styleId="Rfrenceintense">
    <w:name w:val="Intense Reference"/>
    <w:basedOn w:val="Policepardfaut"/>
    <w:uiPriority w:val="32"/>
    <w:qFormat/>
    <w:rsid w:val="00CC3EF1"/>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E68E0"/>
    <w:rPr>
      <w:sz w:val="20"/>
      <w:szCs w:val="20"/>
    </w:rPr>
  </w:style>
  <w:style w:type="character" w:customStyle="1" w:styleId="NotedebasdepageCar">
    <w:name w:val="Note de bas de page Car"/>
    <w:basedOn w:val="Policepardfaut"/>
    <w:link w:val="Notedebasdepage"/>
    <w:uiPriority w:val="99"/>
    <w:semiHidden/>
    <w:rsid w:val="009E68E0"/>
    <w:rPr>
      <w:rFonts w:ascii="Times New Roman" w:hAnsi="Times New Roman"/>
      <w:sz w:val="20"/>
      <w:szCs w:val="20"/>
    </w:rPr>
  </w:style>
  <w:style w:type="character" w:styleId="Appelnotedebasdep">
    <w:name w:val="footnote reference"/>
    <w:basedOn w:val="Policepardfaut"/>
    <w:uiPriority w:val="99"/>
    <w:semiHidden/>
    <w:unhideWhenUsed/>
    <w:rsid w:val="009E68E0"/>
    <w:rPr>
      <w:vertAlign w:val="superscript"/>
    </w:rPr>
  </w:style>
  <w:style w:type="character" w:styleId="Lienhypertexte">
    <w:name w:val="Hyperlink"/>
    <w:basedOn w:val="Policepardfaut"/>
    <w:uiPriority w:val="99"/>
    <w:unhideWhenUsed/>
    <w:rsid w:val="00B2043D"/>
    <w:rPr>
      <w:color w:val="467886" w:themeColor="hyperlink"/>
      <w:u w:val="single"/>
    </w:rPr>
  </w:style>
  <w:style w:type="character" w:styleId="Mentionnonrsolue">
    <w:name w:val="Unresolved Mention"/>
    <w:basedOn w:val="Policepardfaut"/>
    <w:uiPriority w:val="99"/>
    <w:semiHidden/>
    <w:unhideWhenUsed/>
    <w:rsid w:val="00B2043D"/>
    <w:rPr>
      <w:color w:val="605E5C"/>
      <w:shd w:val="clear" w:color="auto" w:fill="E1DFDD"/>
    </w:rPr>
  </w:style>
  <w:style w:type="character" w:customStyle="1" w:styleId="agcmg">
    <w:name w:val="a_gcmg"/>
    <w:basedOn w:val="Policepardfaut"/>
    <w:rsid w:val="005E33A8"/>
  </w:style>
  <w:style w:type="paragraph" w:styleId="En-tte">
    <w:name w:val="header"/>
    <w:basedOn w:val="Normal"/>
    <w:link w:val="En-tteCar"/>
    <w:uiPriority w:val="99"/>
    <w:unhideWhenUsed/>
    <w:rsid w:val="005C789B"/>
    <w:pPr>
      <w:tabs>
        <w:tab w:val="center" w:pos="4536"/>
        <w:tab w:val="right" w:pos="9072"/>
      </w:tabs>
    </w:pPr>
  </w:style>
  <w:style w:type="character" w:customStyle="1" w:styleId="En-tteCar">
    <w:name w:val="En-tête Car"/>
    <w:basedOn w:val="Policepardfaut"/>
    <w:link w:val="En-tte"/>
    <w:uiPriority w:val="99"/>
    <w:rsid w:val="005C789B"/>
    <w:rPr>
      <w:rFonts w:ascii="Times New Roman" w:hAnsi="Times New Roman"/>
    </w:rPr>
  </w:style>
  <w:style w:type="paragraph" w:styleId="Pieddepage">
    <w:name w:val="footer"/>
    <w:basedOn w:val="Normal"/>
    <w:link w:val="PieddepageCar"/>
    <w:uiPriority w:val="99"/>
    <w:unhideWhenUsed/>
    <w:rsid w:val="005C789B"/>
    <w:pPr>
      <w:tabs>
        <w:tab w:val="center" w:pos="4536"/>
        <w:tab w:val="right" w:pos="9072"/>
      </w:tabs>
    </w:pPr>
  </w:style>
  <w:style w:type="character" w:customStyle="1" w:styleId="PieddepageCar">
    <w:name w:val="Pied de page Car"/>
    <w:basedOn w:val="Policepardfaut"/>
    <w:link w:val="Pieddepage"/>
    <w:uiPriority w:val="99"/>
    <w:rsid w:val="005C789B"/>
    <w:rPr>
      <w:rFonts w:ascii="Times New Roman" w:hAnsi="Times New Roman"/>
    </w:rPr>
  </w:style>
  <w:style w:type="character" w:styleId="Numrodepage">
    <w:name w:val="page number"/>
    <w:basedOn w:val="Policepardfaut"/>
    <w:uiPriority w:val="99"/>
    <w:semiHidden/>
    <w:unhideWhenUsed/>
    <w:rsid w:val="005C789B"/>
  </w:style>
  <w:style w:type="paragraph" w:styleId="Rvision">
    <w:name w:val="Revision"/>
    <w:hidden/>
    <w:uiPriority w:val="99"/>
    <w:semiHidden/>
    <w:rsid w:val="00F97097"/>
    <w:rPr>
      <w:rFonts w:ascii="Times New Roman" w:hAnsi="Times New Roman"/>
    </w:rPr>
  </w:style>
  <w:style w:type="character" w:styleId="Lienhypertextesuivivisit">
    <w:name w:val="FollowedHyperlink"/>
    <w:basedOn w:val="Policepardfaut"/>
    <w:uiPriority w:val="99"/>
    <w:semiHidden/>
    <w:unhideWhenUsed/>
    <w:rsid w:val="00E91C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7</Pages>
  <Words>3249</Words>
  <Characters>18135</Characters>
  <Application>Microsoft Office Word</Application>
  <DocSecurity>0</DocSecurity>
  <Lines>329</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Maurel</dc:creator>
  <cp:keywords/>
  <dc:description/>
  <cp:lastModifiedBy>Raphaël Maurel</cp:lastModifiedBy>
  <cp:revision>75</cp:revision>
  <dcterms:created xsi:type="dcterms:W3CDTF">2025-10-25T19:44:00Z</dcterms:created>
  <dcterms:modified xsi:type="dcterms:W3CDTF">2026-03-13T16:37:00Z</dcterms:modified>
</cp:coreProperties>
</file>