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2638" w14:textId="26537ECC" w:rsidR="0079649C" w:rsidRPr="00641B73" w:rsidRDefault="00C1113E" w:rsidP="00980CCF">
      <w:pPr>
        <w:numPr>
          <w:ilvl w:val="0"/>
          <w:numId w:val="0"/>
        </w:numPr>
        <w:spacing w:line="276" w:lineRule="auto"/>
        <w:jc w:val="center"/>
        <w:rPr>
          <w:rStyle w:val="kpdfviewer"/>
          <w:rFonts w:cs="Times New Roman"/>
          <w:b/>
          <w:bCs/>
          <w:szCs w:val="24"/>
        </w:rPr>
      </w:pPr>
      <w:r>
        <w:rPr>
          <w:rStyle w:val="kpdfviewer"/>
          <w:rFonts w:cs="Times New Roman"/>
          <w:b/>
          <w:bCs/>
          <w:szCs w:val="24"/>
        </w:rPr>
        <w:t>À la</w:t>
      </w:r>
      <w:r w:rsidR="00F930D1">
        <w:rPr>
          <w:rStyle w:val="kpdfviewer"/>
          <w:rFonts w:cs="Times New Roman"/>
          <w:b/>
          <w:bCs/>
          <w:szCs w:val="24"/>
        </w:rPr>
        <w:t xml:space="preserve"> recherche</w:t>
      </w:r>
      <w:r w:rsidR="007755C6">
        <w:rPr>
          <w:rStyle w:val="kpdfviewer"/>
          <w:rFonts w:cs="Times New Roman"/>
          <w:b/>
          <w:bCs/>
          <w:szCs w:val="24"/>
        </w:rPr>
        <w:t xml:space="preserve"> d’un</w:t>
      </w:r>
      <w:r w:rsidR="008370A9" w:rsidRPr="00641B73">
        <w:rPr>
          <w:rStyle w:val="kpdfviewer"/>
          <w:rFonts w:cs="Times New Roman"/>
          <w:b/>
          <w:bCs/>
          <w:szCs w:val="24"/>
        </w:rPr>
        <w:t xml:space="preserve"> droit commun des mesures provisoires</w:t>
      </w:r>
      <w:r w:rsidR="00A11D67">
        <w:rPr>
          <w:rStyle w:val="kpdfviewer"/>
          <w:rFonts w:cs="Times New Roman"/>
          <w:b/>
          <w:bCs/>
          <w:szCs w:val="24"/>
        </w:rPr>
        <w:t xml:space="preserve"> en droit international et régional</w:t>
      </w:r>
    </w:p>
    <w:p w14:paraId="75058D8C" w14:textId="77777777" w:rsidR="008370A9" w:rsidRPr="00641B73" w:rsidRDefault="008370A9" w:rsidP="00980CCF">
      <w:pPr>
        <w:numPr>
          <w:ilvl w:val="0"/>
          <w:numId w:val="0"/>
        </w:numPr>
        <w:spacing w:line="276" w:lineRule="auto"/>
        <w:jc w:val="center"/>
        <w:rPr>
          <w:rFonts w:cs="Times New Roman"/>
          <w:szCs w:val="24"/>
        </w:rPr>
      </w:pPr>
    </w:p>
    <w:p w14:paraId="4B52036A" w14:textId="77777777" w:rsidR="0079649C" w:rsidRPr="00641B73" w:rsidRDefault="0079649C" w:rsidP="00980CCF">
      <w:pPr>
        <w:numPr>
          <w:ilvl w:val="0"/>
          <w:numId w:val="0"/>
        </w:numPr>
        <w:spacing w:line="276" w:lineRule="auto"/>
        <w:jc w:val="center"/>
        <w:rPr>
          <w:rFonts w:cs="Times New Roman"/>
          <w:szCs w:val="24"/>
        </w:rPr>
      </w:pPr>
      <w:r w:rsidRPr="00641B73">
        <w:rPr>
          <w:rFonts w:cs="Times New Roman"/>
          <w:szCs w:val="24"/>
        </w:rPr>
        <w:t>Raphaël Maurel</w:t>
      </w:r>
      <w:r w:rsidRPr="002138C1">
        <w:rPr>
          <w:rStyle w:val="Appelnotedebasdep"/>
        </w:rPr>
        <w:footnoteReference w:id="1"/>
      </w:r>
    </w:p>
    <w:p w14:paraId="28216B92" w14:textId="6C85A4EB" w:rsidR="0079649C" w:rsidRPr="00641B73" w:rsidRDefault="0079649C" w:rsidP="00980CCF">
      <w:pPr>
        <w:numPr>
          <w:ilvl w:val="0"/>
          <w:numId w:val="0"/>
        </w:numPr>
        <w:spacing w:line="276" w:lineRule="auto"/>
        <w:rPr>
          <w:rFonts w:cs="Times New Roman"/>
          <w:szCs w:val="24"/>
        </w:rPr>
      </w:pPr>
    </w:p>
    <w:p w14:paraId="30963B40" w14:textId="59CDA1EC" w:rsidR="002A3951" w:rsidRDefault="00930832" w:rsidP="00980CCF">
      <w:pPr>
        <w:numPr>
          <w:ilvl w:val="0"/>
          <w:numId w:val="0"/>
        </w:numPr>
        <w:spacing w:line="276" w:lineRule="auto"/>
        <w:rPr>
          <w:rFonts w:cs="Times New Roman"/>
          <w:szCs w:val="24"/>
        </w:rPr>
      </w:pPr>
      <w:r>
        <w:rPr>
          <w:rFonts w:cs="Times New Roman"/>
          <w:szCs w:val="24"/>
        </w:rPr>
        <w:t>Le</w:t>
      </w:r>
      <w:r w:rsidR="00641B73">
        <w:rPr>
          <w:rFonts w:cs="Times New Roman"/>
          <w:szCs w:val="24"/>
        </w:rPr>
        <w:t xml:space="preserve"> colloque de Clermont-Ferrand</w:t>
      </w:r>
      <w:r>
        <w:rPr>
          <w:rFonts w:cs="Times New Roman"/>
          <w:szCs w:val="24"/>
        </w:rPr>
        <w:t>, magistralement organisé par le directeur de la présente publication</w:t>
      </w:r>
      <w:r w:rsidR="002A3951">
        <w:rPr>
          <w:rFonts w:cs="Times New Roman"/>
          <w:szCs w:val="24"/>
        </w:rPr>
        <w:t xml:space="preserve"> autour du thème </w:t>
      </w:r>
      <w:r w:rsidR="002A3951">
        <w:rPr>
          <w:rFonts w:cs="Times New Roman"/>
          <w:szCs w:val="24"/>
        </w:rPr>
        <w:t>« </w:t>
      </w:r>
      <w:r w:rsidR="002A3951" w:rsidRPr="002A3951">
        <w:rPr>
          <w:rFonts w:cs="Times New Roman"/>
          <w:szCs w:val="24"/>
        </w:rPr>
        <w:t>L'effectivité du provisoire en droit international et européen</w:t>
      </w:r>
      <w:r w:rsidR="002A3951">
        <w:rPr>
          <w:rFonts w:cs="Times New Roman"/>
          <w:szCs w:val="24"/>
        </w:rPr>
        <w:t> »</w:t>
      </w:r>
      <w:r>
        <w:rPr>
          <w:rFonts w:cs="Times New Roman"/>
          <w:szCs w:val="24"/>
        </w:rPr>
        <w:t xml:space="preserve">, était une indéniable réussite. Il a permis de réunir, autour </w:t>
      </w:r>
      <w:r w:rsidR="002A3951">
        <w:rPr>
          <w:rFonts w:cs="Times New Roman"/>
          <w:szCs w:val="24"/>
        </w:rPr>
        <w:t>de ce</w:t>
      </w:r>
      <w:r>
        <w:rPr>
          <w:rFonts w:cs="Times New Roman"/>
          <w:szCs w:val="24"/>
        </w:rPr>
        <w:t xml:space="preserve"> thème commun, des spécialistes de plusieurs branches de droit et d’identifier des lignes de force comme des divergences</w:t>
      </w:r>
      <w:r w:rsidR="002A3951">
        <w:rPr>
          <w:rFonts w:cs="Times New Roman"/>
          <w:szCs w:val="24"/>
        </w:rPr>
        <w:t xml:space="preserve"> concrètes, ce qui n’est pas toujours le cas des colloques universitaires consacrés à des sujets de premier abord aussi complexes</w:t>
      </w:r>
      <w:r>
        <w:rPr>
          <w:rFonts w:cs="Times New Roman"/>
          <w:szCs w:val="24"/>
        </w:rPr>
        <w:t xml:space="preserve">. </w:t>
      </w:r>
      <w:r w:rsidR="002A3951">
        <w:rPr>
          <w:rFonts w:cs="Times New Roman"/>
          <w:szCs w:val="24"/>
        </w:rPr>
        <w:t>Le</w:t>
      </w:r>
      <w:r>
        <w:rPr>
          <w:rFonts w:cs="Times New Roman"/>
          <w:szCs w:val="24"/>
        </w:rPr>
        <w:t xml:space="preserve"> titre de la </w:t>
      </w:r>
      <w:r w:rsidR="002A3951">
        <w:rPr>
          <w:rFonts w:cs="Times New Roman"/>
          <w:szCs w:val="24"/>
        </w:rPr>
        <w:t xml:space="preserve">communication orale </w:t>
      </w:r>
      <w:r w:rsidR="00347FC8">
        <w:rPr>
          <w:rFonts w:cs="Times New Roman"/>
          <w:szCs w:val="24"/>
        </w:rPr>
        <w:t>initialement</w:t>
      </w:r>
      <w:r w:rsidR="002A3951">
        <w:rPr>
          <w:rFonts w:cs="Times New Roman"/>
          <w:szCs w:val="24"/>
        </w:rPr>
        <w:t xml:space="preserve"> confiée à l’auteur de ces lignes par Ludovic </w:t>
      </w:r>
      <w:proofErr w:type="spellStart"/>
      <w:r w:rsidR="002A3951">
        <w:rPr>
          <w:rFonts w:cs="Times New Roman"/>
          <w:szCs w:val="24"/>
        </w:rPr>
        <w:t>Benezech</w:t>
      </w:r>
      <w:proofErr w:type="spellEnd"/>
      <w:r w:rsidR="002A3951">
        <w:rPr>
          <w:rFonts w:cs="Times New Roman"/>
          <w:szCs w:val="24"/>
        </w:rPr>
        <w:t>, « </w:t>
      </w:r>
      <w:r w:rsidR="002A3951" w:rsidRPr="002A3951">
        <w:rPr>
          <w:rFonts w:cs="Times New Roman"/>
          <w:szCs w:val="24"/>
        </w:rPr>
        <w:t>La construction d'un droit commun des mesures provisoires</w:t>
      </w:r>
      <w:r w:rsidR="002A3951">
        <w:rPr>
          <w:rFonts w:cs="Times New Roman"/>
          <w:szCs w:val="24"/>
        </w:rPr>
        <w:t> </w:t>
      </w:r>
      <w:r w:rsidR="002A3951" w:rsidRPr="002A3951">
        <w:rPr>
          <w:rFonts w:cs="Times New Roman"/>
          <w:szCs w:val="24"/>
        </w:rPr>
        <w:t>?</w:t>
      </w:r>
      <w:r w:rsidR="002A3951">
        <w:rPr>
          <w:rFonts w:cs="Times New Roman"/>
          <w:szCs w:val="24"/>
        </w:rPr>
        <w:t> »,</w:t>
      </w:r>
      <w:r w:rsidR="002A3951" w:rsidRPr="002A3951">
        <w:rPr>
          <w:rFonts w:cs="Times New Roman"/>
          <w:szCs w:val="24"/>
        </w:rPr>
        <w:t xml:space="preserve"> </w:t>
      </w:r>
      <w:r w:rsidR="002A3951">
        <w:rPr>
          <w:rFonts w:cs="Times New Roman"/>
          <w:szCs w:val="24"/>
        </w:rPr>
        <w:t>pouvait</w:t>
      </w:r>
      <w:r>
        <w:rPr>
          <w:rFonts w:cs="Times New Roman"/>
          <w:szCs w:val="24"/>
        </w:rPr>
        <w:t xml:space="preserve"> </w:t>
      </w:r>
      <w:r w:rsidR="00347FC8">
        <w:rPr>
          <w:rFonts w:cs="Times New Roman"/>
          <w:szCs w:val="24"/>
        </w:rPr>
        <w:t>questionner au-delà même de sa mystérieuse – et judicieuse – formulation interrogative</w:t>
      </w:r>
      <w:r>
        <w:rPr>
          <w:rFonts w:cs="Times New Roman"/>
          <w:szCs w:val="24"/>
        </w:rPr>
        <w:t> : ne s’agi</w:t>
      </w:r>
      <w:r w:rsidR="002A3951">
        <w:rPr>
          <w:rFonts w:cs="Times New Roman"/>
          <w:szCs w:val="24"/>
        </w:rPr>
        <w:t>ssai</w:t>
      </w:r>
      <w:r>
        <w:rPr>
          <w:rFonts w:cs="Times New Roman"/>
          <w:szCs w:val="24"/>
        </w:rPr>
        <w:t>t-il pas de traiter</w:t>
      </w:r>
      <w:r w:rsidR="002A3951">
        <w:rPr>
          <w:rFonts w:cs="Times New Roman"/>
          <w:szCs w:val="24"/>
        </w:rPr>
        <w:t xml:space="preserve">, </w:t>
      </w:r>
      <w:r w:rsidR="002A3951">
        <w:rPr>
          <w:rFonts w:cs="Times New Roman"/>
          <w:i/>
          <w:iCs/>
          <w:szCs w:val="24"/>
        </w:rPr>
        <w:t>in fine</w:t>
      </w:r>
      <w:r w:rsidR="002A3951">
        <w:rPr>
          <w:rFonts w:cs="Times New Roman"/>
          <w:szCs w:val="24"/>
        </w:rPr>
        <w:t>,</w:t>
      </w:r>
      <w:r>
        <w:rPr>
          <w:rFonts w:cs="Times New Roman"/>
          <w:szCs w:val="24"/>
        </w:rPr>
        <w:t xml:space="preserve"> de l’ensemble de la journée ?</w:t>
      </w:r>
      <w:r w:rsidR="00D43B9F">
        <w:rPr>
          <w:rFonts w:cs="Times New Roman"/>
          <w:szCs w:val="24"/>
        </w:rPr>
        <w:t xml:space="preserve"> </w:t>
      </w:r>
    </w:p>
    <w:p w14:paraId="5BDF7FC2" w14:textId="77777777" w:rsidR="002A3951" w:rsidRDefault="002A3951" w:rsidP="00980CCF">
      <w:pPr>
        <w:numPr>
          <w:ilvl w:val="0"/>
          <w:numId w:val="0"/>
        </w:numPr>
        <w:spacing w:line="276" w:lineRule="auto"/>
        <w:rPr>
          <w:rFonts w:cs="Times New Roman"/>
          <w:szCs w:val="24"/>
        </w:rPr>
      </w:pPr>
    </w:p>
    <w:p w14:paraId="38DE8279" w14:textId="2A03CAF8" w:rsidR="002A3951" w:rsidRDefault="00930832" w:rsidP="00980CCF">
      <w:pPr>
        <w:numPr>
          <w:ilvl w:val="0"/>
          <w:numId w:val="0"/>
        </w:numPr>
        <w:spacing w:line="276" w:lineRule="auto"/>
        <w:rPr>
          <w:rFonts w:cs="Times New Roman"/>
          <w:szCs w:val="24"/>
        </w:rPr>
      </w:pPr>
      <w:r>
        <w:rPr>
          <w:rFonts w:cs="Times New Roman"/>
          <w:szCs w:val="24"/>
        </w:rPr>
        <w:t xml:space="preserve">Sans prétendre </w:t>
      </w:r>
      <w:r w:rsidR="002A3951">
        <w:rPr>
          <w:rFonts w:cs="Times New Roman"/>
          <w:szCs w:val="24"/>
        </w:rPr>
        <w:t xml:space="preserve">vouloir, ni pouvoir, y </w:t>
      </w:r>
      <w:r>
        <w:rPr>
          <w:rFonts w:cs="Times New Roman"/>
          <w:szCs w:val="24"/>
        </w:rPr>
        <w:t xml:space="preserve">apporter de réponses fermes, </w:t>
      </w:r>
      <w:r w:rsidR="002A3951">
        <w:rPr>
          <w:rFonts w:cs="Times New Roman"/>
          <w:szCs w:val="24"/>
        </w:rPr>
        <w:t>la démarche qui a guidé cette réflexion est partie de l’intuition qu’il existait suffisamment d’éléments pour identifier un tel droit commun. L’application d’une méthode simple, consistant à comparer les fondements des pouvoirs d’ordonner, de recommander ou d’indiquer des mesures provisoires ou conservatoires</w:t>
      </w:r>
      <w:r w:rsidR="00980CCF">
        <w:rPr>
          <w:rStyle w:val="Appelnotedebasdep"/>
          <w:rFonts w:cs="Times New Roman"/>
          <w:szCs w:val="24"/>
        </w:rPr>
        <w:footnoteReference w:id="2"/>
      </w:r>
      <w:r w:rsidR="002A3951">
        <w:rPr>
          <w:rFonts w:cs="Times New Roman"/>
          <w:szCs w:val="24"/>
        </w:rPr>
        <w:t xml:space="preserve"> a – presque – suffi </w:t>
      </w:r>
      <w:r w:rsidR="00980CCF">
        <w:rPr>
          <w:rFonts w:cs="Times New Roman"/>
          <w:szCs w:val="24"/>
        </w:rPr>
        <w:t>en</w:t>
      </w:r>
      <w:r w:rsidR="002A3951">
        <w:rPr>
          <w:rFonts w:cs="Times New Roman"/>
          <w:szCs w:val="24"/>
        </w:rPr>
        <w:t xml:space="preserve"> elle-même à invalider cette première hypothèse</w:t>
      </w:r>
      <w:r w:rsidR="00980CCF">
        <w:rPr>
          <w:rFonts w:cs="Times New Roman"/>
          <w:szCs w:val="24"/>
        </w:rPr>
        <w:t xml:space="preserve">, ouvrant la voie à une recherche plus précise et </w:t>
      </w:r>
      <w:r w:rsidR="00347FC8">
        <w:rPr>
          <w:rFonts w:cs="Times New Roman"/>
          <w:szCs w:val="24"/>
        </w:rPr>
        <w:t>à</w:t>
      </w:r>
      <w:r w:rsidR="00980CCF">
        <w:rPr>
          <w:rFonts w:cs="Times New Roman"/>
          <w:szCs w:val="24"/>
        </w:rPr>
        <w:t xml:space="preserve"> une modification du titre du présent chapitre.</w:t>
      </w:r>
    </w:p>
    <w:p w14:paraId="02AAC18A" w14:textId="77777777" w:rsidR="00D43B9F" w:rsidRDefault="00D43B9F" w:rsidP="00980CCF">
      <w:pPr>
        <w:numPr>
          <w:ilvl w:val="0"/>
          <w:numId w:val="0"/>
        </w:numPr>
        <w:spacing w:line="276" w:lineRule="auto"/>
        <w:rPr>
          <w:rFonts w:cs="Times New Roman"/>
          <w:szCs w:val="24"/>
        </w:rPr>
      </w:pPr>
    </w:p>
    <w:p w14:paraId="1D11B646" w14:textId="4366DD56" w:rsidR="00D43B9F" w:rsidRDefault="00D43B9F" w:rsidP="00980CCF">
      <w:pPr>
        <w:numPr>
          <w:ilvl w:val="0"/>
          <w:numId w:val="0"/>
        </w:numPr>
        <w:spacing w:line="276" w:lineRule="auto"/>
        <w:rPr>
          <w:rFonts w:cs="Times New Roman"/>
          <w:szCs w:val="24"/>
        </w:rPr>
      </w:pPr>
      <w:r>
        <w:rPr>
          <w:rFonts w:cs="Times New Roman"/>
          <w:szCs w:val="24"/>
        </w:rPr>
        <w:t xml:space="preserve">En premier lieu, </w:t>
      </w:r>
      <w:r w:rsidR="00347FC8">
        <w:rPr>
          <w:rFonts w:cs="Times New Roman"/>
          <w:szCs w:val="24"/>
        </w:rPr>
        <w:t xml:space="preserve">cet intitulé </w:t>
      </w:r>
      <w:r>
        <w:rPr>
          <w:rFonts w:cs="Times New Roman"/>
          <w:szCs w:val="24"/>
        </w:rPr>
        <w:t>implique</w:t>
      </w:r>
      <w:r w:rsidR="00A21A04">
        <w:rPr>
          <w:rFonts w:cs="Times New Roman"/>
          <w:szCs w:val="24"/>
        </w:rPr>
        <w:t xml:space="preserve"> </w:t>
      </w:r>
      <w:r w:rsidR="007D2F75" w:rsidRPr="00641B73">
        <w:rPr>
          <w:rFonts w:cs="Times New Roman"/>
          <w:szCs w:val="24"/>
        </w:rPr>
        <w:t>qu’il existe un « droit des mesures provisoires</w:t>
      </w:r>
      <w:r w:rsidR="00347FC8">
        <w:rPr>
          <w:rFonts w:cs="Times New Roman"/>
          <w:szCs w:val="24"/>
        </w:rPr>
        <w:t xml:space="preserve"> ou conservatoire</w:t>
      </w:r>
      <w:r w:rsidR="007D2F75" w:rsidRPr="00641B73">
        <w:rPr>
          <w:rFonts w:cs="Times New Roman"/>
          <w:szCs w:val="24"/>
        </w:rPr>
        <w:t> »</w:t>
      </w:r>
      <w:r w:rsidR="0072460D" w:rsidRPr="00641B73">
        <w:rPr>
          <w:rFonts w:cs="Times New Roman"/>
          <w:szCs w:val="24"/>
        </w:rPr>
        <w:t xml:space="preserve"> spécifique à chaque organe contentieux devant laquelle </w:t>
      </w:r>
      <w:r w:rsidR="00930832">
        <w:rPr>
          <w:rFonts w:cs="Times New Roman"/>
          <w:szCs w:val="24"/>
        </w:rPr>
        <w:t>d</w:t>
      </w:r>
      <w:r>
        <w:rPr>
          <w:rFonts w:cs="Times New Roman"/>
          <w:szCs w:val="24"/>
        </w:rPr>
        <w:t>es mesures d’urgence</w:t>
      </w:r>
      <w:r w:rsidR="00930832">
        <w:rPr>
          <w:rFonts w:cs="Times New Roman"/>
          <w:szCs w:val="24"/>
        </w:rPr>
        <w:t xml:space="preserve"> – </w:t>
      </w:r>
      <w:r w:rsidR="00347FC8">
        <w:rPr>
          <w:rFonts w:cs="Times New Roman"/>
          <w:szCs w:val="24"/>
        </w:rPr>
        <w:t xml:space="preserve">urgence </w:t>
      </w:r>
      <w:r w:rsidR="00930832">
        <w:rPr>
          <w:rFonts w:cs="Times New Roman"/>
          <w:szCs w:val="24"/>
        </w:rPr>
        <w:t>qui justifie généralement leur caractère provisoire –</w:t>
      </w:r>
      <w:r w:rsidR="0072460D" w:rsidRPr="00641B73">
        <w:rPr>
          <w:rFonts w:cs="Times New Roman"/>
          <w:szCs w:val="24"/>
        </w:rPr>
        <w:t xml:space="preserve"> sont invoquées. </w:t>
      </w:r>
      <w:r>
        <w:rPr>
          <w:rFonts w:cs="Times New Roman"/>
          <w:szCs w:val="24"/>
        </w:rPr>
        <w:t>Cette idée, bien que peu explorée, ne semble pas devoir soulever de difficultés particulières,</w:t>
      </w:r>
      <w:r w:rsidR="0072460D" w:rsidRPr="00641B73">
        <w:rPr>
          <w:rFonts w:cs="Times New Roman"/>
          <w:szCs w:val="24"/>
        </w:rPr>
        <w:t xml:space="preserve"> dès lors qu</w:t>
      </w:r>
      <w:r>
        <w:rPr>
          <w:rFonts w:cs="Times New Roman"/>
          <w:szCs w:val="24"/>
        </w:rPr>
        <w:t>e l</w:t>
      </w:r>
      <w:r w:rsidR="0072460D" w:rsidRPr="00641B73">
        <w:rPr>
          <w:rFonts w:cs="Times New Roman"/>
          <w:szCs w:val="24"/>
        </w:rPr>
        <w:t xml:space="preserve">’on admet que les mesures provisoires sont des procédures incidentes </w:t>
      </w:r>
      <w:r>
        <w:rPr>
          <w:rFonts w:cs="Times New Roman"/>
          <w:szCs w:val="24"/>
        </w:rPr>
        <w:t>impliquant l’application</w:t>
      </w:r>
      <w:r w:rsidR="0072460D" w:rsidRPr="00641B73">
        <w:rPr>
          <w:rFonts w:cs="Times New Roman"/>
          <w:szCs w:val="24"/>
        </w:rPr>
        <w:t xml:space="preserve"> de règles</w:t>
      </w:r>
      <w:r>
        <w:rPr>
          <w:rFonts w:cs="Times New Roman"/>
          <w:szCs w:val="24"/>
        </w:rPr>
        <w:t xml:space="preserve"> procédurales </w:t>
      </w:r>
      <w:r w:rsidR="0072460D" w:rsidRPr="00641B73">
        <w:rPr>
          <w:rFonts w:cs="Times New Roman"/>
          <w:szCs w:val="24"/>
        </w:rPr>
        <w:t xml:space="preserve">différentes de </w:t>
      </w:r>
      <w:r>
        <w:rPr>
          <w:rFonts w:cs="Times New Roman"/>
          <w:szCs w:val="24"/>
        </w:rPr>
        <w:t>celles applicables à la</w:t>
      </w:r>
      <w:r w:rsidR="0072460D" w:rsidRPr="00641B73">
        <w:rPr>
          <w:rFonts w:cs="Times New Roman"/>
          <w:szCs w:val="24"/>
        </w:rPr>
        <w:t xml:space="preserve"> procédure principale</w:t>
      </w:r>
      <w:r w:rsidR="00A21A04">
        <w:rPr>
          <w:rStyle w:val="Appelnotedebasdep"/>
          <w:rFonts w:cs="Times New Roman"/>
          <w:szCs w:val="24"/>
        </w:rPr>
        <w:footnoteReference w:id="3"/>
      </w:r>
      <w:r>
        <w:rPr>
          <w:rFonts w:cs="Times New Roman"/>
          <w:szCs w:val="24"/>
        </w:rPr>
        <w:t>. Il est notoire que</w:t>
      </w:r>
      <w:r w:rsidR="0072460D" w:rsidRPr="00641B73">
        <w:rPr>
          <w:rFonts w:cs="Times New Roman"/>
          <w:szCs w:val="24"/>
        </w:rPr>
        <w:t xml:space="preserve"> le degré </w:t>
      </w:r>
      <w:r>
        <w:rPr>
          <w:rFonts w:cs="Times New Roman"/>
          <w:szCs w:val="24"/>
        </w:rPr>
        <w:t xml:space="preserve">exigé </w:t>
      </w:r>
      <w:r w:rsidR="0072460D" w:rsidRPr="00641B73">
        <w:rPr>
          <w:rFonts w:cs="Times New Roman"/>
          <w:szCs w:val="24"/>
        </w:rPr>
        <w:t xml:space="preserve">de la preuve </w:t>
      </w:r>
      <w:r>
        <w:rPr>
          <w:rFonts w:cs="Times New Roman"/>
          <w:szCs w:val="24"/>
        </w:rPr>
        <w:t xml:space="preserve">n’est pas identique au stade des mesures provisoires qui sont censées être urgentes, de même que, plus généralement, les </w:t>
      </w:r>
      <w:r w:rsidR="0072460D" w:rsidRPr="00641B73">
        <w:rPr>
          <w:rFonts w:cs="Times New Roman"/>
          <w:szCs w:val="24"/>
        </w:rPr>
        <w:t xml:space="preserve">règles de procédures </w:t>
      </w:r>
      <w:r>
        <w:rPr>
          <w:rFonts w:cs="Times New Roman"/>
          <w:szCs w:val="24"/>
        </w:rPr>
        <w:t>se trouvent</w:t>
      </w:r>
      <w:r w:rsidR="0072460D" w:rsidRPr="00641B73">
        <w:rPr>
          <w:rFonts w:cs="Times New Roman"/>
          <w:szCs w:val="24"/>
        </w:rPr>
        <w:t xml:space="preserve"> allégées face à</w:t>
      </w:r>
      <w:r w:rsidR="00930832">
        <w:rPr>
          <w:rFonts w:cs="Times New Roman"/>
          <w:szCs w:val="24"/>
        </w:rPr>
        <w:t xml:space="preserve"> ladite</w:t>
      </w:r>
      <w:r w:rsidR="0072460D" w:rsidRPr="00641B73">
        <w:rPr>
          <w:rFonts w:cs="Times New Roman"/>
          <w:szCs w:val="24"/>
        </w:rPr>
        <w:t xml:space="preserve"> </w:t>
      </w:r>
      <w:r w:rsidR="00930832">
        <w:rPr>
          <w:rFonts w:cs="Times New Roman"/>
          <w:szCs w:val="24"/>
        </w:rPr>
        <w:t>u</w:t>
      </w:r>
      <w:r w:rsidR="0072460D" w:rsidRPr="00641B73">
        <w:rPr>
          <w:rFonts w:cs="Times New Roman"/>
          <w:szCs w:val="24"/>
        </w:rPr>
        <w:t>rgence</w:t>
      </w:r>
      <w:r>
        <w:rPr>
          <w:rFonts w:cs="Times New Roman"/>
          <w:szCs w:val="24"/>
        </w:rPr>
        <w:t xml:space="preserve">. </w:t>
      </w:r>
      <w:r w:rsidR="00347FC8">
        <w:rPr>
          <w:rFonts w:cs="Times New Roman"/>
          <w:szCs w:val="24"/>
        </w:rPr>
        <w:t>Autrement dit, de même qu’il existe un « droit des mesures conservatoires » devant la Cour internationale de justice, il existe un « droit des mesures provisoires » devant la Cour européenne des droits de l’homme.</w:t>
      </w:r>
    </w:p>
    <w:p w14:paraId="13F66C79" w14:textId="77777777" w:rsidR="00D43B9F" w:rsidRDefault="00D43B9F" w:rsidP="00980CCF">
      <w:pPr>
        <w:numPr>
          <w:ilvl w:val="0"/>
          <w:numId w:val="0"/>
        </w:numPr>
        <w:spacing w:line="276" w:lineRule="auto"/>
        <w:rPr>
          <w:rFonts w:cs="Times New Roman"/>
          <w:szCs w:val="24"/>
        </w:rPr>
      </w:pPr>
    </w:p>
    <w:p w14:paraId="323F20AB" w14:textId="48625D09" w:rsidR="007D2F75" w:rsidRPr="00641B73" w:rsidRDefault="00D43B9F" w:rsidP="00980CCF">
      <w:pPr>
        <w:numPr>
          <w:ilvl w:val="0"/>
          <w:numId w:val="0"/>
        </w:numPr>
        <w:spacing w:line="276" w:lineRule="auto"/>
        <w:rPr>
          <w:rFonts w:cs="Times New Roman"/>
          <w:szCs w:val="24"/>
        </w:rPr>
      </w:pPr>
      <w:r>
        <w:rPr>
          <w:rFonts w:cs="Times New Roman"/>
          <w:szCs w:val="24"/>
        </w:rPr>
        <w:t>L’idée</w:t>
      </w:r>
      <w:r w:rsidR="0072460D" w:rsidRPr="00641B73">
        <w:rPr>
          <w:rFonts w:cs="Times New Roman"/>
          <w:szCs w:val="24"/>
        </w:rPr>
        <w:t xml:space="preserve"> d’un « droit commun » des mesures provisoires</w:t>
      </w:r>
      <w:r>
        <w:rPr>
          <w:rFonts w:cs="Times New Roman"/>
          <w:szCs w:val="24"/>
        </w:rPr>
        <w:t xml:space="preserve"> est</w:t>
      </w:r>
      <w:r w:rsidR="00930832">
        <w:rPr>
          <w:rFonts w:cs="Times New Roman"/>
          <w:szCs w:val="24"/>
        </w:rPr>
        <w:t>, pour sa part,</w:t>
      </w:r>
      <w:r>
        <w:rPr>
          <w:rFonts w:cs="Times New Roman"/>
          <w:szCs w:val="24"/>
        </w:rPr>
        <w:t xml:space="preserve"> moins intuitive.</w:t>
      </w:r>
      <w:r w:rsidR="00460A3C" w:rsidRPr="00641B73">
        <w:rPr>
          <w:rFonts w:cs="Times New Roman"/>
          <w:szCs w:val="24"/>
        </w:rPr>
        <w:t xml:space="preserve"> </w:t>
      </w:r>
      <w:r>
        <w:rPr>
          <w:rFonts w:cs="Times New Roman"/>
          <w:szCs w:val="24"/>
        </w:rPr>
        <w:t>Elle</w:t>
      </w:r>
      <w:r w:rsidR="00460A3C" w:rsidRPr="00641B73">
        <w:rPr>
          <w:rFonts w:cs="Times New Roman"/>
          <w:szCs w:val="24"/>
        </w:rPr>
        <w:t xml:space="preserve"> induit qu’il </w:t>
      </w:r>
      <w:r>
        <w:rPr>
          <w:rFonts w:cs="Times New Roman"/>
          <w:szCs w:val="24"/>
        </w:rPr>
        <w:t>existe ou qu’il peut exister</w:t>
      </w:r>
      <w:r w:rsidR="00460A3C" w:rsidRPr="00641B73">
        <w:rPr>
          <w:rFonts w:cs="Times New Roman"/>
          <w:szCs w:val="24"/>
        </w:rPr>
        <w:t xml:space="preserve"> des éléments communs</w:t>
      </w:r>
      <w:r w:rsidR="002F27AD" w:rsidRPr="00641B73">
        <w:rPr>
          <w:rFonts w:cs="Times New Roman"/>
          <w:szCs w:val="24"/>
        </w:rPr>
        <w:t xml:space="preserve"> </w:t>
      </w:r>
      <w:r w:rsidR="00460A3C" w:rsidRPr="00641B73">
        <w:rPr>
          <w:rFonts w:cs="Times New Roman"/>
          <w:szCs w:val="24"/>
        </w:rPr>
        <w:t xml:space="preserve">entre différentes procédures </w:t>
      </w:r>
      <w:r>
        <w:rPr>
          <w:rFonts w:cs="Times New Roman"/>
          <w:szCs w:val="24"/>
        </w:rPr>
        <w:t>applicables au sein de</w:t>
      </w:r>
      <w:r w:rsidR="00460A3C" w:rsidRPr="00641B73">
        <w:rPr>
          <w:rFonts w:cs="Times New Roman"/>
          <w:szCs w:val="24"/>
        </w:rPr>
        <w:t xml:space="preserve"> différents systèmes contentieux internationaux.</w:t>
      </w:r>
      <w:r w:rsidR="00930604" w:rsidRPr="00641B73">
        <w:rPr>
          <w:rFonts w:cs="Times New Roman"/>
          <w:szCs w:val="24"/>
        </w:rPr>
        <w:t xml:space="preserve"> Par « droit commun », </w:t>
      </w:r>
      <w:r>
        <w:rPr>
          <w:rFonts w:cs="Times New Roman"/>
          <w:szCs w:val="24"/>
        </w:rPr>
        <w:lastRenderedPageBreak/>
        <w:t>l’on entendra</w:t>
      </w:r>
      <w:r w:rsidR="00930604" w:rsidRPr="00641B73">
        <w:rPr>
          <w:rFonts w:cs="Times New Roman"/>
          <w:szCs w:val="24"/>
        </w:rPr>
        <w:t xml:space="preserve"> donc</w:t>
      </w:r>
      <w:r>
        <w:rPr>
          <w:rFonts w:cs="Times New Roman"/>
          <w:szCs w:val="24"/>
        </w:rPr>
        <w:t>, ici,</w:t>
      </w:r>
      <w:r w:rsidR="00930604" w:rsidRPr="00641B73">
        <w:rPr>
          <w:rFonts w:cs="Times New Roman"/>
          <w:szCs w:val="24"/>
        </w:rPr>
        <w:t xml:space="preserve"> des règles identiques et partagées entre les juridictions amenées à indiquer des mesures provisoires.</w:t>
      </w:r>
    </w:p>
    <w:p w14:paraId="106531D2" w14:textId="1534FA91" w:rsidR="0072460D" w:rsidRPr="00641B73" w:rsidRDefault="0072460D" w:rsidP="00980CCF">
      <w:pPr>
        <w:numPr>
          <w:ilvl w:val="0"/>
          <w:numId w:val="0"/>
        </w:numPr>
        <w:spacing w:line="276" w:lineRule="auto"/>
        <w:rPr>
          <w:rFonts w:cs="Times New Roman"/>
          <w:szCs w:val="24"/>
        </w:rPr>
      </w:pPr>
    </w:p>
    <w:p w14:paraId="2ADB9014" w14:textId="0641CDA4" w:rsidR="00EA1A79" w:rsidRDefault="00EA1A79" w:rsidP="00980CCF">
      <w:pPr>
        <w:numPr>
          <w:ilvl w:val="0"/>
          <w:numId w:val="0"/>
        </w:numPr>
        <w:spacing w:line="276" w:lineRule="auto"/>
        <w:rPr>
          <w:rFonts w:cs="Times New Roman"/>
          <w:szCs w:val="24"/>
        </w:rPr>
      </w:pPr>
      <w:r>
        <w:rPr>
          <w:rFonts w:cs="Times New Roman"/>
          <w:szCs w:val="24"/>
        </w:rPr>
        <w:t>L’observation de</w:t>
      </w:r>
      <w:r w:rsidR="00460A3C" w:rsidRPr="00641B73">
        <w:rPr>
          <w:rFonts w:cs="Times New Roman"/>
          <w:szCs w:val="24"/>
        </w:rPr>
        <w:t xml:space="preserve"> la terminologie</w:t>
      </w:r>
      <w:r>
        <w:rPr>
          <w:rFonts w:cs="Times New Roman"/>
          <w:szCs w:val="24"/>
        </w:rPr>
        <w:t xml:space="preserve"> amène d’emblée à </w:t>
      </w:r>
      <w:r w:rsidR="001741A7">
        <w:rPr>
          <w:rFonts w:cs="Times New Roman"/>
          <w:szCs w:val="24"/>
        </w:rPr>
        <w:t>une interrogation d’ordre sémantique</w:t>
      </w:r>
      <w:r w:rsidR="00460A3C" w:rsidRPr="00641B73">
        <w:rPr>
          <w:rFonts w:cs="Times New Roman"/>
          <w:szCs w:val="24"/>
        </w:rPr>
        <w:t xml:space="preserve">. </w:t>
      </w:r>
      <w:r w:rsidR="00F052F7" w:rsidRPr="00641B73">
        <w:rPr>
          <w:rFonts w:cs="Times New Roman"/>
          <w:szCs w:val="24"/>
        </w:rPr>
        <w:t>On</w:t>
      </w:r>
      <w:r w:rsidR="0072460D" w:rsidRPr="00641B73">
        <w:rPr>
          <w:rFonts w:cs="Times New Roman"/>
          <w:szCs w:val="24"/>
        </w:rPr>
        <w:t xml:space="preserve"> parle </w:t>
      </w:r>
      <w:r>
        <w:rPr>
          <w:rFonts w:cs="Times New Roman"/>
          <w:szCs w:val="24"/>
        </w:rPr>
        <w:t xml:space="preserve">en effet </w:t>
      </w:r>
      <w:r w:rsidR="0072460D" w:rsidRPr="00641B73">
        <w:rPr>
          <w:rFonts w:cs="Times New Roman"/>
          <w:szCs w:val="24"/>
        </w:rPr>
        <w:t>de mesures « conservatoires</w:t>
      </w:r>
      <w:r w:rsidR="00F052F7" w:rsidRPr="00641B73">
        <w:rPr>
          <w:rFonts w:cs="Times New Roman"/>
          <w:szCs w:val="24"/>
        </w:rPr>
        <w:t> »</w:t>
      </w:r>
      <w:r w:rsidR="0072460D" w:rsidRPr="00641B73">
        <w:rPr>
          <w:rFonts w:cs="Times New Roman"/>
          <w:szCs w:val="24"/>
        </w:rPr>
        <w:t xml:space="preserve"> devant la Cour internationale de justice</w:t>
      </w:r>
      <w:r w:rsidRPr="002138C1">
        <w:rPr>
          <w:rStyle w:val="Appelnotedebasdep"/>
        </w:rPr>
        <w:footnoteReference w:id="4"/>
      </w:r>
      <w:r w:rsidR="00CA48C9" w:rsidRPr="00641B73">
        <w:rPr>
          <w:rFonts w:cs="Times New Roman"/>
          <w:szCs w:val="24"/>
        </w:rPr>
        <w:t xml:space="preserve">, </w:t>
      </w:r>
      <w:r w:rsidR="00F052F7" w:rsidRPr="00641B73">
        <w:rPr>
          <w:rFonts w:cs="Times New Roman"/>
          <w:szCs w:val="24"/>
        </w:rPr>
        <w:t>le Tribunal international du droit de la me</w:t>
      </w:r>
      <w:r>
        <w:rPr>
          <w:rFonts w:cs="Times New Roman"/>
          <w:szCs w:val="24"/>
        </w:rPr>
        <w:t>r</w:t>
      </w:r>
      <w:r w:rsidRPr="002138C1">
        <w:rPr>
          <w:rStyle w:val="Appelnotedebasdep"/>
        </w:rPr>
        <w:footnoteReference w:id="5"/>
      </w:r>
      <w:r w:rsidR="001741A7">
        <w:rPr>
          <w:rFonts w:cs="Times New Roman"/>
          <w:szCs w:val="24"/>
        </w:rPr>
        <w:t xml:space="preserve">, </w:t>
      </w:r>
      <w:r w:rsidR="001741A7" w:rsidRPr="00641B73">
        <w:rPr>
          <w:rFonts w:cs="Times New Roman"/>
          <w:szCs w:val="24"/>
        </w:rPr>
        <w:t>le</w:t>
      </w:r>
      <w:r w:rsidR="001741A7">
        <w:rPr>
          <w:rFonts w:cs="Times New Roman"/>
          <w:szCs w:val="24"/>
        </w:rPr>
        <w:t xml:space="preserve"> Centre international de règlement des litiges relatifs aux investissements</w:t>
      </w:r>
      <w:r w:rsidR="001741A7" w:rsidRPr="00641B73">
        <w:rPr>
          <w:rFonts w:cs="Times New Roman"/>
          <w:szCs w:val="24"/>
        </w:rPr>
        <w:t xml:space="preserve"> </w:t>
      </w:r>
      <w:r w:rsidR="001741A7">
        <w:rPr>
          <w:rFonts w:cs="Times New Roman"/>
          <w:szCs w:val="24"/>
        </w:rPr>
        <w:t>(</w:t>
      </w:r>
      <w:r w:rsidR="001741A7" w:rsidRPr="00641B73">
        <w:rPr>
          <w:rFonts w:cs="Times New Roman"/>
          <w:szCs w:val="24"/>
        </w:rPr>
        <w:t>CIRDI</w:t>
      </w:r>
      <w:r w:rsidR="001741A7">
        <w:rPr>
          <w:rFonts w:cs="Times New Roman"/>
          <w:szCs w:val="24"/>
        </w:rPr>
        <w:t>)</w:t>
      </w:r>
      <w:r w:rsidR="001741A7">
        <w:rPr>
          <w:rStyle w:val="Appelnotedebasdep"/>
          <w:rFonts w:cs="Times New Roman"/>
          <w:szCs w:val="24"/>
        </w:rPr>
        <w:footnoteReference w:id="6"/>
      </w:r>
      <w:r w:rsidR="001741A7">
        <w:rPr>
          <w:rFonts w:cs="Times New Roman"/>
          <w:szCs w:val="24"/>
        </w:rPr>
        <w:t xml:space="preserve"> ou encore</w:t>
      </w:r>
      <w:r w:rsidR="00CA48C9" w:rsidRPr="00641B73">
        <w:rPr>
          <w:rFonts w:cs="Times New Roman"/>
          <w:szCs w:val="24"/>
        </w:rPr>
        <w:t xml:space="preserve"> les Comités des traités onusiens comme le Comité des droits de l’homme ou le Comité contre la torture</w:t>
      </w:r>
      <w:r w:rsidR="00F052F7" w:rsidRPr="00641B73">
        <w:rPr>
          <w:rFonts w:cs="Times New Roman"/>
          <w:szCs w:val="24"/>
        </w:rPr>
        <w:t xml:space="preserve"> ; de mesures « provisoires » devant la </w:t>
      </w:r>
      <w:r>
        <w:rPr>
          <w:rFonts w:cs="Times New Roman"/>
          <w:szCs w:val="24"/>
        </w:rPr>
        <w:t>Cour européenne des droits de l’homme (CEDH)</w:t>
      </w:r>
      <w:r w:rsidR="001741A7">
        <w:rPr>
          <w:rStyle w:val="Appelnotedebasdep"/>
          <w:rFonts w:cs="Times New Roman"/>
          <w:szCs w:val="24"/>
        </w:rPr>
        <w:footnoteReference w:id="7"/>
      </w:r>
      <w:r w:rsidR="00E87AFA" w:rsidRPr="00641B73">
        <w:rPr>
          <w:rFonts w:cs="Times New Roman"/>
          <w:szCs w:val="24"/>
        </w:rPr>
        <w:t>, la</w:t>
      </w:r>
      <w:r>
        <w:rPr>
          <w:rFonts w:cs="Times New Roman"/>
          <w:szCs w:val="24"/>
        </w:rPr>
        <w:t xml:space="preserve"> Cour de justice de l’Union européenne</w:t>
      </w:r>
      <w:r w:rsidR="00E87AFA" w:rsidRPr="00641B73">
        <w:rPr>
          <w:rFonts w:cs="Times New Roman"/>
          <w:szCs w:val="24"/>
        </w:rPr>
        <w:t xml:space="preserve"> </w:t>
      </w:r>
      <w:r>
        <w:rPr>
          <w:rFonts w:cs="Times New Roman"/>
          <w:szCs w:val="24"/>
        </w:rPr>
        <w:t>(</w:t>
      </w:r>
      <w:r w:rsidR="00E87AFA" w:rsidRPr="00641B73">
        <w:rPr>
          <w:rFonts w:cs="Times New Roman"/>
          <w:szCs w:val="24"/>
        </w:rPr>
        <w:t>CJUE</w:t>
      </w:r>
      <w:r>
        <w:rPr>
          <w:rFonts w:cs="Times New Roman"/>
          <w:szCs w:val="24"/>
        </w:rPr>
        <w:t>)</w:t>
      </w:r>
      <w:r w:rsidR="001741A7">
        <w:rPr>
          <w:rStyle w:val="Appelnotedebasdep"/>
          <w:rFonts w:cs="Times New Roman"/>
          <w:szCs w:val="24"/>
        </w:rPr>
        <w:footnoteReference w:id="8"/>
      </w:r>
      <w:r w:rsidR="00E87AFA" w:rsidRPr="00641B73">
        <w:rPr>
          <w:rFonts w:cs="Times New Roman"/>
          <w:szCs w:val="24"/>
        </w:rPr>
        <w:t xml:space="preserve">, </w:t>
      </w:r>
      <w:r w:rsidR="006F0DCC">
        <w:rPr>
          <w:rFonts w:cs="Times New Roman"/>
          <w:szCs w:val="24"/>
        </w:rPr>
        <w:t>la Cour interaméricaine des droits de l’homme</w:t>
      </w:r>
      <w:r w:rsidR="006F0DCC">
        <w:rPr>
          <w:rStyle w:val="Appelnotedebasdep"/>
          <w:rFonts w:cs="Times New Roman"/>
          <w:szCs w:val="24"/>
        </w:rPr>
        <w:footnoteReference w:id="9"/>
      </w:r>
      <w:r w:rsidR="006F0DCC">
        <w:rPr>
          <w:rFonts w:cs="Times New Roman"/>
          <w:szCs w:val="24"/>
        </w:rPr>
        <w:t xml:space="preserve"> </w:t>
      </w:r>
      <w:r w:rsidR="001741A7">
        <w:rPr>
          <w:rFonts w:cs="Times New Roman"/>
          <w:szCs w:val="24"/>
        </w:rPr>
        <w:t>ou encore</w:t>
      </w:r>
      <w:r w:rsidR="00E87AFA" w:rsidRPr="00641B73">
        <w:rPr>
          <w:rFonts w:cs="Times New Roman"/>
          <w:szCs w:val="24"/>
        </w:rPr>
        <w:t xml:space="preserve"> la Cour africaine des droits de l’homme et des peuple</w:t>
      </w:r>
      <w:r w:rsidR="00815CF7" w:rsidRPr="00641B73">
        <w:rPr>
          <w:rFonts w:cs="Times New Roman"/>
          <w:szCs w:val="24"/>
        </w:rPr>
        <w:t>s</w:t>
      </w:r>
      <w:r>
        <w:rPr>
          <w:rFonts w:cs="Times New Roman"/>
          <w:szCs w:val="24"/>
        </w:rPr>
        <w:t xml:space="preserve"> (CADHP)</w:t>
      </w:r>
      <w:r w:rsidR="001741A7">
        <w:rPr>
          <w:rStyle w:val="Appelnotedebasdep"/>
          <w:rFonts w:cs="Times New Roman"/>
          <w:szCs w:val="24"/>
        </w:rPr>
        <w:footnoteReference w:id="10"/>
      </w:r>
      <w:r w:rsidR="00815CF7" w:rsidRPr="00641B73">
        <w:rPr>
          <w:rFonts w:cs="Times New Roman"/>
          <w:szCs w:val="24"/>
        </w:rPr>
        <w:t xml:space="preserve">. </w:t>
      </w:r>
      <w:r w:rsidR="00460A3C" w:rsidRPr="00641B73">
        <w:rPr>
          <w:rFonts w:cs="Times New Roman"/>
          <w:szCs w:val="24"/>
        </w:rPr>
        <w:t>Doit-on</w:t>
      </w:r>
      <w:r>
        <w:rPr>
          <w:rFonts w:cs="Times New Roman"/>
          <w:szCs w:val="24"/>
        </w:rPr>
        <w:t>, pour autant,</w:t>
      </w:r>
      <w:r w:rsidR="00460A3C" w:rsidRPr="00641B73">
        <w:rPr>
          <w:rFonts w:cs="Times New Roman"/>
          <w:szCs w:val="24"/>
        </w:rPr>
        <w:t xml:space="preserve"> </w:t>
      </w:r>
      <w:r>
        <w:rPr>
          <w:rFonts w:cs="Times New Roman"/>
          <w:szCs w:val="24"/>
        </w:rPr>
        <w:t>en déduire</w:t>
      </w:r>
      <w:r w:rsidR="00460A3C" w:rsidRPr="00641B73">
        <w:rPr>
          <w:rFonts w:cs="Times New Roman"/>
          <w:szCs w:val="24"/>
        </w:rPr>
        <w:t xml:space="preserve"> </w:t>
      </w:r>
      <w:r>
        <w:rPr>
          <w:rFonts w:cs="Times New Roman"/>
          <w:szCs w:val="24"/>
        </w:rPr>
        <w:t>des différences substantielles</w:t>
      </w:r>
      <w:r w:rsidR="00460A3C" w:rsidRPr="00641B73">
        <w:rPr>
          <w:rFonts w:cs="Times New Roman"/>
          <w:szCs w:val="24"/>
        </w:rPr>
        <w:t xml:space="preserve"> ? </w:t>
      </w:r>
    </w:p>
    <w:p w14:paraId="34508F0F" w14:textId="77777777" w:rsidR="00EA1A79" w:rsidRDefault="00EA1A79" w:rsidP="00980CCF">
      <w:pPr>
        <w:numPr>
          <w:ilvl w:val="0"/>
          <w:numId w:val="0"/>
        </w:numPr>
        <w:spacing w:line="276" w:lineRule="auto"/>
        <w:rPr>
          <w:rFonts w:cs="Times New Roman"/>
          <w:szCs w:val="24"/>
        </w:rPr>
      </w:pPr>
    </w:p>
    <w:p w14:paraId="1C517DB0" w14:textId="4E7E71AE" w:rsidR="005257CF" w:rsidRDefault="001741A7" w:rsidP="00980CCF">
      <w:pPr>
        <w:numPr>
          <w:ilvl w:val="0"/>
          <w:numId w:val="0"/>
        </w:numPr>
        <w:spacing w:line="276" w:lineRule="auto"/>
        <w:rPr>
          <w:rFonts w:cs="Times New Roman"/>
          <w:szCs w:val="24"/>
        </w:rPr>
      </w:pPr>
      <w:r>
        <w:rPr>
          <w:rFonts w:cs="Times New Roman"/>
          <w:szCs w:val="24"/>
        </w:rPr>
        <w:t>En pratique,</w:t>
      </w:r>
      <w:r w:rsidR="00460A3C" w:rsidRPr="00641B73">
        <w:rPr>
          <w:rFonts w:cs="Times New Roman"/>
          <w:szCs w:val="24"/>
        </w:rPr>
        <w:t xml:space="preserve"> les termes </w:t>
      </w:r>
      <w:r>
        <w:rPr>
          <w:rFonts w:cs="Times New Roman"/>
          <w:szCs w:val="24"/>
        </w:rPr>
        <w:t>apparaissent</w:t>
      </w:r>
      <w:r w:rsidR="00460A3C" w:rsidRPr="00641B73">
        <w:rPr>
          <w:rFonts w:cs="Times New Roman"/>
          <w:szCs w:val="24"/>
        </w:rPr>
        <w:t xml:space="preserve"> utilisés de manière synonymique</w:t>
      </w:r>
      <w:r>
        <w:rPr>
          <w:rFonts w:cs="Times New Roman"/>
          <w:szCs w:val="24"/>
        </w:rPr>
        <w:t xml:space="preserve"> – </w:t>
      </w:r>
      <w:r w:rsidR="00BB437D" w:rsidRPr="00641B73">
        <w:rPr>
          <w:rFonts w:cs="Times New Roman"/>
          <w:szCs w:val="24"/>
        </w:rPr>
        <w:t>on utilise</w:t>
      </w:r>
      <w:r>
        <w:rPr>
          <w:rFonts w:cs="Times New Roman"/>
          <w:szCs w:val="24"/>
        </w:rPr>
        <w:t xml:space="preserve"> d’ailleurs l’expression</w:t>
      </w:r>
      <w:r w:rsidR="00BB437D" w:rsidRPr="00641B73">
        <w:rPr>
          <w:rFonts w:cs="Times New Roman"/>
          <w:szCs w:val="24"/>
        </w:rPr>
        <w:t xml:space="preserve"> « </w:t>
      </w:r>
      <w:proofErr w:type="spellStart"/>
      <w:r w:rsidR="00BB437D" w:rsidRPr="00A21A04">
        <w:rPr>
          <w:rFonts w:cs="Times New Roman"/>
          <w:i/>
          <w:iCs/>
          <w:szCs w:val="24"/>
        </w:rPr>
        <w:t>provisional</w:t>
      </w:r>
      <w:proofErr w:type="spellEnd"/>
      <w:r w:rsidR="00BB437D" w:rsidRPr="00A21A04">
        <w:rPr>
          <w:rFonts w:cs="Times New Roman"/>
          <w:i/>
          <w:iCs/>
          <w:szCs w:val="24"/>
        </w:rPr>
        <w:t xml:space="preserve"> </w:t>
      </w:r>
      <w:proofErr w:type="spellStart"/>
      <w:r w:rsidR="00BB437D" w:rsidRPr="00A21A04">
        <w:rPr>
          <w:rFonts w:cs="Times New Roman"/>
          <w:i/>
          <w:iCs/>
          <w:szCs w:val="24"/>
        </w:rPr>
        <w:t>measures</w:t>
      </w:r>
      <w:proofErr w:type="spellEnd"/>
      <w:r w:rsidR="002F27AD" w:rsidRPr="00641B73">
        <w:rPr>
          <w:rFonts w:cs="Times New Roman"/>
          <w:szCs w:val="24"/>
        </w:rPr>
        <w:t xml:space="preserve"> » </w:t>
      </w:r>
      <w:r>
        <w:rPr>
          <w:rFonts w:cs="Times New Roman"/>
          <w:szCs w:val="24"/>
        </w:rPr>
        <w:t xml:space="preserve">en anglais </w:t>
      </w:r>
      <w:r w:rsidR="00265F22" w:rsidRPr="00641B73">
        <w:rPr>
          <w:rFonts w:cs="Times New Roman"/>
          <w:szCs w:val="24"/>
        </w:rPr>
        <w:t>à la Cour internationale de justice</w:t>
      </w:r>
      <w:r w:rsidR="00460A3C" w:rsidRPr="00641B73">
        <w:rPr>
          <w:rFonts w:cs="Times New Roman"/>
          <w:szCs w:val="24"/>
        </w:rPr>
        <w:t>.</w:t>
      </w:r>
      <w:r w:rsidR="004C08DA">
        <w:rPr>
          <w:rFonts w:cs="Times New Roman"/>
          <w:szCs w:val="24"/>
        </w:rPr>
        <w:t xml:space="preserve"> </w:t>
      </w:r>
      <w:r w:rsidR="004C08DA" w:rsidRPr="004C08DA">
        <w:rPr>
          <w:rFonts w:cs="Times New Roman"/>
          <w:szCs w:val="24"/>
        </w:rPr>
        <w:t xml:space="preserve">En droit matériel de l'Union européenne, la distinction n'est d'ailleurs pas toujours faite, compte tenu de la diversité des dénominations au sein des États membres. En ce qui concerne l'arbitrage civil et commercial, par exemple, les deux expressions </w:t>
      </w:r>
      <w:r w:rsidR="004C08DA">
        <w:rPr>
          <w:rFonts w:cs="Times New Roman"/>
          <w:szCs w:val="24"/>
        </w:rPr>
        <w:t>relèvent ainsi du même régime d’harmonisation</w:t>
      </w:r>
      <w:r w:rsidR="004C08DA">
        <w:rPr>
          <w:rStyle w:val="Appelnotedebasdep"/>
          <w:rFonts w:cs="Times New Roman"/>
          <w:szCs w:val="24"/>
        </w:rPr>
        <w:footnoteReference w:id="11"/>
      </w:r>
      <w:r w:rsidR="004C08DA" w:rsidRPr="004C08DA">
        <w:rPr>
          <w:rFonts w:cs="Times New Roman"/>
          <w:szCs w:val="24"/>
        </w:rPr>
        <w:t>.</w:t>
      </w:r>
      <w:r w:rsidR="00265F22" w:rsidRPr="00641B73">
        <w:rPr>
          <w:rFonts w:cs="Times New Roman"/>
          <w:szCs w:val="24"/>
        </w:rPr>
        <w:t xml:space="preserve"> </w:t>
      </w:r>
      <w:r>
        <w:rPr>
          <w:rFonts w:cs="Times New Roman"/>
          <w:szCs w:val="24"/>
        </w:rPr>
        <w:t>Il est cependant possible de</w:t>
      </w:r>
      <w:r w:rsidR="00265F22" w:rsidRPr="00641B73">
        <w:rPr>
          <w:rFonts w:cs="Times New Roman"/>
          <w:szCs w:val="24"/>
        </w:rPr>
        <w:t xml:space="preserve"> </w:t>
      </w:r>
      <w:r w:rsidR="002F27AD" w:rsidRPr="00641B73">
        <w:rPr>
          <w:rFonts w:cs="Times New Roman"/>
          <w:szCs w:val="24"/>
        </w:rPr>
        <w:t xml:space="preserve">défendre l’idée qu’il y </w:t>
      </w:r>
      <w:r>
        <w:rPr>
          <w:rFonts w:cs="Times New Roman"/>
          <w:szCs w:val="24"/>
        </w:rPr>
        <w:t>existe</w:t>
      </w:r>
      <w:r w:rsidR="00265F22" w:rsidRPr="00641B73">
        <w:rPr>
          <w:rFonts w:cs="Times New Roman"/>
          <w:szCs w:val="24"/>
        </w:rPr>
        <w:t xml:space="preserve"> une différence entre la « conservation » de la situation entre </w:t>
      </w:r>
      <w:r w:rsidR="00473B79" w:rsidRPr="00641B73">
        <w:rPr>
          <w:rFonts w:cs="Times New Roman"/>
          <w:szCs w:val="24"/>
        </w:rPr>
        <w:t xml:space="preserve">deux </w:t>
      </w:r>
      <w:r w:rsidR="00265F22" w:rsidRPr="00641B73">
        <w:rPr>
          <w:rFonts w:cs="Times New Roman"/>
          <w:szCs w:val="24"/>
        </w:rPr>
        <w:t>parties souveraines et la « provision »</w:t>
      </w:r>
      <w:r>
        <w:rPr>
          <w:rFonts w:cs="Times New Roman"/>
          <w:szCs w:val="24"/>
        </w:rPr>
        <w:t>,</w:t>
      </w:r>
      <w:r w:rsidR="00265F22" w:rsidRPr="00641B73">
        <w:rPr>
          <w:rFonts w:cs="Times New Roman"/>
          <w:szCs w:val="24"/>
        </w:rPr>
        <w:t xml:space="preserve"> </w:t>
      </w:r>
      <w:r>
        <w:rPr>
          <w:rFonts w:cs="Times New Roman"/>
          <w:szCs w:val="24"/>
        </w:rPr>
        <w:t>visant</w:t>
      </w:r>
      <w:r w:rsidR="00473B79" w:rsidRPr="00641B73">
        <w:rPr>
          <w:rFonts w:cs="Times New Roman"/>
          <w:szCs w:val="24"/>
        </w:rPr>
        <w:t xml:space="preserve"> une seule partie.</w:t>
      </w:r>
      <w:r w:rsidR="005257CF">
        <w:rPr>
          <w:rFonts w:cs="Times New Roman"/>
          <w:szCs w:val="24"/>
        </w:rPr>
        <w:t xml:space="preserve"> En ce sens, la notion de mesure « conservatoire » serait davantage adaptée au contentieux interétatique tandis que la notion de mesure « provisoire » serait plus adéquate en cas de plainte asymétrique, lorsqu’un individu se plaint du comportement d’un État à son égard.</w:t>
      </w:r>
      <w:r w:rsidR="00460A3C" w:rsidRPr="00641B73">
        <w:rPr>
          <w:rFonts w:cs="Times New Roman"/>
          <w:szCs w:val="24"/>
        </w:rPr>
        <w:t xml:space="preserve"> </w:t>
      </w:r>
      <w:r w:rsidR="00A21A04">
        <w:rPr>
          <w:rFonts w:cs="Times New Roman"/>
          <w:szCs w:val="24"/>
        </w:rPr>
        <w:t xml:space="preserve">Une autre distinction pourrait être fondée là encore sur la sémantique et induire une différence de degré entre les mesures : les mesures « conservatoires », rigides, viseraient exclusivement à figer une situation, tandis que les mesures « provisoires » pourraient, de manière plus large, imposer des obligations temporaires plus variées – y compris l’adoption d’une solution contentieuse provisoire. </w:t>
      </w:r>
      <w:r w:rsidR="005257CF">
        <w:rPr>
          <w:rFonts w:cs="Times New Roman"/>
          <w:szCs w:val="24"/>
        </w:rPr>
        <w:t xml:space="preserve">En tout état de cause, la question, qui </w:t>
      </w:r>
      <w:r w:rsidR="00A21A04">
        <w:rPr>
          <w:rFonts w:cs="Times New Roman"/>
          <w:szCs w:val="24"/>
        </w:rPr>
        <w:t>ne semble pas revêtir</w:t>
      </w:r>
      <w:r w:rsidR="005257CF">
        <w:rPr>
          <w:rFonts w:cs="Times New Roman"/>
          <w:szCs w:val="24"/>
        </w:rPr>
        <w:t xml:space="preserve"> d’importance pratique</w:t>
      </w:r>
      <w:r w:rsidR="00A21A04">
        <w:rPr>
          <w:rFonts w:cs="Times New Roman"/>
          <w:szCs w:val="24"/>
        </w:rPr>
        <w:t xml:space="preserve"> significative</w:t>
      </w:r>
      <w:r w:rsidR="005257CF">
        <w:rPr>
          <w:rFonts w:cs="Times New Roman"/>
          <w:szCs w:val="24"/>
        </w:rPr>
        <w:t xml:space="preserve">, </w:t>
      </w:r>
      <w:r w:rsidR="00473B79" w:rsidRPr="00641B73">
        <w:rPr>
          <w:rFonts w:cs="Times New Roman"/>
          <w:szCs w:val="24"/>
        </w:rPr>
        <w:t>n’</w:t>
      </w:r>
      <w:r w:rsidR="005257CF">
        <w:rPr>
          <w:rFonts w:cs="Times New Roman"/>
          <w:szCs w:val="24"/>
        </w:rPr>
        <w:t>appelle pas de réponse</w:t>
      </w:r>
      <w:r w:rsidR="00473B79" w:rsidRPr="00641B73">
        <w:rPr>
          <w:rFonts w:cs="Times New Roman"/>
          <w:szCs w:val="24"/>
        </w:rPr>
        <w:t xml:space="preserve"> évidente</w:t>
      </w:r>
      <w:r w:rsidR="005257CF">
        <w:rPr>
          <w:rFonts w:cs="Times New Roman"/>
          <w:szCs w:val="24"/>
        </w:rPr>
        <w:t>.</w:t>
      </w:r>
      <w:r w:rsidR="00A21A04">
        <w:rPr>
          <w:rFonts w:cs="Times New Roman"/>
          <w:szCs w:val="24"/>
        </w:rPr>
        <w:t xml:space="preserve"> Dans la présente contribution, les deux expressions seront utilisées de manière synonymique, sans pour autant </w:t>
      </w:r>
      <w:r w:rsidR="00A21A04">
        <w:rPr>
          <w:rFonts w:cs="Times New Roman"/>
          <w:szCs w:val="24"/>
        </w:rPr>
        <w:lastRenderedPageBreak/>
        <w:t>que ce choix rédactionnel trahisse une négation absolue des différences qui peuvent exister entre ces terminologies.</w:t>
      </w:r>
    </w:p>
    <w:p w14:paraId="6EC93024" w14:textId="77777777" w:rsidR="005257CF" w:rsidRDefault="005257CF" w:rsidP="00980CCF">
      <w:pPr>
        <w:numPr>
          <w:ilvl w:val="0"/>
          <w:numId w:val="0"/>
        </w:numPr>
        <w:spacing w:line="276" w:lineRule="auto"/>
        <w:rPr>
          <w:rFonts w:cs="Times New Roman"/>
          <w:szCs w:val="24"/>
        </w:rPr>
      </w:pPr>
    </w:p>
    <w:p w14:paraId="00EE26D9" w14:textId="00980FA8" w:rsidR="00EF272B" w:rsidRDefault="00A21A04" w:rsidP="00980CCF">
      <w:pPr>
        <w:numPr>
          <w:ilvl w:val="0"/>
          <w:numId w:val="0"/>
        </w:numPr>
        <w:spacing w:line="276" w:lineRule="auto"/>
        <w:rPr>
          <w:rFonts w:cs="Times New Roman"/>
          <w:szCs w:val="24"/>
        </w:rPr>
      </w:pPr>
      <w:r>
        <w:rPr>
          <w:rFonts w:cs="Times New Roman"/>
          <w:szCs w:val="24"/>
        </w:rPr>
        <w:t>Le</w:t>
      </w:r>
      <w:r w:rsidR="00815CF7" w:rsidRPr="00641B73">
        <w:rPr>
          <w:rFonts w:cs="Times New Roman"/>
          <w:szCs w:val="24"/>
        </w:rPr>
        <w:t xml:space="preserve"> pouvoir d</w:t>
      </w:r>
      <w:r>
        <w:rPr>
          <w:rFonts w:cs="Times New Roman"/>
          <w:szCs w:val="24"/>
        </w:rPr>
        <w:t>’</w:t>
      </w:r>
      <w:r w:rsidR="00815CF7" w:rsidRPr="00641B73">
        <w:rPr>
          <w:rFonts w:cs="Times New Roman"/>
          <w:szCs w:val="24"/>
        </w:rPr>
        <w:t>attribuer</w:t>
      </w:r>
      <w:r>
        <w:rPr>
          <w:rFonts w:cs="Times New Roman"/>
          <w:szCs w:val="24"/>
        </w:rPr>
        <w:t xml:space="preserve"> ou d’ordonner ces mesures</w:t>
      </w:r>
      <w:r w:rsidR="00815CF7" w:rsidRPr="00641B73">
        <w:rPr>
          <w:rFonts w:cs="Times New Roman"/>
          <w:szCs w:val="24"/>
        </w:rPr>
        <w:t xml:space="preserve"> découle </w:t>
      </w:r>
      <w:r>
        <w:rPr>
          <w:rFonts w:cs="Times New Roman"/>
          <w:szCs w:val="24"/>
        </w:rPr>
        <w:t>la plupart du temps</w:t>
      </w:r>
      <w:r w:rsidR="00815CF7" w:rsidRPr="00641B73">
        <w:rPr>
          <w:rFonts w:cs="Times New Roman"/>
          <w:szCs w:val="24"/>
        </w:rPr>
        <w:t xml:space="preserve"> du Statut ou du Règlement de ces institutions</w:t>
      </w:r>
      <w:r>
        <w:rPr>
          <w:rFonts w:cs="Times New Roman"/>
          <w:szCs w:val="24"/>
        </w:rPr>
        <w:t xml:space="preserve"> contentieuses – ce qui n’est pas la même chose, le règlement étant susceptible d’être rédigé par l’institution elle-même, tandis que le Statut provient d’un accord interétatique. </w:t>
      </w:r>
      <w:r w:rsidR="00815CF7" w:rsidRPr="00641B73">
        <w:rPr>
          <w:rFonts w:cs="Times New Roman"/>
          <w:szCs w:val="24"/>
        </w:rPr>
        <w:t>Elles sont en général indiquées par des ordonnances</w:t>
      </w:r>
      <w:r w:rsidR="00930604" w:rsidRPr="00641B73">
        <w:rPr>
          <w:rFonts w:cs="Times New Roman"/>
          <w:szCs w:val="24"/>
        </w:rPr>
        <w:t>, en « indication de mesures »</w:t>
      </w:r>
      <w:r w:rsidR="00CA48C9" w:rsidRPr="00641B73">
        <w:rPr>
          <w:rFonts w:cs="Times New Roman"/>
          <w:szCs w:val="24"/>
        </w:rPr>
        <w:t>, en « notification de mesures »</w:t>
      </w:r>
      <w:r w:rsidR="00930604" w:rsidRPr="00641B73">
        <w:rPr>
          <w:rFonts w:cs="Times New Roman"/>
          <w:szCs w:val="24"/>
        </w:rPr>
        <w:t xml:space="preserve"> ou « en référé » devant la CJUE, ou</w:t>
      </w:r>
      <w:r w:rsidR="00815CF7" w:rsidRPr="00641B73">
        <w:rPr>
          <w:rFonts w:cs="Times New Roman"/>
          <w:szCs w:val="24"/>
        </w:rPr>
        <w:t xml:space="preserve"> parfois par des sentences</w:t>
      </w:r>
      <w:r>
        <w:rPr>
          <w:rFonts w:cs="Times New Roman"/>
          <w:szCs w:val="24"/>
        </w:rPr>
        <w:t xml:space="preserve"> – en arbitrage</w:t>
      </w:r>
      <w:r w:rsidR="00815CF7" w:rsidRPr="00641B73">
        <w:rPr>
          <w:rFonts w:cs="Times New Roman"/>
          <w:szCs w:val="24"/>
        </w:rPr>
        <w:t xml:space="preserve">. </w:t>
      </w:r>
      <w:r>
        <w:rPr>
          <w:rFonts w:cs="Times New Roman"/>
          <w:szCs w:val="24"/>
        </w:rPr>
        <w:t>Ces éléments</w:t>
      </w:r>
      <w:r w:rsidR="00460A3C" w:rsidRPr="00641B73">
        <w:rPr>
          <w:rFonts w:cs="Times New Roman"/>
          <w:szCs w:val="24"/>
        </w:rPr>
        <w:t xml:space="preserve"> formels</w:t>
      </w:r>
      <w:r>
        <w:rPr>
          <w:rFonts w:cs="Times New Roman"/>
          <w:szCs w:val="24"/>
        </w:rPr>
        <w:t xml:space="preserve"> ne font pas apparaître à l’évidence </w:t>
      </w:r>
      <w:r w:rsidR="002F27AD" w:rsidRPr="00641B73">
        <w:rPr>
          <w:rFonts w:cs="Times New Roman"/>
          <w:szCs w:val="24"/>
        </w:rPr>
        <w:t xml:space="preserve">du </w:t>
      </w:r>
      <w:r>
        <w:rPr>
          <w:rFonts w:cs="Times New Roman"/>
          <w:szCs w:val="24"/>
        </w:rPr>
        <w:t>« </w:t>
      </w:r>
      <w:r w:rsidR="002F27AD" w:rsidRPr="00641B73">
        <w:rPr>
          <w:rFonts w:cs="Times New Roman"/>
          <w:szCs w:val="24"/>
        </w:rPr>
        <w:t>commun</w:t>
      </w:r>
      <w:r>
        <w:rPr>
          <w:rFonts w:cs="Times New Roman"/>
          <w:szCs w:val="24"/>
        </w:rPr>
        <w:t> »,</w:t>
      </w:r>
      <w:r w:rsidR="002F27AD" w:rsidRPr="00641B73">
        <w:rPr>
          <w:rFonts w:cs="Times New Roman"/>
          <w:szCs w:val="24"/>
        </w:rPr>
        <w:t xml:space="preserve"> au-delà de l’idée générale et de la nature de procédure incidente. </w:t>
      </w:r>
      <w:r>
        <w:rPr>
          <w:rFonts w:cs="Times New Roman"/>
          <w:szCs w:val="24"/>
        </w:rPr>
        <w:t>La question demeure donc : p</w:t>
      </w:r>
      <w:r w:rsidR="00815CF7" w:rsidRPr="00641B73">
        <w:rPr>
          <w:rFonts w:cs="Times New Roman"/>
          <w:szCs w:val="24"/>
        </w:rPr>
        <w:t>eut-on identifier un « droit commun » de ces mesures provisoires ou conservatoires</w:t>
      </w:r>
      <w:r w:rsidR="002F27AD" w:rsidRPr="00641B73">
        <w:rPr>
          <w:rFonts w:cs="Times New Roman"/>
          <w:szCs w:val="24"/>
        </w:rPr>
        <w:t> ?</w:t>
      </w:r>
    </w:p>
    <w:p w14:paraId="3FF3B623" w14:textId="1BA61C6F" w:rsidR="00A21A04" w:rsidRDefault="00A21A04" w:rsidP="00980CCF">
      <w:pPr>
        <w:numPr>
          <w:ilvl w:val="0"/>
          <w:numId w:val="0"/>
        </w:numPr>
        <w:spacing w:line="276" w:lineRule="auto"/>
        <w:rPr>
          <w:rFonts w:cs="Times New Roman"/>
          <w:szCs w:val="24"/>
        </w:rPr>
      </w:pPr>
    </w:p>
    <w:p w14:paraId="1196ADEA" w14:textId="11338785" w:rsidR="00EF272B" w:rsidRPr="00641B73" w:rsidRDefault="00A21A04" w:rsidP="00980CCF">
      <w:pPr>
        <w:numPr>
          <w:ilvl w:val="0"/>
          <w:numId w:val="0"/>
        </w:numPr>
        <w:spacing w:line="276" w:lineRule="auto"/>
        <w:rPr>
          <w:rFonts w:cs="Times New Roman"/>
          <w:szCs w:val="24"/>
        </w:rPr>
      </w:pPr>
      <w:r>
        <w:rPr>
          <w:rFonts w:cs="Times New Roman"/>
          <w:szCs w:val="24"/>
        </w:rPr>
        <w:t>Ces brèves réfle</w:t>
      </w:r>
      <w:r w:rsidR="00663E79">
        <w:rPr>
          <w:rFonts w:cs="Times New Roman"/>
          <w:szCs w:val="24"/>
        </w:rPr>
        <w:t xml:space="preserve">xions suggèrent qu’il n’existe pas de tel droit commun des mesures provisoires, mais </w:t>
      </w:r>
      <w:r w:rsidR="00EF272B" w:rsidRPr="00641B73">
        <w:rPr>
          <w:rFonts w:cs="Times New Roman"/>
          <w:szCs w:val="24"/>
        </w:rPr>
        <w:t xml:space="preserve">des </w:t>
      </w:r>
      <w:r w:rsidR="00EF272B" w:rsidRPr="00663E79">
        <w:rPr>
          <w:rFonts w:cs="Times New Roman"/>
          <w:szCs w:val="24"/>
        </w:rPr>
        <w:t>objectifs</w:t>
      </w:r>
      <w:r w:rsidR="00EF272B" w:rsidRPr="00641B73">
        <w:rPr>
          <w:rFonts w:cs="Times New Roman"/>
          <w:szCs w:val="24"/>
        </w:rPr>
        <w:t xml:space="preserve"> </w:t>
      </w:r>
      <w:r w:rsidR="002F27AD" w:rsidRPr="00641B73">
        <w:rPr>
          <w:rFonts w:cs="Times New Roman"/>
          <w:szCs w:val="24"/>
        </w:rPr>
        <w:t xml:space="preserve">et des </w:t>
      </w:r>
      <w:r w:rsidR="002F27AD" w:rsidRPr="00663E79">
        <w:rPr>
          <w:rFonts w:cs="Times New Roman"/>
          <w:szCs w:val="24"/>
        </w:rPr>
        <w:t>tendances</w:t>
      </w:r>
      <w:r w:rsidR="002F27AD" w:rsidRPr="00641B73">
        <w:rPr>
          <w:rFonts w:cs="Times New Roman"/>
          <w:szCs w:val="24"/>
        </w:rPr>
        <w:t xml:space="preserve"> </w:t>
      </w:r>
      <w:r w:rsidR="00EF272B" w:rsidRPr="00641B73">
        <w:rPr>
          <w:rFonts w:cs="Times New Roman"/>
          <w:szCs w:val="24"/>
        </w:rPr>
        <w:t xml:space="preserve">qui peuvent être communs. </w:t>
      </w:r>
      <w:r w:rsidR="00663E79">
        <w:rPr>
          <w:rFonts w:cs="Times New Roman"/>
          <w:szCs w:val="24"/>
        </w:rPr>
        <w:t>S</w:t>
      </w:r>
      <w:r w:rsidR="00EF272B" w:rsidRPr="00641B73">
        <w:rPr>
          <w:rFonts w:cs="Times New Roman"/>
          <w:szCs w:val="24"/>
        </w:rPr>
        <w:t>’il n’existe pas de droit commun des mesures provisoires</w:t>
      </w:r>
      <w:r w:rsidR="00663E79">
        <w:rPr>
          <w:rFonts w:cs="Times New Roman"/>
          <w:szCs w:val="24"/>
        </w:rPr>
        <w:t xml:space="preserve"> (I)</w:t>
      </w:r>
      <w:r w:rsidR="00EF272B" w:rsidRPr="00641B73">
        <w:rPr>
          <w:rFonts w:cs="Times New Roman"/>
          <w:szCs w:val="24"/>
        </w:rPr>
        <w:t xml:space="preserve">, il existe </w:t>
      </w:r>
      <w:r w:rsidR="00663E79">
        <w:rPr>
          <w:rFonts w:cs="Times New Roman"/>
          <w:szCs w:val="24"/>
        </w:rPr>
        <w:t xml:space="preserve">en effet </w:t>
      </w:r>
      <w:r w:rsidR="00EF272B" w:rsidRPr="00641B73">
        <w:rPr>
          <w:rFonts w:cs="Times New Roman"/>
          <w:szCs w:val="24"/>
        </w:rPr>
        <w:t xml:space="preserve">des points communs justifiés par des </w:t>
      </w:r>
      <w:r w:rsidR="00EF272B" w:rsidRPr="00663E79">
        <w:rPr>
          <w:rFonts w:cs="Times New Roman"/>
          <w:szCs w:val="24"/>
        </w:rPr>
        <w:t xml:space="preserve">circulations normatives </w:t>
      </w:r>
      <w:r w:rsidR="00EF272B" w:rsidRPr="00641B73">
        <w:rPr>
          <w:rFonts w:cs="Times New Roman"/>
          <w:szCs w:val="24"/>
        </w:rPr>
        <w:t>dont quelques facteurs</w:t>
      </w:r>
      <w:r w:rsidR="00663E79">
        <w:rPr>
          <w:rFonts w:cs="Times New Roman"/>
          <w:szCs w:val="24"/>
        </w:rPr>
        <w:t xml:space="preserve"> seront mis en lumière (II).</w:t>
      </w:r>
    </w:p>
    <w:p w14:paraId="4064DB6E" w14:textId="7842EBB1" w:rsidR="00EF272B" w:rsidRPr="00641B73" w:rsidRDefault="00EF272B" w:rsidP="00980CCF">
      <w:pPr>
        <w:numPr>
          <w:ilvl w:val="0"/>
          <w:numId w:val="0"/>
        </w:numPr>
        <w:spacing w:line="276" w:lineRule="auto"/>
        <w:rPr>
          <w:rFonts w:cs="Times New Roman"/>
          <w:szCs w:val="24"/>
        </w:rPr>
      </w:pPr>
    </w:p>
    <w:p w14:paraId="3A58D23F" w14:textId="3635CE92" w:rsidR="00EF272B" w:rsidRPr="00641B73" w:rsidRDefault="00EF272B" w:rsidP="00980CCF">
      <w:pPr>
        <w:numPr>
          <w:ilvl w:val="0"/>
          <w:numId w:val="0"/>
        </w:numPr>
        <w:spacing w:line="276" w:lineRule="auto"/>
        <w:rPr>
          <w:rFonts w:cs="Times New Roman"/>
          <w:b/>
          <w:bCs/>
          <w:szCs w:val="24"/>
          <w:u w:val="single"/>
        </w:rPr>
      </w:pPr>
      <w:r w:rsidRPr="00641B73">
        <w:rPr>
          <w:rFonts w:cs="Times New Roman"/>
          <w:b/>
          <w:bCs/>
          <w:szCs w:val="24"/>
          <w:u w:val="single"/>
        </w:rPr>
        <w:t>I. L’inexistence d’un droit commun des mesures conservatoires</w:t>
      </w:r>
    </w:p>
    <w:p w14:paraId="15FCEC1A" w14:textId="49427741" w:rsidR="00EF272B" w:rsidRPr="00641B73" w:rsidRDefault="00EF272B" w:rsidP="00980CCF">
      <w:pPr>
        <w:numPr>
          <w:ilvl w:val="0"/>
          <w:numId w:val="0"/>
        </w:numPr>
        <w:spacing w:line="276" w:lineRule="auto"/>
        <w:rPr>
          <w:rFonts w:cs="Times New Roman"/>
          <w:szCs w:val="24"/>
        </w:rPr>
      </w:pPr>
    </w:p>
    <w:p w14:paraId="15E5C5A4" w14:textId="2154A65F" w:rsidR="00EF272B" w:rsidRPr="00641B73" w:rsidRDefault="00EF272B" w:rsidP="00980CCF">
      <w:pPr>
        <w:numPr>
          <w:ilvl w:val="0"/>
          <w:numId w:val="0"/>
        </w:numPr>
        <w:spacing w:line="276" w:lineRule="auto"/>
        <w:rPr>
          <w:rFonts w:cs="Times New Roman"/>
          <w:szCs w:val="24"/>
        </w:rPr>
      </w:pPr>
      <w:r w:rsidRPr="00641B73">
        <w:rPr>
          <w:rFonts w:cs="Times New Roman"/>
          <w:szCs w:val="24"/>
        </w:rPr>
        <w:t>Pour</w:t>
      </w:r>
      <w:r w:rsidR="00663E79">
        <w:rPr>
          <w:rFonts w:cs="Times New Roman"/>
          <w:szCs w:val="24"/>
        </w:rPr>
        <w:t xml:space="preserve"> tenter de</w:t>
      </w:r>
      <w:r w:rsidRPr="00641B73">
        <w:rPr>
          <w:rFonts w:cs="Times New Roman"/>
          <w:szCs w:val="24"/>
        </w:rPr>
        <w:t xml:space="preserve"> montrer qu’il n’y a pas de tel « droit » commun, </w:t>
      </w:r>
      <w:r w:rsidR="00663E79">
        <w:rPr>
          <w:rFonts w:cs="Times New Roman"/>
          <w:szCs w:val="24"/>
        </w:rPr>
        <w:t>il peut suffire</w:t>
      </w:r>
      <w:r w:rsidRPr="00641B73">
        <w:rPr>
          <w:rFonts w:cs="Times New Roman"/>
          <w:szCs w:val="24"/>
        </w:rPr>
        <w:t xml:space="preserve"> de rappeler la diversité des règles applicables (A)</w:t>
      </w:r>
      <w:r w:rsidR="00663E79">
        <w:rPr>
          <w:rFonts w:cs="Times New Roman"/>
          <w:szCs w:val="24"/>
        </w:rPr>
        <w:t xml:space="preserve">. Ce constat invite à dégager </w:t>
      </w:r>
      <w:r w:rsidRPr="00641B73">
        <w:rPr>
          <w:rFonts w:cs="Times New Roman"/>
          <w:szCs w:val="24"/>
        </w:rPr>
        <w:t xml:space="preserve">les raisons </w:t>
      </w:r>
      <w:r w:rsidR="00663E79">
        <w:rPr>
          <w:rFonts w:cs="Times New Roman"/>
          <w:szCs w:val="24"/>
        </w:rPr>
        <w:t xml:space="preserve">de cette </w:t>
      </w:r>
      <w:r w:rsidRPr="00641B73">
        <w:rPr>
          <w:rFonts w:cs="Times New Roman"/>
          <w:szCs w:val="24"/>
        </w:rPr>
        <w:t>impossible unité</w:t>
      </w:r>
      <w:r w:rsidR="00663E79">
        <w:rPr>
          <w:rFonts w:cs="Times New Roman"/>
          <w:szCs w:val="24"/>
        </w:rPr>
        <w:t>, pourtant</w:t>
      </w:r>
      <w:r w:rsidRPr="00641B73">
        <w:rPr>
          <w:rFonts w:cs="Times New Roman"/>
          <w:szCs w:val="24"/>
        </w:rPr>
        <w:t xml:space="preserve"> nécessaire à la qualification de « droit commun » des mesures provisoires</w:t>
      </w:r>
      <w:r w:rsidR="00306C94" w:rsidRPr="00641B73">
        <w:rPr>
          <w:rFonts w:cs="Times New Roman"/>
          <w:szCs w:val="24"/>
        </w:rPr>
        <w:t xml:space="preserve"> (B).</w:t>
      </w:r>
    </w:p>
    <w:p w14:paraId="507FCE66" w14:textId="521DF7EB" w:rsidR="00EF272B" w:rsidRPr="00641B73" w:rsidRDefault="00EF272B" w:rsidP="00980CCF">
      <w:pPr>
        <w:numPr>
          <w:ilvl w:val="0"/>
          <w:numId w:val="0"/>
        </w:numPr>
        <w:spacing w:line="276" w:lineRule="auto"/>
        <w:rPr>
          <w:rFonts w:cs="Times New Roman"/>
          <w:szCs w:val="24"/>
        </w:rPr>
      </w:pPr>
    </w:p>
    <w:p w14:paraId="1114ED71" w14:textId="56F40AD6" w:rsidR="00EF272B" w:rsidRPr="00641B73" w:rsidRDefault="00EF272B" w:rsidP="00980CCF">
      <w:pPr>
        <w:pStyle w:val="Paragraphedeliste"/>
        <w:numPr>
          <w:ilvl w:val="0"/>
          <w:numId w:val="20"/>
        </w:numPr>
        <w:spacing w:line="276" w:lineRule="auto"/>
        <w:rPr>
          <w:rFonts w:cs="Times New Roman"/>
          <w:b/>
          <w:bCs/>
          <w:szCs w:val="24"/>
        </w:rPr>
      </w:pPr>
      <w:r w:rsidRPr="00641B73">
        <w:rPr>
          <w:rFonts w:cs="Times New Roman"/>
          <w:b/>
          <w:bCs/>
          <w:szCs w:val="24"/>
        </w:rPr>
        <w:t>Des règles diverses</w:t>
      </w:r>
    </w:p>
    <w:p w14:paraId="00679E16" w14:textId="18BF4EEA" w:rsidR="00EF272B" w:rsidRPr="00641B73" w:rsidRDefault="00EF272B" w:rsidP="00980CCF">
      <w:pPr>
        <w:numPr>
          <w:ilvl w:val="0"/>
          <w:numId w:val="0"/>
        </w:numPr>
        <w:spacing w:line="276" w:lineRule="auto"/>
        <w:rPr>
          <w:rFonts w:cs="Times New Roman"/>
          <w:szCs w:val="24"/>
        </w:rPr>
      </w:pPr>
    </w:p>
    <w:p w14:paraId="554E0131" w14:textId="3864F55E" w:rsidR="00B748C1" w:rsidRDefault="00DB7675" w:rsidP="00980CCF">
      <w:pPr>
        <w:numPr>
          <w:ilvl w:val="0"/>
          <w:numId w:val="0"/>
        </w:numPr>
        <w:spacing w:line="276" w:lineRule="auto"/>
        <w:rPr>
          <w:rFonts w:cs="Times New Roman"/>
          <w:szCs w:val="24"/>
        </w:rPr>
      </w:pPr>
      <w:r>
        <w:rPr>
          <w:rFonts w:cs="Times New Roman"/>
          <w:szCs w:val="24"/>
        </w:rPr>
        <w:t xml:space="preserve">À titre liminaire, il paraît important de ne </w:t>
      </w:r>
      <w:r w:rsidR="00EF272B" w:rsidRPr="00641B73">
        <w:rPr>
          <w:rFonts w:cs="Times New Roman"/>
          <w:szCs w:val="24"/>
        </w:rPr>
        <w:t xml:space="preserve">pas </w:t>
      </w:r>
      <w:r w:rsidR="00663E79">
        <w:rPr>
          <w:rFonts w:cs="Times New Roman"/>
          <w:szCs w:val="24"/>
        </w:rPr>
        <w:t xml:space="preserve">tomber dans le piège de </w:t>
      </w:r>
      <w:r w:rsidR="00EF272B" w:rsidRPr="00641B73">
        <w:rPr>
          <w:rFonts w:cs="Times New Roman"/>
          <w:szCs w:val="24"/>
        </w:rPr>
        <w:t>la facilité</w:t>
      </w:r>
      <w:r>
        <w:rPr>
          <w:rFonts w:cs="Times New Roman"/>
          <w:szCs w:val="24"/>
        </w:rPr>
        <w:t xml:space="preserve"> </w:t>
      </w:r>
      <w:r w:rsidR="00EF272B" w:rsidRPr="00641B73">
        <w:rPr>
          <w:rFonts w:cs="Times New Roman"/>
          <w:szCs w:val="24"/>
        </w:rPr>
        <w:t>qui conduit à identifier des idées, termes et notions communs d’une juridiction à l’autre. Même ce qui est commun ne l’est en réalité souvent pas</w:t>
      </w:r>
      <w:r w:rsidR="00663E79">
        <w:rPr>
          <w:rFonts w:cs="Times New Roman"/>
          <w:szCs w:val="24"/>
        </w:rPr>
        <w:t>,</w:t>
      </w:r>
      <w:r w:rsidR="00EF272B" w:rsidRPr="00641B73">
        <w:rPr>
          <w:rFonts w:cs="Times New Roman"/>
          <w:szCs w:val="24"/>
        </w:rPr>
        <w:t xml:space="preserve"> tant l’interprétation du juge ou de l’arbitre est fondamentale en matière de mesures provisoires. </w:t>
      </w:r>
      <w:r w:rsidR="00663E79">
        <w:rPr>
          <w:rFonts w:cs="Times New Roman"/>
          <w:szCs w:val="24"/>
        </w:rPr>
        <w:t xml:space="preserve">Pour ne prendre </w:t>
      </w:r>
      <w:r w:rsidR="00930604" w:rsidRPr="00641B73">
        <w:rPr>
          <w:rFonts w:cs="Times New Roman"/>
          <w:szCs w:val="24"/>
        </w:rPr>
        <w:t>qu’un exemple</w:t>
      </w:r>
      <w:r w:rsidR="00663E79">
        <w:rPr>
          <w:rFonts w:cs="Times New Roman"/>
          <w:szCs w:val="24"/>
        </w:rPr>
        <w:t xml:space="preserve"> topique</w:t>
      </w:r>
      <w:r w:rsidR="00EF272B" w:rsidRPr="00641B73">
        <w:rPr>
          <w:rFonts w:cs="Times New Roman"/>
          <w:szCs w:val="24"/>
        </w:rPr>
        <w:t>, la notion « d’urgence », présente dans la plupart</w:t>
      </w:r>
      <w:r w:rsidR="00460A3C" w:rsidRPr="00641B73">
        <w:rPr>
          <w:rFonts w:cs="Times New Roman"/>
          <w:szCs w:val="24"/>
        </w:rPr>
        <w:t xml:space="preserve"> des textes ou </w:t>
      </w:r>
      <w:r w:rsidR="00663E79">
        <w:rPr>
          <w:rFonts w:cs="Times New Roman"/>
          <w:szCs w:val="24"/>
        </w:rPr>
        <w:t>indirectement visée</w:t>
      </w:r>
      <w:r w:rsidR="00460A3C" w:rsidRPr="00641B73">
        <w:rPr>
          <w:rFonts w:cs="Times New Roman"/>
          <w:szCs w:val="24"/>
        </w:rPr>
        <w:t>, n’a pas le même sens ni la même intensité devant la Cour internationale de justice – qui peut constater une urgence deux ou trois mois après la demande en indication de mesures conservatoires pour en indiquer</w:t>
      </w:r>
      <w:r w:rsidR="005E41CD">
        <w:rPr>
          <w:rStyle w:val="Appelnotedebasdep"/>
          <w:rFonts w:cs="Times New Roman"/>
          <w:szCs w:val="24"/>
        </w:rPr>
        <w:footnoteReference w:id="12"/>
      </w:r>
      <w:r w:rsidR="00460A3C" w:rsidRPr="00641B73">
        <w:rPr>
          <w:rFonts w:cs="Times New Roman"/>
          <w:szCs w:val="24"/>
        </w:rPr>
        <w:t xml:space="preserve"> – et devant la CEDH qui n’en indique, de manière constante, que « dans des cas véritablement exceptionnels »</w:t>
      </w:r>
      <w:r w:rsidR="005E41CD">
        <w:rPr>
          <w:rStyle w:val="Appelnotedebasdep"/>
          <w:rFonts w:cs="Times New Roman"/>
          <w:szCs w:val="24"/>
        </w:rPr>
        <w:footnoteReference w:id="13"/>
      </w:r>
      <w:r w:rsidR="00460A3C" w:rsidRPr="00641B73">
        <w:rPr>
          <w:rFonts w:cs="Times New Roman"/>
          <w:szCs w:val="24"/>
        </w:rPr>
        <w:t>.</w:t>
      </w:r>
      <w:r w:rsidR="00B748C1">
        <w:rPr>
          <w:rFonts w:cs="Times New Roman"/>
          <w:szCs w:val="24"/>
        </w:rPr>
        <w:t xml:space="preserve"> </w:t>
      </w:r>
      <w:r w:rsidR="00930604" w:rsidRPr="00641B73">
        <w:rPr>
          <w:rFonts w:cs="Times New Roman"/>
          <w:szCs w:val="24"/>
        </w:rPr>
        <w:t xml:space="preserve">Même </w:t>
      </w:r>
      <w:r w:rsidR="00B748C1">
        <w:rPr>
          <w:rFonts w:cs="Times New Roman"/>
          <w:szCs w:val="24"/>
        </w:rPr>
        <w:t>lorsque</w:t>
      </w:r>
      <w:r w:rsidR="00930604" w:rsidRPr="00641B73">
        <w:rPr>
          <w:rFonts w:cs="Times New Roman"/>
          <w:szCs w:val="24"/>
        </w:rPr>
        <w:t xml:space="preserve"> les notions semblent communes, il </w:t>
      </w:r>
      <w:r w:rsidR="00B748C1">
        <w:rPr>
          <w:rFonts w:cs="Times New Roman"/>
          <w:szCs w:val="24"/>
        </w:rPr>
        <w:t xml:space="preserve">existe ainsi </w:t>
      </w:r>
      <w:r w:rsidR="00930604" w:rsidRPr="00641B73">
        <w:rPr>
          <w:rFonts w:cs="Times New Roman"/>
          <w:szCs w:val="24"/>
        </w:rPr>
        <w:t xml:space="preserve">des différences d’interprétation et d’appréhension qui empêchent de </w:t>
      </w:r>
      <w:r w:rsidR="00B748C1">
        <w:rPr>
          <w:rFonts w:cs="Times New Roman"/>
          <w:szCs w:val="24"/>
        </w:rPr>
        <w:t>considérer l’existence d’</w:t>
      </w:r>
      <w:r w:rsidR="00930604" w:rsidRPr="00641B73">
        <w:rPr>
          <w:rFonts w:cs="Times New Roman"/>
          <w:szCs w:val="24"/>
        </w:rPr>
        <w:t xml:space="preserve">un véritable « droit commun ». L’observation des différences entre les procédures prévues en cas </w:t>
      </w:r>
      <w:r w:rsidR="00930604" w:rsidRPr="00641B73">
        <w:rPr>
          <w:rFonts w:cs="Times New Roman"/>
          <w:szCs w:val="24"/>
        </w:rPr>
        <w:lastRenderedPageBreak/>
        <w:t xml:space="preserve">de demande d’indication de mesures provisoires confirme </w:t>
      </w:r>
      <w:r w:rsidR="00B748C1">
        <w:rPr>
          <w:rFonts w:cs="Times New Roman"/>
          <w:szCs w:val="24"/>
        </w:rPr>
        <w:t>dans l’ensemble</w:t>
      </w:r>
      <w:r w:rsidR="00930604" w:rsidRPr="00641B73">
        <w:rPr>
          <w:rFonts w:cs="Times New Roman"/>
          <w:szCs w:val="24"/>
        </w:rPr>
        <w:t xml:space="preserve"> cette inexistence</w:t>
      </w:r>
      <w:r>
        <w:rPr>
          <w:rFonts w:cs="Times New Roman"/>
          <w:szCs w:val="24"/>
        </w:rPr>
        <w:t>, au regard de trois séries d’éléments au moins.</w:t>
      </w:r>
    </w:p>
    <w:p w14:paraId="447D100E" w14:textId="77777777" w:rsidR="00B748C1" w:rsidRDefault="00B748C1" w:rsidP="00980CCF">
      <w:pPr>
        <w:numPr>
          <w:ilvl w:val="0"/>
          <w:numId w:val="0"/>
        </w:numPr>
        <w:spacing w:line="276" w:lineRule="auto"/>
        <w:rPr>
          <w:rFonts w:cs="Times New Roman"/>
          <w:szCs w:val="24"/>
        </w:rPr>
      </w:pPr>
    </w:p>
    <w:p w14:paraId="44CBD8A6" w14:textId="39880BC6" w:rsidR="00930604" w:rsidRPr="00641B73" w:rsidRDefault="00930604" w:rsidP="00980CCF">
      <w:pPr>
        <w:numPr>
          <w:ilvl w:val="0"/>
          <w:numId w:val="0"/>
        </w:numPr>
        <w:spacing w:line="276" w:lineRule="auto"/>
        <w:rPr>
          <w:rFonts w:cs="Times New Roman"/>
          <w:szCs w:val="24"/>
        </w:rPr>
      </w:pPr>
      <w:r w:rsidRPr="00641B73">
        <w:rPr>
          <w:rFonts w:cs="Times New Roman"/>
          <w:szCs w:val="24"/>
        </w:rPr>
        <w:t>D’une part, la procédure en elle-même est différente d’une juridiction à l’autre – par exemple l</w:t>
      </w:r>
      <w:r w:rsidR="00EB11DB" w:rsidRPr="00641B73">
        <w:rPr>
          <w:rFonts w:cs="Times New Roman"/>
          <w:szCs w:val="24"/>
        </w:rPr>
        <w:t xml:space="preserve">es mesures provisoires sont indiquées par le Président de la Cour </w:t>
      </w:r>
      <w:r w:rsidR="00183A2E" w:rsidRPr="00641B73">
        <w:rPr>
          <w:rFonts w:cs="Times New Roman"/>
          <w:szCs w:val="24"/>
        </w:rPr>
        <w:t>de justice</w:t>
      </w:r>
      <w:r w:rsidR="00B748C1">
        <w:rPr>
          <w:rFonts w:cs="Times New Roman"/>
          <w:szCs w:val="24"/>
        </w:rPr>
        <w:t xml:space="preserve"> de l’Union européenne</w:t>
      </w:r>
      <w:r w:rsidR="00EB11DB" w:rsidRPr="00641B73">
        <w:rPr>
          <w:rFonts w:cs="Times New Roman"/>
          <w:szCs w:val="24"/>
        </w:rPr>
        <w:t xml:space="preserve"> seul, bien qu’il puisse renvoyer la demande en collégiale s’il le juge pertinent ; devant la Cour internationale de justice, </w:t>
      </w:r>
      <w:r w:rsidR="00BB437D" w:rsidRPr="00641B73">
        <w:rPr>
          <w:rFonts w:cs="Times New Roman"/>
          <w:szCs w:val="24"/>
        </w:rPr>
        <w:t>l’ordonnance est toujours signée de tous les juges, même si, en cas d’urgence extrême, le Président peut « suggérer », sans procédure orale et au téléphone si besoin, des mesures conservatoires aux autres juges</w:t>
      </w:r>
      <w:r w:rsidR="00B748C1">
        <w:rPr>
          <w:rFonts w:cs="Times New Roman"/>
          <w:szCs w:val="24"/>
        </w:rPr>
        <w:t>.</w:t>
      </w:r>
      <w:r w:rsidR="00347FC8">
        <w:rPr>
          <w:rFonts w:cs="Times New Roman"/>
          <w:szCs w:val="24"/>
        </w:rPr>
        <w:t xml:space="preserve"> </w:t>
      </w:r>
      <w:r w:rsidR="00BD0CC6">
        <w:rPr>
          <w:rFonts w:cs="Times New Roman"/>
          <w:szCs w:val="24"/>
        </w:rPr>
        <w:t xml:space="preserve">En ce qui concerne la publicité et la transparence de la procédure, des différences notables existent également. </w:t>
      </w:r>
      <w:r w:rsidR="00347FC8">
        <w:rPr>
          <w:rFonts w:cs="Times New Roman"/>
          <w:szCs w:val="24"/>
        </w:rPr>
        <w:t xml:space="preserve">Les ordonnances en indication de mesures conservatoires </w:t>
      </w:r>
      <w:r w:rsidR="00BD0CC6">
        <w:rPr>
          <w:rFonts w:cs="Times New Roman"/>
          <w:szCs w:val="24"/>
        </w:rPr>
        <w:t>sont ainsi dûment publiées par la Cour internationale de justice, le TIDM ou encore la CJUE, tandis qu’elles font, de manière tout à fait surprenante, l’objet d’un simple résumé sous forme de communiqué de presse du Greffier de la CEDH – ce qui limite d’ailleurs, de manière peu justifi</w:t>
      </w:r>
      <w:r w:rsidR="00BF6E66">
        <w:rPr>
          <w:rFonts w:cs="Times New Roman"/>
          <w:szCs w:val="24"/>
        </w:rPr>
        <w:t>able</w:t>
      </w:r>
      <w:r w:rsidR="00BD0CC6">
        <w:rPr>
          <w:rFonts w:cs="Times New Roman"/>
          <w:szCs w:val="24"/>
        </w:rPr>
        <w:t>, l’accès à ce corpus jurisprudentiel.</w:t>
      </w:r>
    </w:p>
    <w:p w14:paraId="35B0F97E" w14:textId="616032B5" w:rsidR="00BD1416" w:rsidRPr="00641B73" w:rsidRDefault="00BD1416" w:rsidP="00980CCF">
      <w:pPr>
        <w:numPr>
          <w:ilvl w:val="0"/>
          <w:numId w:val="0"/>
        </w:numPr>
        <w:spacing w:line="276" w:lineRule="auto"/>
        <w:rPr>
          <w:rFonts w:cs="Times New Roman"/>
          <w:szCs w:val="24"/>
        </w:rPr>
      </w:pPr>
    </w:p>
    <w:p w14:paraId="42864516" w14:textId="77BE3E31" w:rsidR="00BD1416" w:rsidRPr="00641B73" w:rsidRDefault="00B748C1" w:rsidP="00980CCF">
      <w:pPr>
        <w:numPr>
          <w:ilvl w:val="0"/>
          <w:numId w:val="0"/>
        </w:numPr>
        <w:spacing w:line="276" w:lineRule="auto"/>
        <w:rPr>
          <w:rFonts w:cs="Times New Roman"/>
          <w:szCs w:val="24"/>
        </w:rPr>
      </w:pPr>
      <w:r>
        <w:rPr>
          <w:rFonts w:cs="Times New Roman"/>
          <w:szCs w:val="24"/>
        </w:rPr>
        <w:t>D’autre part,</w:t>
      </w:r>
      <w:r w:rsidR="00BD1416" w:rsidRPr="00641B73">
        <w:rPr>
          <w:rFonts w:cs="Times New Roman"/>
          <w:szCs w:val="24"/>
        </w:rPr>
        <w:t xml:space="preserve"> les conditions d’indication des mesures conservatoires divergent d’une juridiction à l’autre</w:t>
      </w:r>
      <w:r w:rsidR="00783126" w:rsidRPr="00641B73">
        <w:rPr>
          <w:rFonts w:cs="Times New Roman"/>
          <w:szCs w:val="24"/>
        </w:rPr>
        <w:t>, lorsqu’elles sont claires</w:t>
      </w:r>
      <w:r w:rsidR="00BD1416" w:rsidRPr="00641B73">
        <w:rPr>
          <w:rFonts w:cs="Times New Roman"/>
          <w:szCs w:val="24"/>
        </w:rPr>
        <w:t xml:space="preserve">. Le TIDM s’est globalement aligné sur la CIJ même </w:t>
      </w:r>
      <w:r>
        <w:rPr>
          <w:rFonts w:cs="Times New Roman"/>
          <w:szCs w:val="24"/>
        </w:rPr>
        <w:t>s’il reste possible d’observer</w:t>
      </w:r>
      <w:r w:rsidR="00BD1416" w:rsidRPr="00641B73">
        <w:rPr>
          <w:rFonts w:cs="Times New Roman"/>
          <w:szCs w:val="24"/>
        </w:rPr>
        <w:t xml:space="preserve"> quelques différences</w:t>
      </w:r>
      <w:r>
        <w:rPr>
          <w:rStyle w:val="Appelnotedebasdep"/>
          <w:rFonts w:cs="Times New Roman"/>
          <w:szCs w:val="24"/>
        </w:rPr>
        <w:footnoteReference w:id="14"/>
      </w:r>
      <w:r w:rsidR="00BD1416" w:rsidRPr="00641B73">
        <w:rPr>
          <w:rFonts w:cs="Times New Roman"/>
          <w:szCs w:val="24"/>
        </w:rPr>
        <w:t>. Mais la pratique arbitrale requiert régulièrement d’établir la « (forte) probabilité de chances de succès des demandes au fond »</w:t>
      </w:r>
      <w:r w:rsidR="005E0FC1">
        <w:rPr>
          <w:rStyle w:val="Appelnotedebasdep"/>
          <w:rFonts w:cs="Times New Roman"/>
          <w:szCs w:val="24"/>
        </w:rPr>
        <w:footnoteReference w:id="15"/>
      </w:r>
      <w:r w:rsidR="00BD1416" w:rsidRPr="00641B73">
        <w:rPr>
          <w:rFonts w:cs="Times New Roman"/>
          <w:szCs w:val="24"/>
        </w:rPr>
        <w:t xml:space="preserve"> – ce qui est différent de la « plausibilité » que l’on retrouve devant la CIJ</w:t>
      </w:r>
      <w:r w:rsidR="003A289F">
        <w:rPr>
          <w:rStyle w:val="Appelnotedebasdep"/>
          <w:rFonts w:cs="Times New Roman"/>
          <w:szCs w:val="24"/>
        </w:rPr>
        <w:footnoteReference w:id="16"/>
      </w:r>
      <w:r w:rsidR="00BD1416" w:rsidRPr="00641B73">
        <w:rPr>
          <w:rFonts w:cs="Times New Roman"/>
          <w:szCs w:val="24"/>
        </w:rPr>
        <w:t xml:space="preserve">. </w:t>
      </w:r>
      <w:r w:rsidR="003A289F">
        <w:rPr>
          <w:rFonts w:cs="Times New Roman"/>
          <w:szCs w:val="24"/>
        </w:rPr>
        <w:t>De manière plus saillante,</w:t>
      </w:r>
      <w:r w:rsidR="00BD1416" w:rsidRPr="00641B73">
        <w:rPr>
          <w:rFonts w:cs="Times New Roman"/>
          <w:szCs w:val="24"/>
        </w:rPr>
        <w:t xml:space="preserve"> le juge de </w:t>
      </w:r>
      <w:r w:rsidR="003A289F">
        <w:rPr>
          <w:rFonts w:cs="Times New Roman"/>
          <w:szCs w:val="24"/>
        </w:rPr>
        <w:t>l’Union européenne</w:t>
      </w:r>
      <w:r w:rsidR="00BD1416" w:rsidRPr="00641B73">
        <w:rPr>
          <w:rFonts w:cs="Times New Roman"/>
          <w:szCs w:val="24"/>
        </w:rPr>
        <w:t xml:space="preserve"> « met en balance l’intérêt que présente la mesure provisoire pour le demandeur avec l’intérêt du défendeur ou des tiers », ce qui conduit à privilégier régulièrement l’intérêt du service à celui des fonctionnaires ou des usagers d’un service</w:t>
      </w:r>
      <w:r w:rsidR="003A289F">
        <w:rPr>
          <w:rStyle w:val="Appelnotedebasdep"/>
          <w:rFonts w:cs="Times New Roman"/>
          <w:szCs w:val="24"/>
        </w:rPr>
        <w:footnoteReference w:id="17"/>
      </w:r>
      <w:r w:rsidR="00BD1416" w:rsidRPr="00641B73">
        <w:rPr>
          <w:rFonts w:cs="Times New Roman"/>
          <w:szCs w:val="24"/>
        </w:rPr>
        <w:t xml:space="preserve">. </w:t>
      </w:r>
      <w:r w:rsidR="00017B72">
        <w:rPr>
          <w:rFonts w:cs="Times New Roman"/>
          <w:szCs w:val="24"/>
        </w:rPr>
        <w:t>En ce qui concerne les juridictions et organes contentieux dédiés à la protection des</w:t>
      </w:r>
      <w:r w:rsidR="000C76C3" w:rsidRPr="00641B73">
        <w:rPr>
          <w:rFonts w:cs="Times New Roman"/>
          <w:szCs w:val="24"/>
        </w:rPr>
        <w:t xml:space="preserve"> droits </w:t>
      </w:r>
      <w:r w:rsidR="00017B72">
        <w:rPr>
          <w:rFonts w:cs="Times New Roman"/>
          <w:szCs w:val="24"/>
        </w:rPr>
        <w:t>de la personne humaine</w:t>
      </w:r>
      <w:r w:rsidR="000C76C3" w:rsidRPr="00641B73">
        <w:rPr>
          <w:rFonts w:cs="Times New Roman"/>
          <w:szCs w:val="24"/>
        </w:rPr>
        <w:t>, les conditions d’indication divergent également</w:t>
      </w:r>
      <w:r w:rsidR="00017B72">
        <w:rPr>
          <w:rFonts w:cs="Times New Roman"/>
          <w:szCs w:val="24"/>
        </w:rPr>
        <w:t xml:space="preserve">. Il est ainsi possible de relever, </w:t>
      </w:r>
      <w:r w:rsidR="000C76C3" w:rsidRPr="00641B73">
        <w:rPr>
          <w:rFonts w:cs="Times New Roman"/>
          <w:szCs w:val="24"/>
        </w:rPr>
        <w:t xml:space="preserve">Hélène </w:t>
      </w:r>
      <w:proofErr w:type="spellStart"/>
      <w:r w:rsidR="000C76C3" w:rsidRPr="00641B73">
        <w:rPr>
          <w:rFonts w:cs="Times New Roman"/>
          <w:szCs w:val="24"/>
        </w:rPr>
        <w:t>Tigroudja</w:t>
      </w:r>
      <w:proofErr w:type="spellEnd"/>
      <w:r w:rsidR="000C76C3" w:rsidRPr="00641B73">
        <w:rPr>
          <w:rFonts w:cs="Times New Roman"/>
          <w:szCs w:val="24"/>
        </w:rPr>
        <w:t xml:space="preserve"> et Ludovic </w:t>
      </w:r>
      <w:proofErr w:type="spellStart"/>
      <w:r w:rsidR="000C76C3" w:rsidRPr="00641B73">
        <w:rPr>
          <w:rFonts w:cs="Times New Roman"/>
          <w:szCs w:val="24"/>
        </w:rPr>
        <w:t>Hennebel</w:t>
      </w:r>
      <w:proofErr w:type="spellEnd"/>
      <w:r w:rsidR="00017B72">
        <w:rPr>
          <w:rFonts w:cs="Times New Roman"/>
          <w:szCs w:val="24"/>
        </w:rPr>
        <w:t xml:space="preserve">, </w:t>
      </w:r>
      <w:r w:rsidR="000C76C3" w:rsidRPr="00641B73">
        <w:rPr>
          <w:rFonts w:cs="Times New Roman"/>
          <w:szCs w:val="24"/>
        </w:rPr>
        <w:t xml:space="preserve">que si la Cour interaméricaine expose assez clairement les </w:t>
      </w:r>
      <w:r w:rsidR="00017B72">
        <w:rPr>
          <w:rFonts w:cs="Times New Roman"/>
          <w:szCs w:val="24"/>
        </w:rPr>
        <w:t>trois</w:t>
      </w:r>
      <w:r w:rsidR="000C76C3" w:rsidRPr="00641B73">
        <w:rPr>
          <w:rFonts w:cs="Times New Roman"/>
          <w:szCs w:val="24"/>
        </w:rPr>
        <w:t xml:space="preserve"> critères de l’extrême gravité, </w:t>
      </w:r>
      <w:r w:rsidR="00017B72">
        <w:rPr>
          <w:rFonts w:cs="Times New Roman"/>
          <w:szCs w:val="24"/>
        </w:rPr>
        <w:t xml:space="preserve">de </w:t>
      </w:r>
      <w:r w:rsidR="000C76C3" w:rsidRPr="00641B73">
        <w:rPr>
          <w:rFonts w:cs="Times New Roman"/>
          <w:szCs w:val="24"/>
        </w:rPr>
        <w:t xml:space="preserve">l’urgence et </w:t>
      </w:r>
      <w:r w:rsidR="00017B72">
        <w:rPr>
          <w:rFonts w:cs="Times New Roman"/>
          <w:szCs w:val="24"/>
        </w:rPr>
        <w:t>du</w:t>
      </w:r>
      <w:r w:rsidR="000C76C3" w:rsidRPr="00641B73">
        <w:rPr>
          <w:rFonts w:cs="Times New Roman"/>
          <w:szCs w:val="24"/>
        </w:rPr>
        <w:t xml:space="preserve"> risque de dommage irréparable</w:t>
      </w:r>
      <w:r w:rsidR="00017B72">
        <w:rPr>
          <w:rFonts w:cs="Times New Roman"/>
          <w:szCs w:val="24"/>
        </w:rPr>
        <w:t xml:space="preserve"> comme préalables à l’indication de mesures provisoires</w:t>
      </w:r>
      <w:r w:rsidR="000C76C3" w:rsidRPr="00641B73">
        <w:rPr>
          <w:rFonts w:cs="Times New Roman"/>
          <w:szCs w:val="24"/>
        </w:rPr>
        <w:t>, le « droit européen du provisoire est extrêmement obscur et opaque […] »</w:t>
      </w:r>
      <w:r w:rsidR="00017B72">
        <w:rPr>
          <w:rStyle w:val="Appelnotedebasdep"/>
          <w:rFonts w:cs="Times New Roman"/>
          <w:szCs w:val="24"/>
        </w:rPr>
        <w:footnoteReference w:id="18"/>
      </w:r>
      <w:r w:rsidR="000C76C3" w:rsidRPr="00641B73">
        <w:rPr>
          <w:rFonts w:cs="Times New Roman"/>
          <w:szCs w:val="24"/>
        </w:rPr>
        <w:t xml:space="preserve">. </w:t>
      </w:r>
      <w:r w:rsidR="00017B72">
        <w:rPr>
          <w:rFonts w:cs="Times New Roman"/>
          <w:szCs w:val="24"/>
        </w:rPr>
        <w:t>Doit également être relevée la possibilité pour les parties,</w:t>
      </w:r>
      <w:r w:rsidR="00BD1416" w:rsidRPr="00641B73">
        <w:rPr>
          <w:rFonts w:cs="Times New Roman"/>
          <w:szCs w:val="24"/>
        </w:rPr>
        <w:t xml:space="preserve"> dans le cadre d’un règlement arbitral</w:t>
      </w:r>
      <w:r w:rsidR="00017B72">
        <w:rPr>
          <w:rFonts w:cs="Times New Roman"/>
          <w:szCs w:val="24"/>
        </w:rPr>
        <w:t>, d’</w:t>
      </w:r>
      <w:r w:rsidR="00BD1416" w:rsidRPr="00641B73">
        <w:rPr>
          <w:rFonts w:cs="Times New Roman"/>
          <w:szCs w:val="24"/>
        </w:rPr>
        <w:t xml:space="preserve">exclure </w:t>
      </w:r>
      <w:r w:rsidR="00017B72">
        <w:rPr>
          <w:rFonts w:cs="Times New Roman"/>
          <w:szCs w:val="24"/>
        </w:rPr>
        <w:t>par avance l’indication de toute mesure conservatoire.</w:t>
      </w:r>
    </w:p>
    <w:p w14:paraId="253B3DD7" w14:textId="13580473" w:rsidR="00E86159" w:rsidRPr="00641B73" w:rsidRDefault="00E86159" w:rsidP="00980CCF">
      <w:pPr>
        <w:numPr>
          <w:ilvl w:val="0"/>
          <w:numId w:val="0"/>
        </w:numPr>
        <w:spacing w:line="276" w:lineRule="auto"/>
        <w:rPr>
          <w:rFonts w:cs="Times New Roman"/>
          <w:szCs w:val="24"/>
        </w:rPr>
      </w:pPr>
    </w:p>
    <w:p w14:paraId="6B815059" w14:textId="77777777" w:rsidR="00DB7675" w:rsidRDefault="00017B72" w:rsidP="00980CCF">
      <w:pPr>
        <w:numPr>
          <w:ilvl w:val="0"/>
          <w:numId w:val="0"/>
        </w:numPr>
        <w:spacing w:line="276" w:lineRule="auto"/>
        <w:rPr>
          <w:rFonts w:cs="Times New Roman"/>
          <w:szCs w:val="24"/>
        </w:rPr>
      </w:pPr>
      <w:r>
        <w:rPr>
          <w:rFonts w:cs="Times New Roman"/>
          <w:szCs w:val="24"/>
        </w:rPr>
        <w:lastRenderedPageBreak/>
        <w:t xml:space="preserve">Enfin, il faut mentionner que les </w:t>
      </w:r>
      <w:r w:rsidR="00473B79" w:rsidRPr="00641B73">
        <w:rPr>
          <w:rFonts w:cs="Times New Roman"/>
          <w:szCs w:val="24"/>
        </w:rPr>
        <w:t>conséquences de</w:t>
      </w:r>
      <w:r>
        <w:rPr>
          <w:rFonts w:cs="Times New Roman"/>
          <w:szCs w:val="24"/>
        </w:rPr>
        <w:t xml:space="preserve"> l’indication des </w:t>
      </w:r>
      <w:r w:rsidR="00473B79" w:rsidRPr="00641B73">
        <w:rPr>
          <w:rFonts w:cs="Times New Roman"/>
          <w:szCs w:val="24"/>
        </w:rPr>
        <w:t>mesures provisoires</w:t>
      </w:r>
      <w:r>
        <w:rPr>
          <w:rFonts w:cs="Times New Roman"/>
          <w:szCs w:val="24"/>
        </w:rPr>
        <w:t xml:space="preserve"> sont variables, du fait de la diversité d</w:t>
      </w:r>
      <w:r w:rsidR="00473B79" w:rsidRPr="00641B73">
        <w:rPr>
          <w:rFonts w:cs="Times New Roman"/>
          <w:szCs w:val="24"/>
        </w:rPr>
        <w:t>es pouvoirs des juges en la matière</w:t>
      </w:r>
      <w:r>
        <w:rPr>
          <w:rFonts w:cs="Times New Roman"/>
          <w:szCs w:val="24"/>
        </w:rPr>
        <w:t>, en matière de droits de la personne humaine</w:t>
      </w:r>
      <w:r w:rsidR="00E66062" w:rsidRPr="002138C1">
        <w:rPr>
          <w:rStyle w:val="Appelnotedebasdep"/>
        </w:rPr>
        <w:footnoteReference w:id="19"/>
      </w:r>
      <w:r>
        <w:rPr>
          <w:rFonts w:cs="Times New Roman"/>
          <w:szCs w:val="24"/>
        </w:rPr>
        <w:t xml:space="preserve"> ou dans le cadre d’autres contentieux – on pense par exemple au pouvoir d’astreinte que la Cour de justice de l’Union européenne </w:t>
      </w:r>
      <w:r w:rsidR="005463CA">
        <w:rPr>
          <w:rFonts w:cs="Times New Roman"/>
          <w:szCs w:val="24"/>
        </w:rPr>
        <w:t>a dégagé et que le juge unique du provisoire, en l’espèce le vice-président de la Cour, s’est autorisé à prononcer fin 2021</w:t>
      </w:r>
      <w:r w:rsidR="005463CA">
        <w:rPr>
          <w:rStyle w:val="Appelnotedebasdep"/>
          <w:rFonts w:cs="Times New Roman"/>
          <w:szCs w:val="24"/>
        </w:rPr>
        <w:footnoteReference w:id="20"/>
      </w:r>
      <w:r w:rsidR="00F82BB7" w:rsidRPr="00641B73">
        <w:rPr>
          <w:rFonts w:cs="Times New Roman"/>
          <w:szCs w:val="24"/>
        </w:rPr>
        <w:t xml:space="preserve">. </w:t>
      </w:r>
    </w:p>
    <w:p w14:paraId="6C1FD22C" w14:textId="77777777" w:rsidR="00DB7675" w:rsidRDefault="00DB7675" w:rsidP="00980CCF">
      <w:pPr>
        <w:numPr>
          <w:ilvl w:val="0"/>
          <w:numId w:val="0"/>
        </w:numPr>
        <w:spacing w:line="276" w:lineRule="auto"/>
        <w:rPr>
          <w:rFonts w:cs="Times New Roman"/>
          <w:szCs w:val="24"/>
        </w:rPr>
      </w:pPr>
    </w:p>
    <w:p w14:paraId="23F5DADC" w14:textId="61EE2E2F" w:rsidR="00E86159" w:rsidRPr="00641B73" w:rsidRDefault="00DB7675" w:rsidP="00980CCF">
      <w:pPr>
        <w:numPr>
          <w:ilvl w:val="0"/>
          <w:numId w:val="0"/>
        </w:numPr>
        <w:spacing w:line="276" w:lineRule="auto"/>
        <w:rPr>
          <w:rFonts w:cs="Times New Roman"/>
          <w:szCs w:val="24"/>
        </w:rPr>
      </w:pPr>
      <w:r>
        <w:rPr>
          <w:rFonts w:cs="Times New Roman"/>
          <w:szCs w:val="24"/>
        </w:rPr>
        <w:t xml:space="preserve">Sans procéder à une analyse plus approfondie, il apparaît ainsi, au regard des trois séries de différences qui précèdent, qu’il n’existe pas suffisamment d’unité pour </w:t>
      </w:r>
      <w:r w:rsidR="00E86159" w:rsidRPr="00641B73">
        <w:rPr>
          <w:rFonts w:cs="Times New Roman"/>
          <w:szCs w:val="24"/>
        </w:rPr>
        <w:t>qualifier un « droit commun des mesures provisoires ».</w:t>
      </w:r>
      <w:r w:rsidR="00F41173">
        <w:rPr>
          <w:rFonts w:cs="Times New Roman"/>
          <w:szCs w:val="24"/>
        </w:rPr>
        <w:t xml:space="preserve"> Quelques raisons peuvent en être identifiées.</w:t>
      </w:r>
    </w:p>
    <w:p w14:paraId="3E848533" w14:textId="7CF6D402" w:rsidR="00A41DE9" w:rsidRPr="00641B73" w:rsidRDefault="00A41DE9" w:rsidP="00980CCF">
      <w:pPr>
        <w:numPr>
          <w:ilvl w:val="0"/>
          <w:numId w:val="0"/>
        </w:numPr>
        <w:spacing w:line="276" w:lineRule="auto"/>
        <w:rPr>
          <w:rFonts w:cs="Times New Roman"/>
          <w:szCs w:val="24"/>
        </w:rPr>
      </w:pPr>
    </w:p>
    <w:p w14:paraId="243052CE" w14:textId="3F18A984" w:rsidR="00A41DE9" w:rsidRPr="00641B73" w:rsidRDefault="00E86159" w:rsidP="00980CCF">
      <w:pPr>
        <w:pStyle w:val="Paragraphedeliste"/>
        <w:numPr>
          <w:ilvl w:val="0"/>
          <w:numId w:val="20"/>
        </w:numPr>
        <w:spacing w:line="276" w:lineRule="auto"/>
        <w:rPr>
          <w:rFonts w:cs="Times New Roman"/>
          <w:b/>
          <w:bCs/>
          <w:szCs w:val="24"/>
        </w:rPr>
      </w:pPr>
      <w:r w:rsidRPr="00641B73">
        <w:rPr>
          <w:rFonts w:cs="Times New Roman"/>
          <w:b/>
          <w:bCs/>
          <w:szCs w:val="24"/>
        </w:rPr>
        <w:t>Les motifs de l’impossible unité</w:t>
      </w:r>
    </w:p>
    <w:p w14:paraId="1EBFC148" w14:textId="3D66A978" w:rsidR="00E86159" w:rsidRPr="00641B73" w:rsidRDefault="00E86159" w:rsidP="00980CCF">
      <w:pPr>
        <w:numPr>
          <w:ilvl w:val="0"/>
          <w:numId w:val="0"/>
        </w:numPr>
        <w:spacing w:line="276" w:lineRule="auto"/>
        <w:rPr>
          <w:rFonts w:cs="Times New Roman"/>
          <w:szCs w:val="24"/>
        </w:rPr>
      </w:pPr>
    </w:p>
    <w:p w14:paraId="768CAE65" w14:textId="39874339" w:rsidR="00F41173" w:rsidRDefault="00F41173" w:rsidP="00980CCF">
      <w:pPr>
        <w:numPr>
          <w:ilvl w:val="0"/>
          <w:numId w:val="0"/>
        </w:numPr>
        <w:spacing w:line="276" w:lineRule="auto"/>
        <w:rPr>
          <w:rFonts w:cs="Times New Roman"/>
          <w:szCs w:val="24"/>
        </w:rPr>
      </w:pPr>
      <w:r>
        <w:rPr>
          <w:rFonts w:cs="Times New Roman"/>
          <w:szCs w:val="24"/>
        </w:rPr>
        <w:t>Deux motifs de cette impossible unité, d’autres pouvant certainement être identifiés, méritent une attention particulière.</w:t>
      </w:r>
    </w:p>
    <w:p w14:paraId="6577CE43" w14:textId="77777777" w:rsidR="00F41173" w:rsidRDefault="00F41173" w:rsidP="00980CCF">
      <w:pPr>
        <w:numPr>
          <w:ilvl w:val="0"/>
          <w:numId w:val="0"/>
        </w:numPr>
        <w:spacing w:line="276" w:lineRule="auto"/>
        <w:rPr>
          <w:rFonts w:cs="Times New Roman"/>
          <w:szCs w:val="24"/>
        </w:rPr>
      </w:pPr>
    </w:p>
    <w:p w14:paraId="60EE7DEB" w14:textId="7BB51FC8" w:rsidR="00103BD7" w:rsidRPr="00103BD7" w:rsidRDefault="00E86159" w:rsidP="00980CCF">
      <w:pPr>
        <w:numPr>
          <w:ilvl w:val="0"/>
          <w:numId w:val="0"/>
        </w:numPr>
        <w:spacing w:line="276" w:lineRule="auto"/>
        <w:rPr>
          <w:rFonts w:cs="Times New Roman"/>
          <w:szCs w:val="24"/>
        </w:rPr>
      </w:pPr>
      <w:r w:rsidRPr="00641B73">
        <w:rPr>
          <w:rFonts w:cs="Times New Roman"/>
          <w:szCs w:val="24"/>
        </w:rPr>
        <w:t>D’une part, les enjeux de l’indication ou de la non-indication de mesures conservatoires sont différents d’une juridiction à l’autre. Cela est particulièrement vrai lorsqu</w:t>
      </w:r>
      <w:r w:rsidR="00F41173">
        <w:rPr>
          <w:rFonts w:cs="Times New Roman"/>
          <w:szCs w:val="24"/>
        </w:rPr>
        <w:t>e l’o</w:t>
      </w:r>
      <w:r w:rsidRPr="00641B73">
        <w:rPr>
          <w:rFonts w:cs="Times New Roman"/>
          <w:szCs w:val="24"/>
        </w:rPr>
        <w:t xml:space="preserve">n pense aux requérants, qui </w:t>
      </w:r>
      <w:r w:rsidR="00F41173">
        <w:rPr>
          <w:rFonts w:cs="Times New Roman"/>
          <w:szCs w:val="24"/>
        </w:rPr>
        <w:t>se trouvent</w:t>
      </w:r>
      <w:r w:rsidRPr="00641B73">
        <w:rPr>
          <w:rFonts w:cs="Times New Roman"/>
          <w:szCs w:val="24"/>
        </w:rPr>
        <w:t xml:space="preserve"> potentiellement dans des situations objectivement plus graves lorsque les mesures sont demandées devant une juridiction régionale de protection des droits humains que lorsqu’il s’agit d’un différend interétatique devant le TIDM ou la CIJ – </w:t>
      </w:r>
      <w:r w:rsidR="00F41173">
        <w:rPr>
          <w:rFonts w:cs="Times New Roman"/>
          <w:szCs w:val="24"/>
        </w:rPr>
        <w:t>quoique ce dernier exemple doive, au regard de l’évolution récente des mesures conservatoires devant la CIJ, être relativisé. Cela s’avère</w:t>
      </w:r>
      <w:r w:rsidRPr="00641B73">
        <w:rPr>
          <w:rFonts w:cs="Times New Roman"/>
          <w:szCs w:val="24"/>
        </w:rPr>
        <w:t xml:space="preserve"> également vrai lorsqu</w:t>
      </w:r>
      <w:r w:rsidR="00F41173">
        <w:rPr>
          <w:rFonts w:cs="Times New Roman"/>
          <w:szCs w:val="24"/>
        </w:rPr>
        <w:t xml:space="preserve">e l’on s’attache à examiner </w:t>
      </w:r>
      <w:r w:rsidRPr="00641B73">
        <w:rPr>
          <w:rFonts w:cs="Times New Roman"/>
          <w:szCs w:val="24"/>
        </w:rPr>
        <w:t>la politique jurisprudentielle des</w:t>
      </w:r>
      <w:r w:rsidR="00F41173">
        <w:rPr>
          <w:rFonts w:cs="Times New Roman"/>
          <w:szCs w:val="24"/>
        </w:rPr>
        <w:t xml:space="preserve"> différentes</w:t>
      </w:r>
      <w:r w:rsidRPr="00641B73">
        <w:rPr>
          <w:rFonts w:cs="Times New Roman"/>
          <w:szCs w:val="24"/>
        </w:rPr>
        <w:t xml:space="preserve"> juridictions. Certaines </w:t>
      </w:r>
      <w:r w:rsidR="00F41173">
        <w:rPr>
          <w:rFonts w:cs="Times New Roman"/>
          <w:szCs w:val="24"/>
        </w:rPr>
        <w:t>ressentent le</w:t>
      </w:r>
      <w:r w:rsidRPr="00641B73">
        <w:rPr>
          <w:rFonts w:cs="Times New Roman"/>
          <w:szCs w:val="24"/>
        </w:rPr>
        <w:t xml:space="preserve"> besoin d’asseoir leur autorité voire de démontrer leur utilité ; d’autres n'en ont nullement besoin. Cette situation éminemment politique implique que la CEDH ou la CJUE peuvent se permettre, sans crainte de ne plus être saisies</w:t>
      </w:r>
      <w:r w:rsidR="00450333" w:rsidRPr="00641B73">
        <w:rPr>
          <w:rFonts w:cs="Times New Roman"/>
          <w:szCs w:val="24"/>
        </w:rPr>
        <w:t xml:space="preserve"> et d’être </w:t>
      </w:r>
      <w:r w:rsidR="00F41173">
        <w:rPr>
          <w:rFonts w:cs="Times New Roman"/>
          <w:szCs w:val="24"/>
        </w:rPr>
        <w:t>« </w:t>
      </w:r>
      <w:r w:rsidR="00450333" w:rsidRPr="00641B73">
        <w:rPr>
          <w:rFonts w:cs="Times New Roman"/>
          <w:szCs w:val="24"/>
        </w:rPr>
        <w:t>boycottées</w:t>
      </w:r>
      <w:r w:rsidR="00F41173">
        <w:rPr>
          <w:rFonts w:cs="Times New Roman"/>
          <w:szCs w:val="24"/>
        </w:rPr>
        <w:t> »</w:t>
      </w:r>
      <w:r w:rsidRPr="00641B73">
        <w:rPr>
          <w:rFonts w:cs="Times New Roman"/>
          <w:szCs w:val="24"/>
        </w:rPr>
        <w:t>, de refuser l’indication de mesures conservatoires requise par une personne privée</w:t>
      </w:r>
      <w:r w:rsidR="00F41173">
        <w:rPr>
          <w:rFonts w:cs="Times New Roman"/>
          <w:szCs w:val="24"/>
        </w:rPr>
        <w:t xml:space="preserve"> ou de s’octroyer un pouvoir d’astreinte bien qu’il ne découle pas de manière évidente des textes applicables</w:t>
      </w:r>
      <w:r w:rsidR="00F41173">
        <w:rPr>
          <w:rStyle w:val="Appelnotedebasdep"/>
          <w:rFonts w:cs="Times New Roman"/>
          <w:szCs w:val="24"/>
        </w:rPr>
        <w:footnoteReference w:id="21"/>
      </w:r>
      <w:r w:rsidRPr="00641B73">
        <w:rPr>
          <w:rFonts w:cs="Times New Roman"/>
          <w:szCs w:val="24"/>
        </w:rPr>
        <w:t>. Tel est moins le cas de la CIJ, qui doit constamment ménager la souveraineté des États demandeurs comme défendeurs et donner confiance</w:t>
      </w:r>
      <w:r w:rsidR="00F41173">
        <w:rPr>
          <w:rFonts w:cs="Times New Roman"/>
          <w:szCs w:val="24"/>
        </w:rPr>
        <w:t>,</w:t>
      </w:r>
      <w:r w:rsidRPr="00641B73">
        <w:rPr>
          <w:rFonts w:cs="Times New Roman"/>
          <w:szCs w:val="24"/>
        </w:rPr>
        <w:t xml:space="preserve"> </w:t>
      </w:r>
      <w:r w:rsidR="00F41173">
        <w:rPr>
          <w:rFonts w:cs="Times New Roman"/>
          <w:szCs w:val="24"/>
        </w:rPr>
        <w:t xml:space="preserve">à la communauté internationale, </w:t>
      </w:r>
      <w:r w:rsidRPr="00641B73">
        <w:rPr>
          <w:rFonts w:cs="Times New Roman"/>
          <w:szCs w:val="24"/>
        </w:rPr>
        <w:t>dans la qualité du règlement des différends qu’elle propose. Autrement dit</w:t>
      </w:r>
      <w:r w:rsidR="00F41173">
        <w:rPr>
          <w:rFonts w:cs="Times New Roman"/>
          <w:szCs w:val="24"/>
        </w:rPr>
        <w:t>,</w:t>
      </w:r>
      <w:r w:rsidRPr="00641B73">
        <w:rPr>
          <w:rFonts w:cs="Times New Roman"/>
          <w:szCs w:val="24"/>
        </w:rPr>
        <w:t xml:space="preserve"> la </w:t>
      </w:r>
      <w:r w:rsidR="00F41173">
        <w:rPr>
          <w:rFonts w:cs="Times New Roman"/>
          <w:szCs w:val="24"/>
        </w:rPr>
        <w:t>Cour de La Haye</w:t>
      </w:r>
      <w:r w:rsidRPr="00641B73">
        <w:rPr>
          <w:rFonts w:cs="Times New Roman"/>
          <w:szCs w:val="24"/>
        </w:rPr>
        <w:t xml:space="preserve"> sera volontiers critiquée si elle refuse d’indiquer des mesures conservatoires</w:t>
      </w:r>
      <w:r w:rsidR="00B86A44" w:rsidRPr="00641B73">
        <w:rPr>
          <w:rFonts w:cs="Times New Roman"/>
          <w:szCs w:val="24"/>
        </w:rPr>
        <w:t xml:space="preserve">, </w:t>
      </w:r>
      <w:r w:rsidR="00450333" w:rsidRPr="00641B73">
        <w:rPr>
          <w:rFonts w:cs="Times New Roman"/>
          <w:szCs w:val="24"/>
        </w:rPr>
        <w:t xml:space="preserve">et fera </w:t>
      </w:r>
      <w:r w:rsidR="00B86A44" w:rsidRPr="00641B73">
        <w:rPr>
          <w:rFonts w:cs="Times New Roman"/>
          <w:szCs w:val="24"/>
        </w:rPr>
        <w:t xml:space="preserve">douter de potentiels futurs demandeurs qui pourraient préférer un autre mode de règlement des différends </w:t>
      </w:r>
      <w:r w:rsidR="00F41173">
        <w:rPr>
          <w:rFonts w:cs="Times New Roman"/>
          <w:szCs w:val="24"/>
        </w:rPr>
        <w:t xml:space="preserve">– le cas échéant moins pacifique, même si cela se ferait en violation de la Charte des Nations Unies – </w:t>
      </w:r>
      <w:r w:rsidR="00B86A44" w:rsidRPr="00641B73">
        <w:rPr>
          <w:rFonts w:cs="Times New Roman"/>
          <w:szCs w:val="24"/>
        </w:rPr>
        <w:t>face à l’inaction supposée de la Cour. Or la Cour, comme la communauté internationale, a intérêt à ce que les différends soient plutôt réglés à La Haye que par les armes. On peut dès lors la soupçonner d</w:t>
      </w:r>
      <w:r w:rsidR="00F41173">
        <w:rPr>
          <w:rFonts w:cs="Times New Roman"/>
          <w:szCs w:val="24"/>
        </w:rPr>
        <w:t xml:space="preserve">e chercher à </w:t>
      </w:r>
      <w:r w:rsidR="00B86A44" w:rsidRPr="00641B73">
        <w:rPr>
          <w:rFonts w:cs="Times New Roman"/>
          <w:szCs w:val="24"/>
        </w:rPr>
        <w:t xml:space="preserve">éviter de refuser les mesures conservatoires si elle </w:t>
      </w:r>
      <w:r w:rsidR="00F41173">
        <w:rPr>
          <w:rFonts w:cs="Times New Roman"/>
          <w:szCs w:val="24"/>
        </w:rPr>
        <w:t>en a la possibilité</w:t>
      </w:r>
      <w:r w:rsidR="00B86A44" w:rsidRPr="00641B73">
        <w:rPr>
          <w:rFonts w:cs="Times New Roman"/>
          <w:szCs w:val="24"/>
        </w:rPr>
        <w:t xml:space="preserve">. La pratique semble donner raison </w:t>
      </w:r>
      <w:r w:rsidR="00F41173">
        <w:rPr>
          <w:rFonts w:cs="Times New Roman"/>
          <w:szCs w:val="24"/>
        </w:rPr>
        <w:t xml:space="preserve">à cette analyse certes moins juridique que sociopolitique, </w:t>
      </w:r>
      <w:r w:rsidR="00B86A44" w:rsidRPr="00641B73">
        <w:rPr>
          <w:rFonts w:cs="Times New Roman"/>
          <w:szCs w:val="24"/>
        </w:rPr>
        <w:t xml:space="preserve">tant il est rare que la Cour, ces dernières années, refuse d’indiquer des mesures, alors même que des éléments permettent </w:t>
      </w:r>
      <w:r w:rsidR="00F41173">
        <w:rPr>
          <w:rFonts w:cs="Times New Roman"/>
          <w:szCs w:val="24"/>
        </w:rPr>
        <w:lastRenderedPageBreak/>
        <w:t xml:space="preserve">parfois </w:t>
      </w:r>
      <w:r w:rsidR="00B86A44" w:rsidRPr="00641B73">
        <w:rPr>
          <w:rFonts w:cs="Times New Roman"/>
          <w:szCs w:val="24"/>
        </w:rPr>
        <w:t>de douter de sa compétence ou du bienfondé de certaines demandes</w:t>
      </w:r>
      <w:r w:rsidR="00103BD7">
        <w:rPr>
          <w:rFonts w:cs="Times New Roman"/>
          <w:szCs w:val="24"/>
        </w:rPr>
        <w:t xml:space="preserve">. Un exemple topique réside, récemment, dans l’affaire </w:t>
      </w:r>
      <w:r w:rsidR="00103BD7">
        <w:rPr>
          <w:rFonts w:cs="Times New Roman"/>
          <w:i/>
          <w:iCs/>
          <w:szCs w:val="24"/>
        </w:rPr>
        <w:t>Qatar c. Émirats arabes unis</w:t>
      </w:r>
      <w:r w:rsidR="00103BD7">
        <w:rPr>
          <w:rFonts w:cs="Times New Roman"/>
          <w:szCs w:val="24"/>
        </w:rPr>
        <w:t xml:space="preserve"> devant la CIJ. En 2018, la Cour a en effet rendu une ordonnance en indication de mesures conservatoires</w:t>
      </w:r>
      <w:r w:rsidR="0005217C">
        <w:rPr>
          <w:rStyle w:val="Appelnotedebasdep"/>
          <w:rFonts w:cs="Times New Roman"/>
          <w:szCs w:val="24"/>
        </w:rPr>
        <w:footnoteReference w:id="22"/>
      </w:r>
      <w:r w:rsidR="00103BD7">
        <w:rPr>
          <w:rFonts w:cs="Times New Roman"/>
          <w:szCs w:val="24"/>
        </w:rPr>
        <w:t xml:space="preserve"> dont la motivation était discutable, au point qu’on a pu la suspecter d’avoir souhaité éluder </w:t>
      </w:r>
      <w:r w:rsidR="0005217C">
        <w:rPr>
          <w:rFonts w:cs="Times New Roman"/>
          <w:szCs w:val="24"/>
        </w:rPr>
        <w:t>certaines</w:t>
      </w:r>
      <w:r w:rsidR="00103BD7">
        <w:rPr>
          <w:rFonts w:cs="Times New Roman"/>
          <w:szCs w:val="24"/>
        </w:rPr>
        <w:t xml:space="preserve"> question</w:t>
      </w:r>
      <w:r w:rsidR="0005217C">
        <w:rPr>
          <w:rFonts w:cs="Times New Roman"/>
          <w:szCs w:val="24"/>
        </w:rPr>
        <w:t>s</w:t>
      </w:r>
      <w:r w:rsidR="00103BD7">
        <w:rPr>
          <w:rFonts w:cs="Times New Roman"/>
          <w:szCs w:val="24"/>
        </w:rPr>
        <w:t xml:space="preserve"> qui aurai</w:t>
      </w:r>
      <w:r w:rsidR="0005217C">
        <w:rPr>
          <w:rFonts w:cs="Times New Roman"/>
          <w:szCs w:val="24"/>
        </w:rPr>
        <w:t>en</w:t>
      </w:r>
      <w:r w:rsidR="00103BD7">
        <w:rPr>
          <w:rFonts w:cs="Times New Roman"/>
          <w:szCs w:val="24"/>
        </w:rPr>
        <w:t xml:space="preserve">t pu fonder l’incompétence </w:t>
      </w:r>
      <w:r w:rsidR="00103BD7">
        <w:rPr>
          <w:rFonts w:cs="Times New Roman"/>
          <w:i/>
          <w:iCs/>
          <w:szCs w:val="24"/>
        </w:rPr>
        <w:t>prima facie</w:t>
      </w:r>
      <w:r w:rsidR="00103BD7">
        <w:rPr>
          <w:rFonts w:cs="Times New Roman"/>
          <w:szCs w:val="24"/>
        </w:rPr>
        <w:t xml:space="preserve"> de la Cour – et donc l’impossibilité d’indiquer des mesures</w:t>
      </w:r>
      <w:r w:rsidR="0005217C">
        <w:rPr>
          <w:rStyle w:val="Appelnotedebasdep"/>
          <w:rFonts w:cs="Times New Roman"/>
          <w:szCs w:val="24"/>
        </w:rPr>
        <w:footnoteReference w:id="23"/>
      </w:r>
      <w:r w:rsidR="0005217C">
        <w:rPr>
          <w:rFonts w:cs="Times New Roman"/>
          <w:szCs w:val="24"/>
        </w:rPr>
        <w:t>.</w:t>
      </w:r>
      <w:r w:rsidR="00103BD7">
        <w:rPr>
          <w:rFonts w:cs="Times New Roman"/>
          <w:szCs w:val="24"/>
        </w:rPr>
        <w:t xml:space="preserve"> Après avoir refusé d’indiquer de nouvelles mesures en 2019</w:t>
      </w:r>
      <w:r w:rsidR="0005217C">
        <w:rPr>
          <w:rStyle w:val="Appelnotedebasdep"/>
          <w:rFonts w:cs="Times New Roman"/>
          <w:szCs w:val="24"/>
        </w:rPr>
        <w:footnoteReference w:id="24"/>
      </w:r>
      <w:r w:rsidR="00103BD7">
        <w:rPr>
          <w:rFonts w:cs="Times New Roman"/>
          <w:szCs w:val="24"/>
        </w:rPr>
        <w:t xml:space="preserve">, ce qui n’est pas inhabituel dans la mesure où une première ordonnance a été rendue, la Cour a néanmoins constaté son incompétence </w:t>
      </w:r>
      <w:proofErr w:type="spellStart"/>
      <w:r w:rsidR="0005217C">
        <w:rPr>
          <w:rFonts w:cs="Times New Roman"/>
          <w:i/>
          <w:iCs/>
          <w:szCs w:val="24"/>
        </w:rPr>
        <w:t>ratione</w:t>
      </w:r>
      <w:proofErr w:type="spellEnd"/>
      <w:r w:rsidR="0005217C">
        <w:rPr>
          <w:rFonts w:cs="Times New Roman"/>
          <w:i/>
          <w:iCs/>
          <w:szCs w:val="24"/>
        </w:rPr>
        <w:t xml:space="preserve"> materiae </w:t>
      </w:r>
      <w:r w:rsidR="00103BD7">
        <w:rPr>
          <w:rFonts w:cs="Times New Roman"/>
          <w:szCs w:val="24"/>
        </w:rPr>
        <w:t>dans son arrêt sur les exceptions préliminaires en 2021</w:t>
      </w:r>
      <w:r w:rsidR="0005217C">
        <w:rPr>
          <w:rStyle w:val="Appelnotedebasdep"/>
          <w:rFonts w:cs="Times New Roman"/>
          <w:szCs w:val="24"/>
        </w:rPr>
        <w:footnoteReference w:id="25"/>
      </w:r>
      <w:r w:rsidR="0005217C">
        <w:rPr>
          <w:rFonts w:cs="Times New Roman"/>
          <w:szCs w:val="24"/>
        </w:rPr>
        <w:t>. On peut dès lors soutenir que le mécanisme de la compétence « </w:t>
      </w:r>
      <w:r w:rsidR="0005217C" w:rsidRPr="0005217C">
        <w:rPr>
          <w:rFonts w:cs="Times New Roman"/>
          <w:i/>
          <w:iCs/>
          <w:szCs w:val="24"/>
        </w:rPr>
        <w:t>prima facie</w:t>
      </w:r>
      <w:r w:rsidR="0005217C">
        <w:rPr>
          <w:rFonts w:cs="Times New Roman"/>
          <w:szCs w:val="24"/>
        </w:rPr>
        <w:t> » constitue un outil d’ajustement de la politique juridique de la Cour par le choix de l’intensité du contrôle qu’elle effectue à ce stade.</w:t>
      </w:r>
    </w:p>
    <w:p w14:paraId="5D060AEC" w14:textId="56965C7B" w:rsidR="00B86A44" w:rsidRPr="00641B73" w:rsidRDefault="00B86A44" w:rsidP="00980CCF">
      <w:pPr>
        <w:numPr>
          <w:ilvl w:val="0"/>
          <w:numId w:val="0"/>
        </w:numPr>
        <w:spacing w:line="276" w:lineRule="auto"/>
        <w:rPr>
          <w:rFonts w:cs="Times New Roman"/>
          <w:szCs w:val="24"/>
        </w:rPr>
      </w:pPr>
    </w:p>
    <w:p w14:paraId="121A2028" w14:textId="5C386294" w:rsidR="001C1EC4" w:rsidRDefault="00644DF6" w:rsidP="00980CCF">
      <w:pPr>
        <w:numPr>
          <w:ilvl w:val="0"/>
          <w:numId w:val="0"/>
        </w:numPr>
        <w:spacing w:line="276" w:lineRule="auto"/>
        <w:rPr>
          <w:rFonts w:cs="Times New Roman"/>
          <w:szCs w:val="24"/>
        </w:rPr>
      </w:pPr>
      <w:r>
        <w:rPr>
          <w:rFonts w:cs="Times New Roman"/>
          <w:szCs w:val="24"/>
        </w:rPr>
        <w:t>D’autre part,</w:t>
      </w:r>
      <w:r w:rsidR="002D4C56" w:rsidRPr="00641B73">
        <w:rPr>
          <w:rFonts w:cs="Times New Roman"/>
          <w:szCs w:val="24"/>
        </w:rPr>
        <w:t xml:space="preserve"> non </w:t>
      </w:r>
      <w:r w:rsidR="00B86A44" w:rsidRPr="00641B73">
        <w:rPr>
          <w:rFonts w:cs="Times New Roman"/>
          <w:szCs w:val="24"/>
        </w:rPr>
        <w:t>seulement les enjeux sont différents, mais les systèmes juridiques</w:t>
      </w:r>
      <w:r>
        <w:rPr>
          <w:rFonts w:cs="Times New Roman"/>
          <w:szCs w:val="24"/>
        </w:rPr>
        <w:t xml:space="preserve"> en cause</w:t>
      </w:r>
      <w:r w:rsidR="00B86A44" w:rsidRPr="00641B73">
        <w:rPr>
          <w:rFonts w:cs="Times New Roman"/>
          <w:szCs w:val="24"/>
        </w:rPr>
        <w:t xml:space="preserve"> sont très disparates. Pour ne prendre qu’un exemple </w:t>
      </w:r>
      <w:r>
        <w:rPr>
          <w:rFonts w:cs="Times New Roman"/>
          <w:szCs w:val="24"/>
        </w:rPr>
        <w:t>d’ordre procédural</w:t>
      </w:r>
      <w:r w:rsidR="00B86A44" w:rsidRPr="00641B73">
        <w:rPr>
          <w:rFonts w:cs="Times New Roman"/>
          <w:szCs w:val="24"/>
        </w:rPr>
        <w:t xml:space="preserve">, les ordonnances en référé indiquant des mesures provisoires du Tribunal de l’UE peuvent être contestées par </w:t>
      </w:r>
      <w:r w:rsidR="00FF553C">
        <w:rPr>
          <w:rFonts w:cs="Times New Roman"/>
          <w:szCs w:val="24"/>
        </w:rPr>
        <w:t xml:space="preserve">pourvoir </w:t>
      </w:r>
      <w:r w:rsidR="00B86A44" w:rsidRPr="00641B73">
        <w:rPr>
          <w:rFonts w:cs="Times New Roman"/>
          <w:szCs w:val="24"/>
        </w:rPr>
        <w:t>devant la Cour</w:t>
      </w:r>
      <w:r w:rsidR="00FF553C">
        <w:rPr>
          <w:rFonts w:cs="Times New Roman"/>
          <w:szCs w:val="24"/>
        </w:rPr>
        <w:t xml:space="preserve"> de justice</w:t>
      </w:r>
      <w:r w:rsidR="00B86A44" w:rsidRPr="00641B73">
        <w:rPr>
          <w:rFonts w:cs="Times New Roman"/>
          <w:szCs w:val="24"/>
        </w:rPr>
        <w:t xml:space="preserve">, ce qui est </w:t>
      </w:r>
      <w:r>
        <w:rPr>
          <w:rFonts w:cs="Times New Roman"/>
          <w:szCs w:val="24"/>
        </w:rPr>
        <w:t xml:space="preserve">structurellement </w:t>
      </w:r>
      <w:r w:rsidR="00B86A44" w:rsidRPr="00641B73">
        <w:rPr>
          <w:rFonts w:cs="Times New Roman"/>
          <w:szCs w:val="24"/>
        </w:rPr>
        <w:t>permis par l’existence d’un double degré de juridiction</w:t>
      </w:r>
      <w:r w:rsidR="00FF553C">
        <w:rPr>
          <w:rFonts w:cs="Times New Roman"/>
          <w:szCs w:val="24"/>
        </w:rPr>
        <w:t xml:space="preserve"> – spécifiquement l’article 256 TFUE</w:t>
      </w:r>
      <w:r w:rsidR="00B86A44" w:rsidRPr="00641B73">
        <w:rPr>
          <w:rFonts w:cs="Times New Roman"/>
          <w:szCs w:val="24"/>
        </w:rPr>
        <w:t>. De manière comparable</w:t>
      </w:r>
      <w:r w:rsidR="001C1EC4">
        <w:rPr>
          <w:rFonts w:cs="Times New Roman"/>
          <w:szCs w:val="24"/>
        </w:rPr>
        <w:t xml:space="preserve"> bien que différente</w:t>
      </w:r>
      <w:r w:rsidR="00B86A44" w:rsidRPr="00641B73">
        <w:rPr>
          <w:rFonts w:cs="Times New Roman"/>
          <w:szCs w:val="24"/>
        </w:rPr>
        <w:t>, le non-respect d’une ordonnance indiquée par la Commission africaine des droits de l’homme pourra être porté et dénoncé devant la Cour africaine</w:t>
      </w:r>
      <w:r w:rsidR="001C1EC4">
        <w:rPr>
          <w:rStyle w:val="Appelnotedebasdep"/>
          <w:rFonts w:cs="Times New Roman"/>
          <w:szCs w:val="24"/>
        </w:rPr>
        <w:footnoteReference w:id="26"/>
      </w:r>
      <w:r w:rsidR="001C1EC4">
        <w:rPr>
          <w:rFonts w:cs="Times New Roman"/>
          <w:szCs w:val="24"/>
        </w:rPr>
        <w:t xml:space="preserve">. </w:t>
      </w:r>
      <w:r w:rsidR="002D4C56" w:rsidRPr="00641B73">
        <w:rPr>
          <w:rFonts w:cs="Times New Roman"/>
          <w:szCs w:val="24"/>
        </w:rPr>
        <w:t xml:space="preserve">Tel n’est </w:t>
      </w:r>
      <w:r w:rsidR="001C1EC4">
        <w:rPr>
          <w:rFonts w:cs="Times New Roman"/>
          <w:szCs w:val="24"/>
        </w:rPr>
        <w:t xml:space="preserve">évidemment </w:t>
      </w:r>
      <w:r w:rsidR="002D4C56" w:rsidRPr="00641B73">
        <w:rPr>
          <w:rFonts w:cs="Times New Roman"/>
          <w:szCs w:val="24"/>
        </w:rPr>
        <w:t xml:space="preserve">pas le cas </w:t>
      </w:r>
      <w:r w:rsidR="001C1EC4">
        <w:rPr>
          <w:rFonts w:cs="Times New Roman"/>
          <w:szCs w:val="24"/>
        </w:rPr>
        <w:t>devant la CIJ ou le TIDM,</w:t>
      </w:r>
      <w:r w:rsidR="002D4C56" w:rsidRPr="00641B73">
        <w:rPr>
          <w:rFonts w:cs="Times New Roman"/>
          <w:szCs w:val="24"/>
        </w:rPr>
        <w:t xml:space="preserve"> la structure de ces cours ne le permet</w:t>
      </w:r>
      <w:r w:rsidR="001C1EC4">
        <w:rPr>
          <w:rFonts w:cs="Times New Roman"/>
          <w:szCs w:val="24"/>
        </w:rPr>
        <w:t>tant</w:t>
      </w:r>
      <w:r w:rsidR="002D4C56" w:rsidRPr="00641B73">
        <w:rPr>
          <w:rFonts w:cs="Times New Roman"/>
          <w:szCs w:val="24"/>
        </w:rPr>
        <w:t xml:space="preserve"> pas – quoi qu</w:t>
      </w:r>
      <w:r w:rsidR="001C1EC4">
        <w:rPr>
          <w:rFonts w:cs="Times New Roman"/>
          <w:szCs w:val="24"/>
        </w:rPr>
        <w:t>e l’o</w:t>
      </w:r>
      <w:r w:rsidR="002D4C56" w:rsidRPr="00641B73">
        <w:rPr>
          <w:rFonts w:cs="Times New Roman"/>
          <w:szCs w:val="24"/>
        </w:rPr>
        <w:t>n pourrait imaginer</w:t>
      </w:r>
      <w:r w:rsidR="001C1EC4">
        <w:rPr>
          <w:rFonts w:cs="Times New Roman"/>
          <w:szCs w:val="24"/>
        </w:rPr>
        <w:t xml:space="preserve"> à l’avenir</w:t>
      </w:r>
      <w:r w:rsidR="002D4C56" w:rsidRPr="00641B73">
        <w:rPr>
          <w:rFonts w:cs="Times New Roman"/>
          <w:szCs w:val="24"/>
        </w:rPr>
        <w:t xml:space="preserve"> que les mesures soient indiquées en chambres et contestables devant la formation collégiale</w:t>
      </w:r>
      <w:r w:rsidR="001C1EC4">
        <w:rPr>
          <w:rFonts w:cs="Times New Roman"/>
          <w:szCs w:val="24"/>
        </w:rPr>
        <w:t>.</w:t>
      </w:r>
    </w:p>
    <w:p w14:paraId="529A510E" w14:textId="77777777" w:rsidR="001C1EC4" w:rsidRDefault="001C1EC4" w:rsidP="00980CCF">
      <w:pPr>
        <w:numPr>
          <w:ilvl w:val="0"/>
          <w:numId w:val="0"/>
        </w:numPr>
        <w:spacing w:line="276" w:lineRule="auto"/>
        <w:rPr>
          <w:rFonts w:cs="Times New Roman"/>
          <w:szCs w:val="24"/>
        </w:rPr>
      </w:pPr>
    </w:p>
    <w:p w14:paraId="39DA5EE0" w14:textId="53E18D45" w:rsidR="002D4C56" w:rsidRPr="00641B73" w:rsidRDefault="001C1EC4" w:rsidP="00980CCF">
      <w:pPr>
        <w:numPr>
          <w:ilvl w:val="0"/>
          <w:numId w:val="0"/>
        </w:numPr>
        <w:spacing w:line="276" w:lineRule="auto"/>
        <w:rPr>
          <w:rFonts w:cs="Times New Roman"/>
          <w:szCs w:val="24"/>
        </w:rPr>
      </w:pPr>
      <w:r>
        <w:rPr>
          <w:rFonts w:cs="Times New Roman"/>
          <w:szCs w:val="24"/>
        </w:rPr>
        <w:t>Malgré cette absence d’unité, dont les facteurs sont nombreux, il existe de nombreuses similitudes dans la formation croisée du droit des mesures conservatoires et provisoires. Celles-ci sont dues à ces circulations normatives identifiables.</w:t>
      </w:r>
    </w:p>
    <w:p w14:paraId="0999D0BE" w14:textId="6CE9CDBB" w:rsidR="002D4C56" w:rsidRPr="00641B73" w:rsidRDefault="002D4C56" w:rsidP="00980CCF">
      <w:pPr>
        <w:numPr>
          <w:ilvl w:val="0"/>
          <w:numId w:val="0"/>
        </w:numPr>
        <w:spacing w:line="276" w:lineRule="auto"/>
        <w:rPr>
          <w:rFonts w:cs="Times New Roman"/>
          <w:szCs w:val="24"/>
        </w:rPr>
      </w:pPr>
    </w:p>
    <w:p w14:paraId="60866E6D" w14:textId="58971C6C" w:rsidR="002D4C56" w:rsidRPr="00641B73" w:rsidRDefault="002D4C56" w:rsidP="00980CCF">
      <w:pPr>
        <w:numPr>
          <w:ilvl w:val="0"/>
          <w:numId w:val="0"/>
        </w:numPr>
        <w:spacing w:line="276" w:lineRule="auto"/>
        <w:rPr>
          <w:rFonts w:cs="Times New Roman"/>
          <w:b/>
          <w:bCs/>
          <w:szCs w:val="24"/>
          <w:u w:val="single"/>
        </w:rPr>
      </w:pPr>
      <w:r w:rsidRPr="00641B73">
        <w:rPr>
          <w:rFonts w:cs="Times New Roman"/>
          <w:b/>
          <w:bCs/>
          <w:szCs w:val="24"/>
          <w:u w:val="single"/>
        </w:rPr>
        <w:t>II. Des facteurs de circulations normatives</w:t>
      </w:r>
      <w:r w:rsidR="00DB6660" w:rsidRPr="00641B73">
        <w:rPr>
          <w:rFonts w:cs="Times New Roman"/>
          <w:b/>
          <w:bCs/>
          <w:szCs w:val="24"/>
          <w:u w:val="single"/>
        </w:rPr>
        <w:t xml:space="preserve"> en matière de mesures conservatoires</w:t>
      </w:r>
    </w:p>
    <w:p w14:paraId="1A853277" w14:textId="02EDC764" w:rsidR="002D4C56" w:rsidRPr="00641B73" w:rsidRDefault="002D4C56" w:rsidP="00980CCF">
      <w:pPr>
        <w:numPr>
          <w:ilvl w:val="0"/>
          <w:numId w:val="0"/>
        </w:numPr>
        <w:spacing w:line="276" w:lineRule="auto"/>
        <w:rPr>
          <w:rFonts w:cs="Times New Roman"/>
          <w:szCs w:val="24"/>
        </w:rPr>
      </w:pPr>
    </w:p>
    <w:p w14:paraId="435B6481" w14:textId="78E714F9" w:rsidR="00DB6660" w:rsidRPr="00641B73" w:rsidRDefault="002D4C56" w:rsidP="00980CCF">
      <w:pPr>
        <w:numPr>
          <w:ilvl w:val="0"/>
          <w:numId w:val="0"/>
        </w:numPr>
        <w:spacing w:line="276" w:lineRule="auto"/>
        <w:rPr>
          <w:rFonts w:cs="Times New Roman"/>
          <w:szCs w:val="24"/>
        </w:rPr>
      </w:pPr>
      <w:r w:rsidRPr="00641B73">
        <w:rPr>
          <w:rFonts w:cs="Times New Roman"/>
          <w:szCs w:val="24"/>
        </w:rPr>
        <w:t>Conclure qu’il n’</w:t>
      </w:r>
      <w:r w:rsidR="00E51AAB">
        <w:rPr>
          <w:rFonts w:cs="Times New Roman"/>
          <w:szCs w:val="24"/>
        </w:rPr>
        <w:t xml:space="preserve">existe </w:t>
      </w:r>
      <w:r w:rsidRPr="00641B73">
        <w:rPr>
          <w:rFonts w:cs="Times New Roman"/>
          <w:szCs w:val="24"/>
        </w:rPr>
        <w:t>pas de</w:t>
      </w:r>
      <w:r w:rsidR="00E51AAB">
        <w:rPr>
          <w:rFonts w:cs="Times New Roman"/>
          <w:szCs w:val="24"/>
        </w:rPr>
        <w:t xml:space="preserve"> « </w:t>
      </w:r>
      <w:r w:rsidRPr="00641B73">
        <w:rPr>
          <w:rFonts w:cs="Times New Roman"/>
          <w:szCs w:val="24"/>
        </w:rPr>
        <w:t xml:space="preserve">droit commun </w:t>
      </w:r>
      <w:r w:rsidR="00E51AAB">
        <w:rPr>
          <w:rFonts w:cs="Times New Roman"/>
          <w:szCs w:val="24"/>
        </w:rPr>
        <w:t>d</w:t>
      </w:r>
      <w:r w:rsidRPr="00641B73">
        <w:rPr>
          <w:rFonts w:cs="Times New Roman"/>
          <w:szCs w:val="24"/>
        </w:rPr>
        <w:t>es mesures conservatoires</w:t>
      </w:r>
      <w:r w:rsidR="00E51AAB">
        <w:rPr>
          <w:rFonts w:cs="Times New Roman"/>
          <w:szCs w:val="24"/>
        </w:rPr>
        <w:t> »</w:t>
      </w:r>
      <w:r w:rsidRPr="00641B73">
        <w:rPr>
          <w:rFonts w:cs="Times New Roman"/>
          <w:szCs w:val="24"/>
        </w:rPr>
        <w:t xml:space="preserve"> n’interdit pas de constater, sans </w:t>
      </w:r>
      <w:r w:rsidR="00E51AAB">
        <w:rPr>
          <w:rFonts w:cs="Times New Roman"/>
          <w:szCs w:val="24"/>
        </w:rPr>
        <w:t>former de quelconque paradoxe</w:t>
      </w:r>
      <w:r w:rsidRPr="00641B73">
        <w:rPr>
          <w:rFonts w:cs="Times New Roman"/>
          <w:szCs w:val="24"/>
        </w:rPr>
        <w:t xml:space="preserve">, de fortes ressemblances entre </w:t>
      </w:r>
      <w:r w:rsidR="00E80D9F" w:rsidRPr="00641B73">
        <w:rPr>
          <w:rFonts w:cs="Times New Roman"/>
          <w:szCs w:val="24"/>
        </w:rPr>
        <w:t xml:space="preserve">les procédures et les effets </w:t>
      </w:r>
      <w:r w:rsidR="00E51AAB">
        <w:rPr>
          <w:rFonts w:cs="Times New Roman"/>
          <w:szCs w:val="24"/>
        </w:rPr>
        <w:t>qu’elles produisent</w:t>
      </w:r>
      <w:r w:rsidR="00E80D9F" w:rsidRPr="00641B73">
        <w:rPr>
          <w:rFonts w:cs="Times New Roman"/>
          <w:szCs w:val="24"/>
        </w:rPr>
        <w:t xml:space="preserve">. </w:t>
      </w:r>
      <w:r w:rsidR="00E51AAB">
        <w:rPr>
          <w:rFonts w:cs="Times New Roman"/>
          <w:szCs w:val="24"/>
        </w:rPr>
        <w:t>Il est dès lors intéressant</w:t>
      </w:r>
      <w:r w:rsidR="00E80D9F" w:rsidRPr="00641B73">
        <w:rPr>
          <w:rFonts w:cs="Times New Roman"/>
          <w:szCs w:val="24"/>
        </w:rPr>
        <w:t xml:space="preserve"> d’explorer </w:t>
      </w:r>
      <w:r w:rsidR="00061A0C" w:rsidRPr="00641B73">
        <w:rPr>
          <w:rFonts w:cs="Times New Roman"/>
          <w:szCs w:val="24"/>
        </w:rPr>
        <w:t>quelques-unes</w:t>
      </w:r>
      <w:r w:rsidR="00DB6660" w:rsidRPr="00641B73">
        <w:rPr>
          <w:rFonts w:cs="Times New Roman"/>
          <w:szCs w:val="24"/>
        </w:rPr>
        <w:t xml:space="preserve"> des raisons </w:t>
      </w:r>
      <w:r w:rsidR="00E51AAB">
        <w:rPr>
          <w:rFonts w:cs="Times New Roman"/>
          <w:szCs w:val="24"/>
        </w:rPr>
        <w:t>conduisant à</w:t>
      </w:r>
      <w:r w:rsidR="00DB6660" w:rsidRPr="00641B73">
        <w:rPr>
          <w:rFonts w:cs="Times New Roman"/>
          <w:szCs w:val="24"/>
        </w:rPr>
        <w:t xml:space="preserve"> penser </w:t>
      </w:r>
      <w:r w:rsidR="00E51AAB">
        <w:rPr>
          <w:rFonts w:cs="Times New Roman"/>
          <w:szCs w:val="24"/>
        </w:rPr>
        <w:t>que</w:t>
      </w:r>
      <w:r w:rsidR="00DB6660" w:rsidRPr="00641B73">
        <w:rPr>
          <w:rFonts w:cs="Times New Roman"/>
          <w:szCs w:val="24"/>
        </w:rPr>
        <w:t xml:space="preserve"> des phénomènes de circulations normatives, plus que de construction d’un droit commun</w:t>
      </w:r>
      <w:r w:rsidR="00E51AAB">
        <w:rPr>
          <w:rFonts w:cs="Times New Roman"/>
          <w:szCs w:val="24"/>
        </w:rPr>
        <w:t xml:space="preserve">, sont à l’œuvre en matière de droit du provisoire devant les juridictions internationales et régionales. Celles-ci paraissent motivées par la recherche d’une forme </w:t>
      </w:r>
      <w:r w:rsidR="00E51AAB">
        <w:rPr>
          <w:rFonts w:cs="Times New Roman"/>
          <w:szCs w:val="24"/>
        </w:rPr>
        <w:lastRenderedPageBreak/>
        <w:t>d’efficacité du provisoire (A), et plus largement par les lignes de force de l’évolution du droit international (B).</w:t>
      </w:r>
    </w:p>
    <w:p w14:paraId="39BA526B" w14:textId="32591C66" w:rsidR="00DB6660" w:rsidRPr="00641B73" w:rsidRDefault="00DB6660" w:rsidP="00980CCF">
      <w:pPr>
        <w:numPr>
          <w:ilvl w:val="0"/>
          <w:numId w:val="0"/>
        </w:numPr>
        <w:spacing w:line="276" w:lineRule="auto"/>
        <w:rPr>
          <w:rFonts w:cs="Times New Roman"/>
          <w:szCs w:val="24"/>
        </w:rPr>
      </w:pPr>
    </w:p>
    <w:p w14:paraId="6DA4C865" w14:textId="09D35C52" w:rsidR="00DB6660" w:rsidRPr="00641B73" w:rsidRDefault="00DB6660" w:rsidP="00980CCF">
      <w:pPr>
        <w:pStyle w:val="Paragraphedeliste"/>
        <w:numPr>
          <w:ilvl w:val="0"/>
          <w:numId w:val="21"/>
        </w:numPr>
        <w:spacing w:line="276" w:lineRule="auto"/>
        <w:rPr>
          <w:rFonts w:cs="Times New Roman"/>
          <w:b/>
          <w:bCs/>
          <w:szCs w:val="24"/>
        </w:rPr>
      </w:pPr>
      <w:r w:rsidRPr="00641B73">
        <w:rPr>
          <w:rFonts w:cs="Times New Roman"/>
          <w:b/>
          <w:bCs/>
          <w:szCs w:val="24"/>
        </w:rPr>
        <w:t>La recherche partagée d’une efficacité des mesures provisoires</w:t>
      </w:r>
    </w:p>
    <w:p w14:paraId="1AD3985A" w14:textId="5FB63F4F" w:rsidR="00B86A44" w:rsidRPr="00641B73" w:rsidRDefault="00B86A44" w:rsidP="00980CCF">
      <w:pPr>
        <w:numPr>
          <w:ilvl w:val="0"/>
          <w:numId w:val="0"/>
        </w:numPr>
        <w:spacing w:line="276" w:lineRule="auto"/>
        <w:rPr>
          <w:rFonts w:cs="Times New Roman"/>
          <w:szCs w:val="24"/>
        </w:rPr>
      </w:pPr>
    </w:p>
    <w:p w14:paraId="7A09B610" w14:textId="1FC4B854" w:rsidR="003B1EBC" w:rsidRPr="00641B73" w:rsidRDefault="00230723" w:rsidP="00980CCF">
      <w:pPr>
        <w:numPr>
          <w:ilvl w:val="0"/>
          <w:numId w:val="0"/>
        </w:numPr>
        <w:spacing w:line="276" w:lineRule="auto"/>
        <w:rPr>
          <w:rFonts w:cs="Times New Roman"/>
          <w:szCs w:val="24"/>
        </w:rPr>
      </w:pPr>
      <w:r>
        <w:rPr>
          <w:rFonts w:cs="Times New Roman"/>
          <w:szCs w:val="24"/>
        </w:rPr>
        <w:t>Les</w:t>
      </w:r>
      <w:r w:rsidR="00BD7BB5" w:rsidRPr="00641B73">
        <w:rPr>
          <w:rFonts w:cs="Times New Roman"/>
          <w:szCs w:val="24"/>
        </w:rPr>
        <w:t xml:space="preserve"> mesures conservatoires</w:t>
      </w:r>
      <w:r w:rsidR="00BC13EC" w:rsidRPr="00641B73">
        <w:rPr>
          <w:rFonts w:cs="Times New Roman"/>
          <w:szCs w:val="24"/>
        </w:rPr>
        <w:t xml:space="preserve"> </w:t>
      </w:r>
      <w:r w:rsidR="00F1635F">
        <w:rPr>
          <w:rFonts w:cs="Times New Roman"/>
          <w:szCs w:val="24"/>
        </w:rPr>
        <w:t xml:space="preserve">et </w:t>
      </w:r>
      <w:r w:rsidR="00BC13EC" w:rsidRPr="00641B73">
        <w:rPr>
          <w:rFonts w:cs="Times New Roman"/>
          <w:szCs w:val="24"/>
        </w:rPr>
        <w:t>provisoires</w:t>
      </w:r>
      <w:r w:rsidR="00BD7BB5" w:rsidRPr="00641B73">
        <w:rPr>
          <w:rFonts w:cs="Times New Roman"/>
          <w:szCs w:val="24"/>
        </w:rPr>
        <w:t xml:space="preserve"> ne poursuivent pas </w:t>
      </w:r>
      <w:r w:rsidR="00F1635F">
        <w:rPr>
          <w:rFonts w:cs="Times New Roman"/>
          <w:szCs w:val="24"/>
        </w:rPr>
        <w:t>systématiquement</w:t>
      </w:r>
      <w:r w:rsidR="00BD7BB5" w:rsidRPr="00641B73">
        <w:rPr>
          <w:rFonts w:cs="Times New Roman"/>
          <w:szCs w:val="24"/>
        </w:rPr>
        <w:t xml:space="preserve"> le même objectif général, si l’on s’en tient formellement aux dispositions qui les fondent</w:t>
      </w:r>
      <w:r w:rsidR="00705296">
        <w:rPr>
          <w:rFonts w:cs="Times New Roman"/>
          <w:szCs w:val="24"/>
        </w:rPr>
        <w:t xml:space="preserve">. </w:t>
      </w:r>
      <w:r w:rsidR="00F1635F">
        <w:rPr>
          <w:rFonts w:cs="Times New Roman"/>
          <w:szCs w:val="24"/>
        </w:rPr>
        <w:t>À cet égard, t</w:t>
      </w:r>
      <w:r w:rsidR="002D79C1" w:rsidRPr="00641B73">
        <w:rPr>
          <w:rFonts w:cs="Times New Roman"/>
          <w:szCs w:val="24"/>
        </w:rPr>
        <w:t xml:space="preserve">rois </w:t>
      </w:r>
      <w:r w:rsidR="00F1635F">
        <w:rPr>
          <w:rFonts w:cs="Times New Roman"/>
          <w:szCs w:val="24"/>
        </w:rPr>
        <w:t>lignes directrices</w:t>
      </w:r>
      <w:r w:rsidR="002D79C1" w:rsidRPr="00641B73">
        <w:rPr>
          <w:rFonts w:cs="Times New Roman"/>
          <w:szCs w:val="24"/>
        </w:rPr>
        <w:t xml:space="preserve"> </w:t>
      </w:r>
      <w:r w:rsidR="00F1635F">
        <w:rPr>
          <w:rFonts w:cs="Times New Roman"/>
          <w:szCs w:val="24"/>
        </w:rPr>
        <w:t>distinctes, parfois cumulatives,</w:t>
      </w:r>
      <w:r w:rsidR="002D79C1" w:rsidRPr="00641B73">
        <w:rPr>
          <w:rFonts w:cs="Times New Roman"/>
          <w:szCs w:val="24"/>
        </w:rPr>
        <w:t xml:space="preserve"> </w:t>
      </w:r>
      <w:r w:rsidR="003841B3" w:rsidRPr="00641B73">
        <w:rPr>
          <w:rFonts w:cs="Times New Roman"/>
          <w:szCs w:val="24"/>
        </w:rPr>
        <w:t>ressort</w:t>
      </w:r>
      <w:r w:rsidR="00F1635F">
        <w:rPr>
          <w:rFonts w:cs="Times New Roman"/>
          <w:szCs w:val="24"/>
        </w:rPr>
        <w:t xml:space="preserve">ent </w:t>
      </w:r>
      <w:r w:rsidR="002D79C1" w:rsidRPr="00641B73">
        <w:rPr>
          <w:rFonts w:cs="Times New Roman"/>
          <w:szCs w:val="24"/>
        </w:rPr>
        <w:t>de l’ensemble de la jurisprudence et des textes</w:t>
      </w:r>
      <w:r w:rsidR="00F1635F">
        <w:rPr>
          <w:rFonts w:cs="Times New Roman"/>
          <w:szCs w:val="24"/>
        </w:rPr>
        <w:t>. Les mesures ont pour objectif</w:t>
      </w:r>
      <w:r w:rsidR="002D79C1" w:rsidRPr="00641B73">
        <w:rPr>
          <w:rFonts w:cs="Times New Roman"/>
          <w:szCs w:val="24"/>
        </w:rPr>
        <w:t xml:space="preserve"> soit de « figer » une situation factuelle pour empêcher qu’elle se dégrade</w:t>
      </w:r>
      <w:r w:rsidR="00EC17ED" w:rsidRPr="00641B73">
        <w:rPr>
          <w:rFonts w:cs="Times New Roman"/>
          <w:szCs w:val="24"/>
        </w:rPr>
        <w:t xml:space="preserve"> entre les</w:t>
      </w:r>
      <w:r w:rsidR="00061A0C" w:rsidRPr="00641B73">
        <w:rPr>
          <w:rFonts w:cs="Times New Roman"/>
          <w:szCs w:val="24"/>
        </w:rPr>
        <w:t xml:space="preserve"> deux</w:t>
      </w:r>
      <w:r w:rsidR="00EC17ED" w:rsidRPr="00641B73">
        <w:rPr>
          <w:rFonts w:cs="Times New Roman"/>
          <w:szCs w:val="24"/>
        </w:rPr>
        <w:t xml:space="preserve"> parties</w:t>
      </w:r>
      <w:r w:rsidR="002D79C1" w:rsidRPr="00641B73">
        <w:rPr>
          <w:rFonts w:cs="Times New Roman"/>
          <w:szCs w:val="24"/>
        </w:rPr>
        <w:t>, soit d’éviter des dommages irréparables</w:t>
      </w:r>
      <w:r w:rsidR="003B1EBC" w:rsidRPr="00641B73">
        <w:rPr>
          <w:rFonts w:cs="Times New Roman"/>
          <w:szCs w:val="24"/>
        </w:rPr>
        <w:t xml:space="preserve"> plus ou moins hypothétiques</w:t>
      </w:r>
      <w:r w:rsidR="00EC17ED" w:rsidRPr="00641B73">
        <w:rPr>
          <w:rFonts w:cs="Times New Roman"/>
          <w:szCs w:val="24"/>
        </w:rPr>
        <w:t xml:space="preserve"> pour l’une des deux parties</w:t>
      </w:r>
      <w:r w:rsidR="003B1EBC" w:rsidRPr="00641B73">
        <w:rPr>
          <w:rFonts w:cs="Times New Roman"/>
          <w:szCs w:val="24"/>
        </w:rPr>
        <w:t>, soit plus largement d’éviter que le différend ne s’aggrave.</w:t>
      </w:r>
      <w:r w:rsidR="00BD7BB5" w:rsidRPr="00641B73">
        <w:rPr>
          <w:rFonts w:cs="Times New Roman"/>
          <w:szCs w:val="24"/>
        </w:rPr>
        <w:t xml:space="preserve"> </w:t>
      </w:r>
      <w:r w:rsidR="003B1EBC" w:rsidRPr="00641B73">
        <w:rPr>
          <w:rFonts w:cs="Times New Roman"/>
          <w:szCs w:val="24"/>
        </w:rPr>
        <w:t>Les mesures</w:t>
      </w:r>
      <w:r w:rsidR="00BD7BB5" w:rsidRPr="00641B73">
        <w:rPr>
          <w:rFonts w:cs="Times New Roman"/>
          <w:szCs w:val="24"/>
        </w:rPr>
        <w:t xml:space="preserve"> indiquées par la Cour africaine visent ainsi à</w:t>
      </w:r>
      <w:r w:rsidR="00BD21C1" w:rsidRPr="00641B73">
        <w:rPr>
          <w:rFonts w:cs="Times New Roman"/>
          <w:szCs w:val="24"/>
        </w:rPr>
        <w:t xml:space="preserve"> </w:t>
      </w:r>
      <w:r w:rsidR="00815CF7" w:rsidRPr="00641B73">
        <w:rPr>
          <w:rFonts w:cs="Times New Roman"/>
          <w:szCs w:val="24"/>
        </w:rPr>
        <w:t>« éviter des dommages irréparables à des personnes »</w:t>
      </w:r>
      <w:r w:rsidR="0074032B">
        <w:rPr>
          <w:rStyle w:val="Appelnotedebasdep"/>
          <w:rFonts w:cs="Times New Roman"/>
          <w:szCs w:val="24"/>
        </w:rPr>
        <w:footnoteReference w:id="27"/>
      </w:r>
      <w:r w:rsidR="00BD7BB5" w:rsidRPr="00641B73">
        <w:rPr>
          <w:rFonts w:cs="Times New Roman"/>
          <w:szCs w:val="24"/>
        </w:rPr>
        <w:t xml:space="preserve">, alors que celles </w:t>
      </w:r>
      <w:r w:rsidR="00036713">
        <w:rPr>
          <w:rFonts w:cs="Times New Roman"/>
          <w:szCs w:val="24"/>
        </w:rPr>
        <w:t>rendues dans le cadre de l’arbitrage international</w:t>
      </w:r>
      <w:r w:rsidR="00BD7BB5" w:rsidRPr="00641B73">
        <w:rPr>
          <w:rFonts w:cs="Times New Roman"/>
          <w:szCs w:val="24"/>
        </w:rPr>
        <w:t xml:space="preserve"> visent</w:t>
      </w:r>
      <w:r w:rsidR="00036713">
        <w:rPr>
          <w:rFonts w:cs="Times New Roman"/>
          <w:szCs w:val="24"/>
        </w:rPr>
        <w:t xml:space="preserve"> davantage</w:t>
      </w:r>
      <w:r w:rsidR="00BD7BB5" w:rsidRPr="00641B73">
        <w:rPr>
          <w:rFonts w:cs="Times New Roman"/>
          <w:szCs w:val="24"/>
        </w:rPr>
        <w:t xml:space="preserve"> à </w:t>
      </w:r>
      <w:r w:rsidR="00815CF7" w:rsidRPr="00641B73">
        <w:rPr>
          <w:rFonts w:cs="Times New Roman"/>
          <w:szCs w:val="24"/>
        </w:rPr>
        <w:t>sauvegarder les droits des parties</w:t>
      </w:r>
      <w:r w:rsidR="00036713">
        <w:rPr>
          <w:rStyle w:val="Appelnotedebasdep"/>
          <w:rFonts w:cs="Times New Roman"/>
          <w:szCs w:val="24"/>
        </w:rPr>
        <w:footnoteReference w:id="28"/>
      </w:r>
      <w:r w:rsidR="00BD7BB5" w:rsidRPr="00641B73">
        <w:rPr>
          <w:rFonts w:cs="Times New Roman"/>
          <w:szCs w:val="24"/>
        </w:rPr>
        <w:t>.</w:t>
      </w:r>
      <w:r w:rsidR="0031602D" w:rsidRPr="00641B73">
        <w:rPr>
          <w:rFonts w:cs="Times New Roman"/>
          <w:szCs w:val="24"/>
        </w:rPr>
        <w:t xml:space="preserve"> </w:t>
      </w:r>
      <w:r w:rsidR="00866BC2">
        <w:rPr>
          <w:rFonts w:cs="Times New Roman"/>
          <w:szCs w:val="24"/>
        </w:rPr>
        <w:t>Le mandat de l</w:t>
      </w:r>
      <w:r w:rsidR="0031602D" w:rsidRPr="00641B73">
        <w:rPr>
          <w:rFonts w:cs="Times New Roman"/>
          <w:szCs w:val="24"/>
        </w:rPr>
        <w:t>a CJUE</w:t>
      </w:r>
      <w:r w:rsidR="00866BC2">
        <w:rPr>
          <w:rFonts w:cs="Times New Roman"/>
          <w:szCs w:val="24"/>
        </w:rPr>
        <w:t>, en la matière,</w:t>
      </w:r>
      <w:r w:rsidR="0031602D" w:rsidRPr="00641B73">
        <w:rPr>
          <w:rFonts w:cs="Times New Roman"/>
          <w:szCs w:val="24"/>
        </w:rPr>
        <w:t xml:space="preserve"> </w:t>
      </w:r>
      <w:r w:rsidR="00866BC2">
        <w:rPr>
          <w:rFonts w:cs="Times New Roman"/>
          <w:szCs w:val="24"/>
        </w:rPr>
        <w:t>est</w:t>
      </w:r>
      <w:r w:rsidR="0031602D" w:rsidRPr="00641B73">
        <w:rPr>
          <w:rFonts w:cs="Times New Roman"/>
          <w:szCs w:val="24"/>
        </w:rPr>
        <w:t xml:space="preserve"> encore plus large, si on se limite à </w:t>
      </w:r>
      <w:r w:rsidR="00866BC2">
        <w:rPr>
          <w:rFonts w:cs="Times New Roman"/>
          <w:szCs w:val="24"/>
        </w:rPr>
        <w:t>la stricte</w:t>
      </w:r>
      <w:r w:rsidR="0031602D" w:rsidRPr="00641B73">
        <w:rPr>
          <w:rFonts w:cs="Times New Roman"/>
          <w:szCs w:val="24"/>
        </w:rPr>
        <w:t xml:space="preserve"> lecture de l’article 279 TFUE : « </w:t>
      </w:r>
      <w:r w:rsidR="00E16688" w:rsidRPr="00641B73">
        <w:rPr>
          <w:rFonts w:cs="Times New Roman"/>
          <w:szCs w:val="24"/>
        </w:rPr>
        <w:t>[d]</w:t>
      </w:r>
      <w:r w:rsidR="0031602D" w:rsidRPr="00641B73">
        <w:rPr>
          <w:rFonts w:cs="Times New Roman"/>
          <w:szCs w:val="24"/>
        </w:rPr>
        <w:t xml:space="preserve">ans les affaires dont elle est saisie, la Cour de justice de l'Union européenne peut prescrire les mesures provisoires </w:t>
      </w:r>
      <w:r w:rsidR="0031602D" w:rsidRPr="00866BC2">
        <w:rPr>
          <w:rFonts w:cs="Times New Roman"/>
          <w:szCs w:val="24"/>
        </w:rPr>
        <w:t>nécessaires</w:t>
      </w:r>
      <w:r w:rsidR="0031602D" w:rsidRPr="00641B73">
        <w:rPr>
          <w:rFonts w:cs="Times New Roman"/>
          <w:szCs w:val="24"/>
        </w:rPr>
        <w:t xml:space="preserve"> ». La jurisprudence indique </w:t>
      </w:r>
      <w:r w:rsidR="00866BC2">
        <w:rPr>
          <w:rFonts w:cs="Times New Roman"/>
          <w:szCs w:val="24"/>
        </w:rPr>
        <w:t xml:space="preserve">toutefois </w:t>
      </w:r>
      <w:r w:rsidR="0031602D" w:rsidRPr="00641B73">
        <w:rPr>
          <w:rFonts w:cs="Times New Roman"/>
          <w:szCs w:val="24"/>
        </w:rPr>
        <w:t>de manière</w:t>
      </w:r>
      <w:r w:rsidR="005416FF" w:rsidRPr="00641B73">
        <w:rPr>
          <w:rFonts w:cs="Times New Roman"/>
          <w:szCs w:val="24"/>
        </w:rPr>
        <w:t xml:space="preserve"> plus</w:t>
      </w:r>
      <w:r w:rsidR="0031602D" w:rsidRPr="00641B73">
        <w:rPr>
          <w:rFonts w:cs="Times New Roman"/>
          <w:szCs w:val="24"/>
        </w:rPr>
        <w:t xml:space="preserve"> restrictive qu’il s’agit de « prévenir la survenance d’un préjudice certain et non hypothétique, imminent, grave et irréparable »</w:t>
      </w:r>
      <w:r w:rsidR="0031602D" w:rsidRPr="002138C1">
        <w:rPr>
          <w:rStyle w:val="Appelnotedebasdep"/>
        </w:rPr>
        <w:footnoteReference w:id="29"/>
      </w:r>
      <w:r w:rsidR="0031602D" w:rsidRPr="00641B73">
        <w:rPr>
          <w:rFonts w:cs="Times New Roman"/>
          <w:szCs w:val="24"/>
        </w:rPr>
        <w:t>.</w:t>
      </w:r>
      <w:r w:rsidR="002D79C1" w:rsidRPr="00641B73">
        <w:rPr>
          <w:rFonts w:cs="Times New Roman"/>
          <w:szCs w:val="24"/>
        </w:rPr>
        <w:t xml:space="preserve"> </w:t>
      </w:r>
      <w:r w:rsidR="003B1EBC" w:rsidRPr="00641B73">
        <w:rPr>
          <w:rFonts w:cs="Times New Roman"/>
          <w:szCs w:val="24"/>
        </w:rPr>
        <w:t>Pour la Cour internationale de justice, l’idée phare est souvent d’éviter que le différend ne s’aggrave</w:t>
      </w:r>
      <w:r w:rsidR="00BC13EC" w:rsidRPr="00641B73">
        <w:rPr>
          <w:rFonts w:cs="Times New Roman"/>
          <w:szCs w:val="24"/>
        </w:rPr>
        <w:t xml:space="preserve"> entre les deux parties</w:t>
      </w:r>
      <w:r w:rsidR="003B1EBC" w:rsidRPr="00641B73">
        <w:rPr>
          <w:rFonts w:cs="Times New Roman"/>
          <w:szCs w:val="24"/>
        </w:rPr>
        <w:t xml:space="preserve"> avant la phase de fond. </w:t>
      </w:r>
      <w:r w:rsidR="00DD3F04">
        <w:rPr>
          <w:rFonts w:cs="Times New Roman"/>
          <w:szCs w:val="24"/>
        </w:rPr>
        <w:t>Si les définitions ne sont pas</w:t>
      </w:r>
      <w:r w:rsidR="003B1EBC" w:rsidRPr="00641B73">
        <w:rPr>
          <w:rFonts w:cs="Times New Roman"/>
          <w:szCs w:val="24"/>
        </w:rPr>
        <w:t xml:space="preserve"> toujours identiques, </w:t>
      </w:r>
      <w:r w:rsidR="00DD3F04">
        <w:rPr>
          <w:rFonts w:cs="Times New Roman"/>
          <w:szCs w:val="24"/>
        </w:rPr>
        <w:t>les</w:t>
      </w:r>
      <w:r w:rsidR="003B1EBC" w:rsidRPr="00641B73">
        <w:rPr>
          <w:rFonts w:cs="Times New Roman"/>
          <w:szCs w:val="24"/>
        </w:rPr>
        <w:t xml:space="preserve"> </w:t>
      </w:r>
      <w:r w:rsidR="003841B3" w:rsidRPr="00641B73">
        <w:rPr>
          <w:rFonts w:cs="Times New Roman"/>
          <w:szCs w:val="24"/>
        </w:rPr>
        <w:t xml:space="preserve">objectifs et </w:t>
      </w:r>
      <w:r w:rsidR="003B1EBC" w:rsidRPr="00641B73">
        <w:rPr>
          <w:rFonts w:cs="Times New Roman"/>
          <w:szCs w:val="24"/>
        </w:rPr>
        <w:t xml:space="preserve">effets recherchés </w:t>
      </w:r>
      <w:r w:rsidR="00DD3F04">
        <w:rPr>
          <w:rFonts w:cs="Times New Roman"/>
          <w:szCs w:val="24"/>
        </w:rPr>
        <w:t>des mesures présentent un élément commun : il s’agit de faire en sorte que</w:t>
      </w:r>
      <w:r w:rsidR="003B1EBC" w:rsidRPr="00641B73">
        <w:rPr>
          <w:rFonts w:cs="Times New Roman"/>
          <w:szCs w:val="24"/>
        </w:rPr>
        <w:t xml:space="preserve"> les destinataires se plient aux mesures indiquées</w:t>
      </w:r>
      <w:r w:rsidR="003841B3" w:rsidRPr="00641B73">
        <w:rPr>
          <w:rFonts w:cs="Times New Roman"/>
          <w:szCs w:val="24"/>
        </w:rPr>
        <w:t xml:space="preserve"> pour maintenir la situation en l’état et ne pas la dégrader.</w:t>
      </w:r>
    </w:p>
    <w:p w14:paraId="208AAAA6" w14:textId="02C16A04" w:rsidR="003B1EBC" w:rsidRPr="00641B73" w:rsidRDefault="003B1EBC" w:rsidP="00980CCF">
      <w:pPr>
        <w:numPr>
          <w:ilvl w:val="0"/>
          <w:numId w:val="0"/>
        </w:numPr>
        <w:spacing w:line="276" w:lineRule="auto"/>
        <w:rPr>
          <w:rFonts w:cs="Times New Roman"/>
          <w:szCs w:val="24"/>
        </w:rPr>
      </w:pPr>
    </w:p>
    <w:p w14:paraId="725C59F4" w14:textId="6B73FDF6" w:rsidR="0081798C" w:rsidRDefault="003B1EBC" w:rsidP="00980CCF">
      <w:pPr>
        <w:numPr>
          <w:ilvl w:val="0"/>
          <w:numId w:val="0"/>
        </w:numPr>
        <w:spacing w:line="276" w:lineRule="auto"/>
        <w:rPr>
          <w:rFonts w:cs="Times New Roman"/>
          <w:szCs w:val="24"/>
        </w:rPr>
      </w:pPr>
      <w:r w:rsidRPr="00641B73">
        <w:rPr>
          <w:rFonts w:cs="Times New Roman"/>
          <w:szCs w:val="24"/>
        </w:rPr>
        <w:t xml:space="preserve">Pour </w:t>
      </w:r>
      <w:r w:rsidR="00DD3F04">
        <w:rPr>
          <w:rFonts w:cs="Times New Roman"/>
          <w:szCs w:val="24"/>
        </w:rPr>
        <w:t>ce faire</w:t>
      </w:r>
      <w:r w:rsidRPr="00641B73">
        <w:rPr>
          <w:rFonts w:cs="Times New Roman"/>
          <w:szCs w:val="24"/>
        </w:rPr>
        <w:t xml:space="preserve">, l’outil le plus communément partagé est </w:t>
      </w:r>
      <w:r w:rsidR="00782BBB">
        <w:rPr>
          <w:rFonts w:cs="Times New Roman"/>
          <w:szCs w:val="24"/>
        </w:rPr>
        <w:t xml:space="preserve">sans aucun doute l’affirmation de </w:t>
      </w:r>
      <w:r w:rsidRPr="00641B73">
        <w:rPr>
          <w:rFonts w:cs="Times New Roman"/>
          <w:szCs w:val="24"/>
        </w:rPr>
        <w:t>l’obligatoriété des mesures</w:t>
      </w:r>
      <w:r w:rsidR="00782BBB">
        <w:rPr>
          <w:rStyle w:val="Appelnotedebasdep"/>
          <w:rFonts w:cs="Times New Roman"/>
          <w:szCs w:val="24"/>
        </w:rPr>
        <w:footnoteReference w:id="30"/>
      </w:r>
      <w:r w:rsidRPr="00641B73">
        <w:rPr>
          <w:rFonts w:cs="Times New Roman"/>
          <w:szCs w:val="24"/>
        </w:rPr>
        <w:t xml:space="preserve">. </w:t>
      </w:r>
      <w:r w:rsidR="00DD3F04">
        <w:rPr>
          <w:rFonts w:cs="Times New Roman"/>
          <w:szCs w:val="24"/>
        </w:rPr>
        <w:t>Il semble que c’est la</w:t>
      </w:r>
      <w:r w:rsidRPr="00641B73">
        <w:rPr>
          <w:rFonts w:cs="Times New Roman"/>
          <w:szCs w:val="24"/>
        </w:rPr>
        <w:t xml:space="preserve"> Cour internationale de justice, à la suite de denses débats </w:t>
      </w:r>
      <w:r w:rsidR="008765C2" w:rsidRPr="00641B73">
        <w:rPr>
          <w:rFonts w:cs="Times New Roman"/>
          <w:szCs w:val="24"/>
        </w:rPr>
        <w:t xml:space="preserve">dès 1999 </w:t>
      </w:r>
      <w:r w:rsidR="00411F95">
        <w:rPr>
          <w:rFonts w:cs="Times New Roman"/>
          <w:szCs w:val="24"/>
        </w:rPr>
        <w:t>liés à</w:t>
      </w:r>
      <w:r w:rsidR="008765C2" w:rsidRPr="00641B73">
        <w:rPr>
          <w:rFonts w:cs="Times New Roman"/>
          <w:szCs w:val="24"/>
        </w:rPr>
        <w:t xml:space="preserve"> l’ordonnance en indication de mesures conservatoires dans l’affaire </w:t>
      </w:r>
      <w:proofErr w:type="spellStart"/>
      <w:r w:rsidR="008765C2" w:rsidRPr="00DD3F04">
        <w:rPr>
          <w:rFonts w:cs="Times New Roman"/>
          <w:i/>
          <w:iCs/>
          <w:szCs w:val="24"/>
        </w:rPr>
        <w:t>Lagrand</w:t>
      </w:r>
      <w:proofErr w:type="spellEnd"/>
      <w:r w:rsidR="00DD3F04">
        <w:rPr>
          <w:rFonts w:cs="Times New Roman"/>
          <w:szCs w:val="24"/>
        </w:rPr>
        <w:t>, qui a ouvert le bal</w:t>
      </w:r>
      <w:r w:rsidR="00411F95">
        <w:rPr>
          <w:rStyle w:val="Appelnotedebasdep"/>
          <w:rFonts w:cs="Times New Roman"/>
          <w:szCs w:val="24"/>
        </w:rPr>
        <w:footnoteReference w:id="31"/>
      </w:r>
      <w:r w:rsidR="008765C2" w:rsidRPr="00641B73">
        <w:rPr>
          <w:rFonts w:cs="Times New Roman"/>
          <w:szCs w:val="24"/>
        </w:rPr>
        <w:t xml:space="preserve">. La Cour tranche définitivement </w:t>
      </w:r>
      <w:r w:rsidR="00DD3F04">
        <w:rPr>
          <w:rFonts w:cs="Times New Roman"/>
          <w:szCs w:val="24"/>
        </w:rPr>
        <w:t xml:space="preserve">le débat sur le </w:t>
      </w:r>
      <w:r w:rsidR="00E02B6D">
        <w:rPr>
          <w:rFonts w:cs="Times New Roman"/>
          <w:szCs w:val="24"/>
        </w:rPr>
        <w:t>caractère</w:t>
      </w:r>
      <w:r w:rsidR="00DD3F04">
        <w:rPr>
          <w:rFonts w:cs="Times New Roman"/>
          <w:szCs w:val="24"/>
        </w:rPr>
        <w:t xml:space="preserve"> </w:t>
      </w:r>
      <w:r w:rsidR="00DD3F04">
        <w:rPr>
          <w:rFonts w:cs="Times New Roman"/>
          <w:szCs w:val="24"/>
        </w:rPr>
        <w:lastRenderedPageBreak/>
        <w:t xml:space="preserve">obligatoire ou non de ses mesures conservatoires </w:t>
      </w:r>
      <w:r w:rsidR="008765C2" w:rsidRPr="00641B73">
        <w:rPr>
          <w:rFonts w:cs="Times New Roman"/>
          <w:szCs w:val="24"/>
        </w:rPr>
        <w:t>d</w:t>
      </w:r>
      <w:r w:rsidRPr="00641B73">
        <w:rPr>
          <w:rFonts w:cs="Times New Roman"/>
          <w:szCs w:val="24"/>
        </w:rPr>
        <w:t xml:space="preserve">ans </w:t>
      </w:r>
      <w:r w:rsidRPr="00DD3F04">
        <w:rPr>
          <w:rFonts w:cs="Times New Roman"/>
          <w:szCs w:val="24"/>
        </w:rPr>
        <w:t>l’arrêt</w:t>
      </w:r>
      <w:r w:rsidRPr="00641B73">
        <w:rPr>
          <w:rFonts w:cs="Times New Roman"/>
          <w:szCs w:val="24"/>
        </w:rPr>
        <w:t xml:space="preserve"> </w:t>
      </w:r>
      <w:r w:rsidR="00411F95">
        <w:rPr>
          <w:rFonts w:cs="Times New Roman"/>
          <w:szCs w:val="24"/>
        </w:rPr>
        <w:t xml:space="preserve">du même nom </w:t>
      </w:r>
      <w:r w:rsidR="008765C2" w:rsidRPr="00641B73">
        <w:rPr>
          <w:rFonts w:cs="Times New Roman"/>
          <w:szCs w:val="24"/>
        </w:rPr>
        <w:t>en 200</w:t>
      </w:r>
      <w:r w:rsidR="00DD3F04">
        <w:rPr>
          <w:rFonts w:cs="Times New Roman"/>
          <w:szCs w:val="24"/>
        </w:rPr>
        <w:t>1</w:t>
      </w:r>
      <w:r w:rsidR="00411F95">
        <w:rPr>
          <w:rFonts w:cs="Times New Roman"/>
          <w:szCs w:val="24"/>
        </w:rPr>
        <w:t>, qui fait suite à l’ordonnance de 1999</w:t>
      </w:r>
      <w:r w:rsidR="00DD3F04">
        <w:rPr>
          <w:rFonts w:cs="Times New Roman"/>
          <w:szCs w:val="24"/>
        </w:rPr>
        <w:t xml:space="preserve"> </w:t>
      </w:r>
      <w:r w:rsidR="003841B3" w:rsidRPr="00641B73">
        <w:rPr>
          <w:rFonts w:cs="Times New Roman"/>
          <w:szCs w:val="24"/>
        </w:rPr>
        <w:t>: « Prétendre que des mesures conservatoires indiquées en vertu de l'article 41 (du Statut) ne seraient pas obligatoires serait contraire à l’objet et au but de cette disposition »</w:t>
      </w:r>
      <w:r w:rsidR="00DD3F04">
        <w:rPr>
          <w:rStyle w:val="Appelnotedebasdep"/>
          <w:rFonts w:cs="Times New Roman"/>
          <w:szCs w:val="24"/>
        </w:rPr>
        <w:footnoteReference w:id="32"/>
      </w:r>
      <w:r w:rsidR="003841B3" w:rsidRPr="00641B73">
        <w:rPr>
          <w:rFonts w:cs="Times New Roman"/>
          <w:szCs w:val="24"/>
        </w:rPr>
        <w:t xml:space="preserve">. </w:t>
      </w:r>
      <w:r w:rsidR="00FE3546">
        <w:rPr>
          <w:rFonts w:cs="Times New Roman"/>
          <w:szCs w:val="24"/>
        </w:rPr>
        <w:t xml:space="preserve">Malgré cette affirmation claire, la réponse à apporter à cette question </w:t>
      </w:r>
      <w:r w:rsidR="00E55206">
        <w:rPr>
          <w:rFonts w:cs="Times New Roman"/>
          <w:szCs w:val="24"/>
        </w:rPr>
        <w:t xml:space="preserve">sensible </w:t>
      </w:r>
      <w:r w:rsidR="00FE3546">
        <w:rPr>
          <w:rFonts w:cs="Times New Roman"/>
          <w:szCs w:val="24"/>
        </w:rPr>
        <w:t>n’était pas évidente</w:t>
      </w:r>
      <w:r w:rsidR="00E02B6D">
        <w:rPr>
          <w:rFonts w:cs="Times New Roman"/>
          <w:szCs w:val="24"/>
        </w:rPr>
        <w:t> ; par ailleurs, les effets de cette obligatoriété sont pour le moins relatifs. Si la Cour a parfois eu à connaître de la question de la violation des mesures ordonnées au stade des mesures conservatoires, elle n’a</w:t>
      </w:r>
      <w:r w:rsidR="001F19E4">
        <w:rPr>
          <w:rFonts w:cs="Times New Roman"/>
          <w:szCs w:val="24"/>
        </w:rPr>
        <w:t xml:space="preserve"> en effet</w:t>
      </w:r>
      <w:r w:rsidR="00E02B6D">
        <w:rPr>
          <w:rFonts w:cs="Times New Roman"/>
          <w:szCs w:val="24"/>
        </w:rPr>
        <w:t xml:space="preserve"> jamais tiré de conséquences sérieuses de </w:t>
      </w:r>
      <w:r w:rsidR="001F19E4">
        <w:rPr>
          <w:rFonts w:cs="Times New Roman"/>
          <w:szCs w:val="24"/>
        </w:rPr>
        <w:t xml:space="preserve">la reconnaissance d’une violation. </w:t>
      </w:r>
      <w:r w:rsidR="001F19E4" w:rsidRPr="001F19E4">
        <w:rPr>
          <w:rFonts w:cs="Times New Roman"/>
          <w:szCs w:val="24"/>
        </w:rPr>
        <w:t xml:space="preserve">Dans </w:t>
      </w:r>
      <w:r w:rsidR="001F19E4">
        <w:rPr>
          <w:rFonts w:cs="Times New Roman"/>
          <w:szCs w:val="24"/>
        </w:rPr>
        <w:t xml:space="preserve">l’affaire des </w:t>
      </w:r>
      <w:r w:rsidR="001F19E4" w:rsidRPr="001F19E4">
        <w:rPr>
          <w:rFonts w:cs="Times New Roman"/>
          <w:i/>
          <w:iCs/>
          <w:szCs w:val="24"/>
        </w:rPr>
        <w:t>Activités armées sur le territoire du Congo (RDC c. Ouganda)</w:t>
      </w:r>
      <w:r w:rsidR="001F19E4" w:rsidRPr="001F19E4">
        <w:rPr>
          <w:rFonts w:cs="Times New Roman"/>
          <w:szCs w:val="24"/>
        </w:rPr>
        <w:t>, la Cour</w:t>
      </w:r>
      <w:r w:rsidR="001F19E4">
        <w:rPr>
          <w:rFonts w:cs="Times New Roman"/>
          <w:szCs w:val="24"/>
        </w:rPr>
        <w:t xml:space="preserve"> a certes « </w:t>
      </w:r>
      <w:r w:rsidR="001F19E4" w:rsidRPr="001F19E4">
        <w:rPr>
          <w:rFonts w:cs="Times New Roman"/>
          <w:szCs w:val="24"/>
        </w:rPr>
        <w:t>[d]</w:t>
      </w:r>
      <w:proofErr w:type="spellStart"/>
      <w:r w:rsidR="001F19E4" w:rsidRPr="001F19E4">
        <w:rPr>
          <w:rFonts w:cs="Times New Roman"/>
          <w:szCs w:val="24"/>
        </w:rPr>
        <w:t>it</w:t>
      </w:r>
      <w:proofErr w:type="spellEnd"/>
      <w:r w:rsidR="001F19E4" w:rsidRPr="001F19E4">
        <w:rPr>
          <w:rFonts w:cs="Times New Roman"/>
          <w:szCs w:val="24"/>
        </w:rPr>
        <w:t xml:space="preserve"> que la République de l’Ouganda ne s’est pas conformée à l’ordonnance en indication de mesures conservatoires rendue par la Cour le 1er juillet 2000 »</w:t>
      </w:r>
      <w:r w:rsidR="001F19E4">
        <w:rPr>
          <w:rStyle w:val="Appelnotedebasdep"/>
          <w:rFonts w:cs="Times New Roman"/>
          <w:szCs w:val="24"/>
        </w:rPr>
        <w:footnoteReference w:id="33"/>
      </w:r>
      <w:r w:rsidR="001F19E4" w:rsidRPr="001F19E4">
        <w:rPr>
          <w:rFonts w:cs="Times New Roman"/>
          <w:szCs w:val="24"/>
        </w:rPr>
        <w:t xml:space="preserve">, mais </w:t>
      </w:r>
      <w:r w:rsidR="001F19E4">
        <w:rPr>
          <w:rFonts w:cs="Times New Roman"/>
          <w:szCs w:val="24"/>
        </w:rPr>
        <w:t xml:space="preserve">a relégué cette question au </w:t>
      </w:r>
      <w:r w:rsidR="001F19E4" w:rsidRPr="001F19E4">
        <w:rPr>
          <w:rFonts w:cs="Times New Roman"/>
          <w:szCs w:val="24"/>
        </w:rPr>
        <w:t>septième point du dispositif</w:t>
      </w:r>
      <w:r w:rsidR="00782BBB">
        <w:rPr>
          <w:rFonts w:cs="Times New Roman"/>
          <w:szCs w:val="24"/>
        </w:rPr>
        <w:t xml:space="preserve"> –</w:t>
      </w:r>
      <w:r w:rsidR="001F19E4">
        <w:rPr>
          <w:rFonts w:cs="Times New Roman"/>
          <w:szCs w:val="24"/>
        </w:rPr>
        <w:t xml:space="preserve"> après avoir établi</w:t>
      </w:r>
      <w:r w:rsidR="001F19E4" w:rsidRPr="001F19E4">
        <w:rPr>
          <w:rFonts w:cs="Times New Roman"/>
          <w:szCs w:val="24"/>
        </w:rPr>
        <w:t xml:space="preserve"> l’obligation de réparer le préjudice causé, </w:t>
      </w:r>
      <w:r w:rsidR="001F19E4">
        <w:rPr>
          <w:rFonts w:cs="Times New Roman"/>
          <w:szCs w:val="24"/>
        </w:rPr>
        <w:t>ce qui a eu pour effet de neutraliser toute possibilité de conséquence concrète</w:t>
      </w:r>
      <w:r w:rsidR="001F19E4" w:rsidRPr="001F19E4">
        <w:rPr>
          <w:rFonts w:cs="Times New Roman"/>
          <w:szCs w:val="24"/>
        </w:rPr>
        <w:t>.</w:t>
      </w:r>
      <w:r w:rsidR="00782BBB">
        <w:rPr>
          <w:rFonts w:cs="Times New Roman"/>
          <w:szCs w:val="24"/>
        </w:rPr>
        <w:t xml:space="preserve"> Dans l’affaire </w:t>
      </w:r>
      <w:r w:rsidR="001F19E4" w:rsidRPr="001F19E4">
        <w:rPr>
          <w:rFonts w:cs="Times New Roman"/>
          <w:i/>
          <w:iCs/>
          <w:szCs w:val="24"/>
        </w:rPr>
        <w:t>Bosnie c. Yougoslavie</w:t>
      </w:r>
      <w:r w:rsidR="001F19E4" w:rsidRPr="001F19E4">
        <w:rPr>
          <w:rFonts w:cs="Times New Roman"/>
          <w:szCs w:val="24"/>
        </w:rPr>
        <w:t xml:space="preserve">, la responsabilité </w:t>
      </w:r>
      <w:r w:rsidR="00782BBB">
        <w:rPr>
          <w:rFonts w:cs="Times New Roman"/>
          <w:szCs w:val="24"/>
        </w:rPr>
        <w:t xml:space="preserve">du fait de la violation, par la Yougoslavie, des </w:t>
      </w:r>
      <w:r w:rsidR="001F19E4" w:rsidRPr="001F19E4">
        <w:rPr>
          <w:rFonts w:cs="Times New Roman"/>
          <w:szCs w:val="24"/>
        </w:rPr>
        <w:t xml:space="preserve">mesures conservatoires </w:t>
      </w:r>
      <w:r w:rsidR="00782BBB">
        <w:rPr>
          <w:rFonts w:cs="Times New Roman"/>
          <w:szCs w:val="24"/>
        </w:rPr>
        <w:t xml:space="preserve">est admise mais se heurte au refus, peu étayé, </w:t>
      </w:r>
      <w:r w:rsidR="001F19E4" w:rsidRPr="001F19E4">
        <w:rPr>
          <w:rFonts w:cs="Times New Roman"/>
          <w:szCs w:val="24"/>
        </w:rPr>
        <w:t>de faire droit à la demande bosnienne d’une indemnisation symbolique</w:t>
      </w:r>
      <w:r w:rsidR="00782BBB">
        <w:rPr>
          <w:rFonts w:cs="Times New Roman"/>
          <w:szCs w:val="24"/>
        </w:rPr>
        <w:t xml:space="preserve">. La Cour se contente ainsi d’indiquer </w:t>
      </w:r>
      <w:r w:rsidR="001F19E4" w:rsidRPr="001F19E4">
        <w:rPr>
          <w:rFonts w:cs="Times New Roman"/>
          <w:szCs w:val="24"/>
        </w:rPr>
        <w:t>qu’elle</w:t>
      </w:r>
      <w:r w:rsidR="00782BBB">
        <w:rPr>
          <w:rFonts w:cs="Times New Roman"/>
          <w:szCs w:val="24"/>
        </w:rPr>
        <w:t xml:space="preserve"> « </w:t>
      </w:r>
      <w:r w:rsidR="001F19E4" w:rsidRPr="001F19E4">
        <w:rPr>
          <w:rFonts w:cs="Times New Roman"/>
          <w:szCs w:val="24"/>
        </w:rPr>
        <w:t>fera toutefois figurer, dans le dispositif du présent arrêt, à titre de satisfaction, une déclaration indiquant que le défendeur a manqué de se conformer aux mesures conservatoires indiquées par la Cour dans ses ordonnances</w:t>
      </w:r>
      <w:r w:rsidR="00782BBB">
        <w:rPr>
          <w:rFonts w:cs="Times New Roman"/>
          <w:szCs w:val="24"/>
        </w:rPr>
        <w:t> »</w:t>
      </w:r>
      <w:r w:rsidR="00782BBB">
        <w:rPr>
          <w:rStyle w:val="Appelnotedebasdep"/>
          <w:rFonts w:cs="Times New Roman"/>
          <w:szCs w:val="24"/>
        </w:rPr>
        <w:footnoteReference w:id="34"/>
      </w:r>
      <w:r w:rsidR="00782BBB">
        <w:rPr>
          <w:rFonts w:cs="Times New Roman"/>
          <w:szCs w:val="24"/>
        </w:rPr>
        <w:t>.</w:t>
      </w:r>
    </w:p>
    <w:p w14:paraId="33E2A261" w14:textId="77777777" w:rsidR="0081798C" w:rsidRDefault="0081798C" w:rsidP="00980CCF">
      <w:pPr>
        <w:numPr>
          <w:ilvl w:val="0"/>
          <w:numId w:val="0"/>
        </w:numPr>
        <w:spacing w:line="276" w:lineRule="auto"/>
        <w:rPr>
          <w:rFonts w:cs="Times New Roman"/>
          <w:szCs w:val="24"/>
        </w:rPr>
      </w:pPr>
    </w:p>
    <w:p w14:paraId="697E214E" w14:textId="256A267A" w:rsidR="005D3FFE" w:rsidRDefault="00392D96" w:rsidP="00980CCF">
      <w:pPr>
        <w:numPr>
          <w:ilvl w:val="0"/>
          <w:numId w:val="0"/>
        </w:numPr>
        <w:spacing w:line="276" w:lineRule="auto"/>
        <w:rPr>
          <w:rFonts w:cs="Times New Roman"/>
          <w:szCs w:val="24"/>
        </w:rPr>
      </w:pPr>
      <w:r>
        <w:rPr>
          <w:rFonts w:cs="Times New Roman"/>
          <w:szCs w:val="24"/>
        </w:rPr>
        <w:t>On le voit,</w:t>
      </w:r>
      <w:r w:rsidR="005416FF" w:rsidRPr="00641B73">
        <w:rPr>
          <w:rFonts w:cs="Times New Roman"/>
          <w:szCs w:val="24"/>
        </w:rPr>
        <w:t xml:space="preserve"> </w:t>
      </w:r>
      <w:r w:rsidR="003841B3" w:rsidRPr="00641B73">
        <w:rPr>
          <w:rFonts w:cs="Times New Roman"/>
          <w:szCs w:val="24"/>
        </w:rPr>
        <w:t xml:space="preserve">la Cour </w:t>
      </w:r>
      <w:r>
        <w:rPr>
          <w:rFonts w:cs="Times New Roman"/>
          <w:szCs w:val="24"/>
        </w:rPr>
        <w:t>se montre</w:t>
      </w:r>
      <w:r w:rsidR="003841B3" w:rsidRPr="00641B73">
        <w:rPr>
          <w:rFonts w:cs="Times New Roman"/>
          <w:szCs w:val="24"/>
        </w:rPr>
        <w:t xml:space="preserve"> </w:t>
      </w:r>
      <w:r>
        <w:rPr>
          <w:rFonts w:cs="Times New Roman"/>
          <w:szCs w:val="24"/>
        </w:rPr>
        <w:t>particulièrement</w:t>
      </w:r>
      <w:r w:rsidR="003841B3" w:rsidRPr="00641B73">
        <w:rPr>
          <w:rFonts w:cs="Times New Roman"/>
          <w:szCs w:val="24"/>
        </w:rPr>
        <w:t xml:space="preserve"> réticente à</w:t>
      </w:r>
      <w:r>
        <w:rPr>
          <w:rFonts w:cs="Times New Roman"/>
          <w:szCs w:val="24"/>
        </w:rPr>
        <w:t xml:space="preserve"> l’idée d’</w:t>
      </w:r>
      <w:r w:rsidR="003841B3" w:rsidRPr="00641B73">
        <w:rPr>
          <w:rFonts w:cs="Times New Roman"/>
          <w:szCs w:val="24"/>
        </w:rPr>
        <w:t xml:space="preserve">engager la responsabilité d’un État sur </w:t>
      </w:r>
      <w:r>
        <w:rPr>
          <w:rFonts w:cs="Times New Roman"/>
          <w:szCs w:val="24"/>
        </w:rPr>
        <w:t xml:space="preserve">le seul </w:t>
      </w:r>
      <w:r w:rsidR="003841B3" w:rsidRPr="00641B73">
        <w:rPr>
          <w:rFonts w:cs="Times New Roman"/>
          <w:szCs w:val="24"/>
        </w:rPr>
        <w:t>fondemen</w:t>
      </w:r>
      <w:r w:rsidR="005416FF" w:rsidRPr="00641B73">
        <w:rPr>
          <w:rFonts w:cs="Times New Roman"/>
          <w:szCs w:val="24"/>
        </w:rPr>
        <w:t>t</w:t>
      </w:r>
      <w:r>
        <w:rPr>
          <w:rFonts w:cs="Times New Roman"/>
          <w:szCs w:val="24"/>
        </w:rPr>
        <w:t xml:space="preserve"> de la violation de mesures conservatoires précédemment indiquées, ce qui relativise fortement la portée de l’affirmation de leur obligatoriété. Pourtant, les juridictions internationales comme régionales ont pour la plupart clairement</w:t>
      </w:r>
      <w:r w:rsidR="003841B3" w:rsidRPr="00641B73">
        <w:rPr>
          <w:rFonts w:cs="Times New Roman"/>
          <w:szCs w:val="24"/>
        </w:rPr>
        <w:t xml:space="preserve"> emboîté le pas à la Cour. </w:t>
      </w:r>
      <w:r>
        <w:rPr>
          <w:rFonts w:cs="Times New Roman"/>
          <w:szCs w:val="24"/>
        </w:rPr>
        <w:t>Tel est le cas du</w:t>
      </w:r>
      <w:r w:rsidR="008765C2" w:rsidRPr="00641B73">
        <w:rPr>
          <w:rFonts w:cs="Times New Roman"/>
          <w:szCs w:val="24"/>
        </w:rPr>
        <w:t xml:space="preserve"> TIDM</w:t>
      </w:r>
      <w:r>
        <w:rPr>
          <w:rFonts w:cs="Times New Roman"/>
          <w:szCs w:val="24"/>
        </w:rPr>
        <w:t xml:space="preserve"> dont la jurisprudence s’aligne très volontiers sur celle de la Cour</w:t>
      </w:r>
      <w:r w:rsidR="008765C2" w:rsidRPr="00641B73">
        <w:rPr>
          <w:rFonts w:cs="Times New Roman"/>
          <w:szCs w:val="24"/>
        </w:rPr>
        <w:t xml:space="preserve">, mais </w:t>
      </w:r>
      <w:r w:rsidR="005D487E">
        <w:rPr>
          <w:rFonts w:cs="Times New Roman"/>
          <w:szCs w:val="24"/>
        </w:rPr>
        <w:t>également</w:t>
      </w:r>
      <w:r w:rsidR="008765C2" w:rsidRPr="00641B73">
        <w:rPr>
          <w:rFonts w:cs="Times New Roman"/>
          <w:szCs w:val="24"/>
        </w:rPr>
        <w:t xml:space="preserve"> l</w:t>
      </w:r>
      <w:r w:rsidR="003841B3" w:rsidRPr="00641B73">
        <w:rPr>
          <w:rFonts w:cs="Times New Roman"/>
          <w:szCs w:val="24"/>
        </w:rPr>
        <w:t>a CEDH</w:t>
      </w:r>
      <w:r w:rsidR="008765C2" w:rsidRPr="00641B73">
        <w:rPr>
          <w:rFonts w:cs="Times New Roman"/>
          <w:szCs w:val="24"/>
        </w:rPr>
        <w:t>, qui</w:t>
      </w:r>
      <w:r w:rsidR="003841B3" w:rsidRPr="00641B73">
        <w:rPr>
          <w:rFonts w:cs="Times New Roman"/>
          <w:szCs w:val="24"/>
        </w:rPr>
        <w:t xml:space="preserve"> </w:t>
      </w:r>
      <w:r w:rsidR="005D3FFE">
        <w:rPr>
          <w:rFonts w:cs="Times New Roman"/>
          <w:szCs w:val="24"/>
        </w:rPr>
        <w:t>indique</w:t>
      </w:r>
      <w:r>
        <w:rPr>
          <w:rFonts w:cs="Times New Roman"/>
          <w:szCs w:val="24"/>
        </w:rPr>
        <w:t xml:space="preserve"> dans l’affaire </w:t>
      </w:r>
      <w:proofErr w:type="spellStart"/>
      <w:r w:rsidRPr="00392D96">
        <w:rPr>
          <w:rFonts w:cs="Times New Roman"/>
          <w:i/>
          <w:iCs/>
          <w:szCs w:val="24"/>
        </w:rPr>
        <w:t>Mamatkulov</w:t>
      </w:r>
      <w:proofErr w:type="spellEnd"/>
      <w:r w:rsidRPr="00392D96">
        <w:rPr>
          <w:rFonts w:cs="Times New Roman"/>
          <w:i/>
          <w:iCs/>
          <w:szCs w:val="24"/>
        </w:rPr>
        <w:t xml:space="preserve"> et </w:t>
      </w:r>
      <w:proofErr w:type="spellStart"/>
      <w:r w:rsidRPr="00392D96">
        <w:rPr>
          <w:rFonts w:cs="Times New Roman"/>
          <w:i/>
          <w:iCs/>
          <w:szCs w:val="24"/>
        </w:rPr>
        <w:t>Askarov</w:t>
      </w:r>
      <w:proofErr w:type="spellEnd"/>
      <w:r w:rsidRPr="00392D96">
        <w:rPr>
          <w:rFonts w:cs="Times New Roman"/>
          <w:i/>
          <w:iCs/>
          <w:szCs w:val="24"/>
        </w:rPr>
        <w:t xml:space="preserve"> c. Turquie</w:t>
      </w:r>
      <w:r w:rsidRPr="00641B73">
        <w:rPr>
          <w:rFonts w:cs="Times New Roman"/>
          <w:szCs w:val="24"/>
        </w:rPr>
        <w:t> </w:t>
      </w:r>
      <w:r>
        <w:rPr>
          <w:rFonts w:cs="Times New Roman"/>
          <w:szCs w:val="24"/>
        </w:rPr>
        <w:t>que l’arrêt</w:t>
      </w:r>
      <w:r w:rsidRPr="00641B73">
        <w:rPr>
          <w:rFonts w:cs="Times New Roman"/>
          <w:szCs w:val="24"/>
        </w:rPr>
        <w:t xml:space="preserve"> </w:t>
      </w:r>
      <w:proofErr w:type="spellStart"/>
      <w:r w:rsidR="00CA48C9" w:rsidRPr="00392D96">
        <w:rPr>
          <w:rFonts w:cs="Times New Roman"/>
          <w:i/>
          <w:iCs/>
          <w:szCs w:val="24"/>
        </w:rPr>
        <w:t>La</w:t>
      </w:r>
      <w:r w:rsidR="00411F95">
        <w:rPr>
          <w:rFonts w:cs="Times New Roman"/>
          <w:i/>
          <w:iCs/>
          <w:szCs w:val="24"/>
        </w:rPr>
        <w:t>G</w:t>
      </w:r>
      <w:r w:rsidR="00CA48C9" w:rsidRPr="00392D96">
        <w:rPr>
          <w:rFonts w:cs="Times New Roman"/>
          <w:i/>
          <w:iCs/>
          <w:szCs w:val="24"/>
        </w:rPr>
        <w:t>rand</w:t>
      </w:r>
      <w:proofErr w:type="spellEnd"/>
      <w:r w:rsidR="00CA48C9" w:rsidRPr="00641B73">
        <w:rPr>
          <w:rFonts w:cs="Times New Roman"/>
          <w:szCs w:val="24"/>
        </w:rPr>
        <w:t xml:space="preserve"> </w:t>
      </w:r>
      <w:r>
        <w:rPr>
          <w:rFonts w:cs="Times New Roman"/>
          <w:szCs w:val="24"/>
        </w:rPr>
        <w:t>tranche la</w:t>
      </w:r>
      <w:r w:rsidR="00E16688" w:rsidRPr="00641B73">
        <w:rPr>
          <w:rFonts w:cs="Times New Roman"/>
          <w:szCs w:val="24"/>
        </w:rPr>
        <w:t xml:space="preserve"> « polémique de l’interprétation purement linguistique de l’article 41 »</w:t>
      </w:r>
      <w:r>
        <w:rPr>
          <w:rStyle w:val="Appelnotedebasdep"/>
          <w:rFonts w:cs="Times New Roman"/>
          <w:szCs w:val="24"/>
        </w:rPr>
        <w:footnoteReference w:id="35"/>
      </w:r>
      <w:r w:rsidR="005D3FFE">
        <w:rPr>
          <w:rFonts w:cs="Times New Roman"/>
          <w:szCs w:val="24"/>
        </w:rPr>
        <w:t>. La cour européenne, qui rattache de manière très surprenante l’obligatoriété d</w:t>
      </w:r>
      <w:r w:rsidR="00E16688" w:rsidRPr="00641B73">
        <w:rPr>
          <w:rFonts w:cs="Times New Roman"/>
          <w:szCs w:val="24"/>
        </w:rPr>
        <w:t>es mesures provisoires à l’obligation de se conformer à l’arrêt définitif de la Cour</w:t>
      </w:r>
      <w:r w:rsidR="00F82BB7" w:rsidRPr="00641B73">
        <w:rPr>
          <w:rFonts w:cs="Times New Roman"/>
          <w:szCs w:val="24"/>
        </w:rPr>
        <w:t xml:space="preserve"> et au droit au recours individuel effectif</w:t>
      </w:r>
      <w:r w:rsidR="00F82BB7" w:rsidRPr="002138C1">
        <w:rPr>
          <w:rStyle w:val="Appelnotedebasdep"/>
        </w:rPr>
        <w:footnoteReference w:id="36"/>
      </w:r>
      <w:r w:rsidR="005D3FFE">
        <w:rPr>
          <w:rFonts w:cs="Times New Roman"/>
          <w:szCs w:val="24"/>
        </w:rPr>
        <w:t>, considère également que « </w:t>
      </w:r>
      <w:r w:rsidR="005D3FFE" w:rsidRPr="005D3FFE">
        <w:rPr>
          <w:rFonts w:cs="Times New Roman"/>
          <w:szCs w:val="24"/>
        </w:rPr>
        <w:t xml:space="preserve">quel que soit le système juridique considéré, </w:t>
      </w:r>
      <w:r w:rsidR="005D3FFE" w:rsidRPr="005D3FFE">
        <w:rPr>
          <w:rFonts w:cs="Times New Roman"/>
          <w:szCs w:val="24"/>
        </w:rPr>
        <w:lastRenderedPageBreak/>
        <w:t>toute bonne administration de la justice implique que ne soient pas accomplis, tant qu'une procédure est en cours, des actes de caractère irréparable</w:t>
      </w:r>
      <w:r w:rsidR="005D3FFE">
        <w:rPr>
          <w:rFonts w:cs="Times New Roman"/>
          <w:szCs w:val="24"/>
        </w:rPr>
        <w:t> »</w:t>
      </w:r>
      <w:r w:rsidR="00556204">
        <w:rPr>
          <w:rStyle w:val="Appelnotedebasdep"/>
          <w:rFonts w:cs="Times New Roman"/>
          <w:szCs w:val="24"/>
        </w:rPr>
        <w:footnoteReference w:id="37"/>
      </w:r>
      <w:r w:rsidR="005D3FFE">
        <w:rPr>
          <w:rFonts w:cs="Times New Roman"/>
          <w:szCs w:val="24"/>
        </w:rPr>
        <w:t>. Autrement dit, le fondement de l’obligatoriété des mesures provisoires se trouverait, pour la CEDH, dans l’exigence d’une bonne administration de la justice plutôt que dans l’objet et le but des dispositions qu’elles visent à respecter – ou, de manière plus difficilement assumable, dans une politique jurisprudentielle visant à assurer l’effectivité des mesures indiquées. Ce raisonnement</w:t>
      </w:r>
      <w:r w:rsidR="005D487E">
        <w:rPr>
          <w:rFonts w:cs="Times New Roman"/>
          <w:szCs w:val="24"/>
        </w:rPr>
        <w:t>,</w:t>
      </w:r>
      <w:r w:rsidR="005D3FFE">
        <w:rPr>
          <w:rFonts w:cs="Times New Roman"/>
          <w:szCs w:val="24"/>
        </w:rPr>
        <w:t xml:space="preserve"> qui rattache artificiellement l’obligatoriété des mesures provisoires à la notion complexe</w:t>
      </w:r>
      <w:r w:rsidR="005D487E">
        <w:rPr>
          <w:rFonts w:cs="Times New Roman"/>
          <w:szCs w:val="24"/>
        </w:rPr>
        <w:t xml:space="preserve"> </w:t>
      </w:r>
      <w:r w:rsidR="005D3FFE">
        <w:rPr>
          <w:rFonts w:cs="Times New Roman"/>
          <w:szCs w:val="24"/>
        </w:rPr>
        <w:t>de bonne administration de la justice</w:t>
      </w:r>
      <w:r w:rsidR="005D487E">
        <w:rPr>
          <w:rFonts w:cs="Times New Roman"/>
          <w:szCs w:val="24"/>
        </w:rPr>
        <w:t>,</w:t>
      </w:r>
      <w:r w:rsidR="005D3FFE">
        <w:rPr>
          <w:rFonts w:cs="Times New Roman"/>
          <w:szCs w:val="24"/>
        </w:rPr>
        <w:t xml:space="preserve"> est contestable et met de nouveau la diversité des conceptions en jeu dans le paysage juridictionnel international.</w:t>
      </w:r>
      <w:r w:rsidR="00E16688" w:rsidRPr="00641B73">
        <w:rPr>
          <w:rFonts w:cs="Times New Roman"/>
          <w:szCs w:val="24"/>
        </w:rPr>
        <w:t xml:space="preserve"> </w:t>
      </w:r>
    </w:p>
    <w:p w14:paraId="177D931B" w14:textId="77777777" w:rsidR="005D487E" w:rsidRDefault="005D487E" w:rsidP="00980CCF">
      <w:pPr>
        <w:numPr>
          <w:ilvl w:val="0"/>
          <w:numId w:val="0"/>
        </w:numPr>
        <w:spacing w:line="276" w:lineRule="auto"/>
        <w:rPr>
          <w:rFonts w:cs="Times New Roman"/>
          <w:szCs w:val="24"/>
        </w:rPr>
      </w:pPr>
    </w:p>
    <w:p w14:paraId="0DAC13B9" w14:textId="4E7EC856" w:rsidR="00783126" w:rsidRPr="00641B73" w:rsidRDefault="005D487E" w:rsidP="00980CCF">
      <w:pPr>
        <w:numPr>
          <w:ilvl w:val="0"/>
          <w:numId w:val="0"/>
        </w:numPr>
        <w:spacing w:line="276" w:lineRule="auto"/>
        <w:rPr>
          <w:rFonts w:cs="Times New Roman"/>
          <w:szCs w:val="24"/>
        </w:rPr>
      </w:pPr>
      <w:r>
        <w:rPr>
          <w:rFonts w:cs="Times New Roman"/>
          <w:i/>
          <w:iCs/>
          <w:szCs w:val="24"/>
        </w:rPr>
        <w:t xml:space="preserve">A </w:t>
      </w:r>
      <w:r w:rsidRPr="005D487E">
        <w:rPr>
          <w:rFonts w:cs="Times New Roman"/>
          <w:i/>
          <w:iCs/>
          <w:szCs w:val="24"/>
        </w:rPr>
        <w:t>contrario</w:t>
      </w:r>
      <w:r>
        <w:rPr>
          <w:rFonts w:cs="Times New Roman"/>
          <w:szCs w:val="24"/>
        </w:rPr>
        <w:t>, l</w:t>
      </w:r>
      <w:r w:rsidRPr="005D487E">
        <w:rPr>
          <w:rFonts w:cs="Times New Roman"/>
          <w:szCs w:val="24"/>
        </w:rPr>
        <w:t>’article</w:t>
      </w:r>
      <w:r w:rsidR="00E16688" w:rsidRPr="00641B73">
        <w:rPr>
          <w:rFonts w:cs="Times New Roman"/>
          <w:szCs w:val="24"/>
        </w:rPr>
        <w:t xml:space="preserve"> 278</w:t>
      </w:r>
      <w:r>
        <w:rPr>
          <w:rFonts w:cs="Times New Roman"/>
          <w:szCs w:val="24"/>
        </w:rPr>
        <w:t xml:space="preserve"> TFUE</w:t>
      </w:r>
      <w:r w:rsidR="00E16688" w:rsidRPr="00641B73">
        <w:rPr>
          <w:rFonts w:cs="Times New Roman"/>
          <w:szCs w:val="24"/>
        </w:rPr>
        <w:t xml:space="preserve"> indique clairement que « la Cour peut, si elle estime que les circonstances l'exigent, ordonner le sursis à l'exécution de l'acte attaqué »</w:t>
      </w:r>
      <w:r>
        <w:rPr>
          <w:rFonts w:cs="Times New Roman"/>
          <w:szCs w:val="24"/>
        </w:rPr>
        <w:t>, dans une</w:t>
      </w:r>
      <w:r w:rsidR="0066320E" w:rsidRPr="00641B73">
        <w:rPr>
          <w:rFonts w:cs="Times New Roman"/>
          <w:szCs w:val="24"/>
        </w:rPr>
        <w:t xml:space="preserve"> rédaction antérieure à </w:t>
      </w:r>
      <w:r>
        <w:rPr>
          <w:rFonts w:cs="Times New Roman"/>
          <w:szCs w:val="24"/>
        </w:rPr>
        <w:t xml:space="preserve">l’arrêt </w:t>
      </w:r>
      <w:proofErr w:type="spellStart"/>
      <w:r w:rsidR="0066320E" w:rsidRPr="00641B73">
        <w:rPr>
          <w:rFonts w:cs="Times New Roman"/>
          <w:i/>
          <w:iCs/>
          <w:szCs w:val="24"/>
        </w:rPr>
        <w:t>La</w:t>
      </w:r>
      <w:r w:rsidR="00411F95">
        <w:rPr>
          <w:rFonts w:cs="Times New Roman"/>
          <w:i/>
          <w:iCs/>
          <w:szCs w:val="24"/>
        </w:rPr>
        <w:t>G</w:t>
      </w:r>
      <w:r w:rsidR="0066320E" w:rsidRPr="00641B73">
        <w:rPr>
          <w:rFonts w:cs="Times New Roman"/>
          <w:i/>
          <w:iCs/>
          <w:szCs w:val="24"/>
        </w:rPr>
        <w:t>rand</w:t>
      </w:r>
      <w:proofErr w:type="spellEnd"/>
      <w:r w:rsidR="0066320E" w:rsidRPr="00641B73">
        <w:rPr>
          <w:rFonts w:cs="Times New Roman"/>
          <w:szCs w:val="24"/>
        </w:rPr>
        <w:t xml:space="preserve"> </w:t>
      </w:r>
      <w:r>
        <w:rPr>
          <w:rFonts w:cs="Times New Roman"/>
          <w:szCs w:val="24"/>
        </w:rPr>
        <w:t>puisqu’</w:t>
      </w:r>
      <w:r w:rsidR="0066320E" w:rsidRPr="00641B73">
        <w:rPr>
          <w:rFonts w:cs="Times New Roman"/>
          <w:szCs w:val="24"/>
        </w:rPr>
        <w:t>elle existait déjà dans le traité de Maastricht en 1992</w:t>
      </w:r>
      <w:r w:rsidR="0066320E" w:rsidRPr="002138C1">
        <w:rPr>
          <w:rStyle w:val="Appelnotedebasdep"/>
        </w:rPr>
        <w:footnoteReference w:id="38"/>
      </w:r>
      <w:r>
        <w:rPr>
          <w:rFonts w:cs="Times New Roman"/>
          <w:szCs w:val="24"/>
        </w:rPr>
        <w:t>. La Cour étant susceptible d’agir en tant que juge de droit interne du droit de l’Union, du fait de</w:t>
      </w:r>
      <w:r w:rsidR="008765C2" w:rsidRPr="00641B73">
        <w:rPr>
          <w:rFonts w:cs="Times New Roman"/>
          <w:szCs w:val="24"/>
        </w:rPr>
        <w:t xml:space="preserve"> l’ordre juridique </w:t>
      </w:r>
      <w:r>
        <w:rPr>
          <w:rFonts w:cs="Times New Roman"/>
          <w:szCs w:val="24"/>
        </w:rPr>
        <w:t xml:space="preserve">particulier </w:t>
      </w:r>
      <w:r w:rsidR="008765C2" w:rsidRPr="00641B73">
        <w:rPr>
          <w:rFonts w:cs="Times New Roman"/>
          <w:szCs w:val="24"/>
        </w:rPr>
        <w:t>de l’Union</w:t>
      </w:r>
      <w:r>
        <w:rPr>
          <w:rFonts w:cs="Times New Roman"/>
          <w:szCs w:val="24"/>
        </w:rPr>
        <w:t>, il n’y a pas lieu de s’étonner de l’absence de construction jurisprudentielle de l’obligatoriété des mesures provisoires, laquelle s’inscrit également dans le « tropisme juridique »</w:t>
      </w:r>
      <w:r w:rsidR="00411F95">
        <w:rPr>
          <w:rStyle w:val="Appelnotedebasdep"/>
          <w:rFonts w:cs="Times New Roman"/>
          <w:szCs w:val="24"/>
        </w:rPr>
        <w:footnoteReference w:id="39"/>
      </w:r>
      <w:r>
        <w:rPr>
          <w:rFonts w:cs="Times New Roman"/>
          <w:szCs w:val="24"/>
        </w:rPr>
        <w:t xml:space="preserve"> qui caractérise les méthodes de l’Union. </w:t>
      </w:r>
      <w:r w:rsidR="008765C2" w:rsidRPr="00641B73">
        <w:rPr>
          <w:rFonts w:cs="Times New Roman"/>
          <w:szCs w:val="24"/>
        </w:rPr>
        <w:t>C’est peut-être en matière arbitrale que le phénomène de circulation de l’idée d’obligatoriété des mesures provisoires est le plus saillant</w:t>
      </w:r>
      <w:r w:rsidR="00411F95">
        <w:rPr>
          <w:rFonts w:cs="Times New Roman"/>
          <w:szCs w:val="24"/>
        </w:rPr>
        <w:t>,</w:t>
      </w:r>
      <w:r w:rsidR="008765C2" w:rsidRPr="00641B73">
        <w:rPr>
          <w:rFonts w:cs="Times New Roman"/>
          <w:szCs w:val="24"/>
        </w:rPr>
        <w:t xml:space="preserve"> car l’article 39 du règlement CIRDI comme l’article 47 de la Convention CIRDI </w:t>
      </w:r>
      <w:r w:rsidR="00411F95">
        <w:rPr>
          <w:rFonts w:cs="Times New Roman"/>
          <w:szCs w:val="24"/>
        </w:rPr>
        <w:t>évoquent des</w:t>
      </w:r>
      <w:r w:rsidR="008765C2" w:rsidRPr="00641B73">
        <w:rPr>
          <w:rFonts w:cs="Times New Roman"/>
          <w:szCs w:val="24"/>
        </w:rPr>
        <w:t xml:space="preserve"> « recommandations »</w:t>
      </w:r>
      <w:r w:rsidR="00411F95">
        <w:rPr>
          <w:rFonts w:cs="Times New Roman"/>
          <w:szCs w:val="24"/>
        </w:rPr>
        <w:t>. O</w:t>
      </w:r>
      <w:r w:rsidR="008765C2" w:rsidRPr="00641B73">
        <w:rPr>
          <w:rFonts w:cs="Times New Roman"/>
          <w:szCs w:val="24"/>
        </w:rPr>
        <w:t xml:space="preserve">r, </w:t>
      </w:r>
      <w:r w:rsidR="00C86B31">
        <w:rPr>
          <w:rFonts w:cs="Times New Roman"/>
          <w:szCs w:val="24"/>
        </w:rPr>
        <w:t xml:space="preserve">semble-t-il </w:t>
      </w:r>
      <w:r w:rsidR="008765C2" w:rsidRPr="00641B73">
        <w:rPr>
          <w:rFonts w:cs="Times New Roman"/>
          <w:szCs w:val="24"/>
        </w:rPr>
        <w:t>depuis fin 1999</w:t>
      </w:r>
      <w:r w:rsidR="00411F95">
        <w:rPr>
          <w:rFonts w:cs="Times New Roman"/>
          <w:szCs w:val="24"/>
        </w:rPr>
        <w:t>,</w:t>
      </w:r>
      <w:r w:rsidR="008765C2" w:rsidRPr="00641B73">
        <w:rPr>
          <w:rFonts w:cs="Times New Roman"/>
          <w:szCs w:val="24"/>
        </w:rPr>
        <w:t xml:space="preserve"> soit quelques mois après l’ordonnance </w:t>
      </w:r>
      <w:proofErr w:type="spellStart"/>
      <w:r w:rsidR="008765C2" w:rsidRPr="00411F95">
        <w:rPr>
          <w:rFonts w:cs="Times New Roman"/>
          <w:i/>
          <w:iCs/>
          <w:szCs w:val="24"/>
        </w:rPr>
        <w:t>La</w:t>
      </w:r>
      <w:r w:rsidR="00411F95">
        <w:rPr>
          <w:rFonts w:cs="Times New Roman"/>
          <w:i/>
          <w:iCs/>
          <w:szCs w:val="24"/>
        </w:rPr>
        <w:t>G</w:t>
      </w:r>
      <w:r w:rsidR="008765C2" w:rsidRPr="00411F95">
        <w:rPr>
          <w:rFonts w:cs="Times New Roman"/>
          <w:i/>
          <w:iCs/>
          <w:szCs w:val="24"/>
        </w:rPr>
        <w:t>rand</w:t>
      </w:r>
      <w:proofErr w:type="spellEnd"/>
      <w:r w:rsidR="00411F95">
        <w:rPr>
          <w:rFonts w:cs="Times New Roman"/>
          <w:i/>
          <w:iCs/>
          <w:szCs w:val="24"/>
        </w:rPr>
        <w:t xml:space="preserve"> </w:t>
      </w:r>
      <w:r w:rsidR="00411F95" w:rsidRPr="00411F95">
        <w:rPr>
          <w:rFonts w:cs="Times New Roman"/>
          <w:szCs w:val="24"/>
        </w:rPr>
        <w:t>de 1999</w:t>
      </w:r>
      <w:r w:rsidR="008765C2" w:rsidRPr="002138C1">
        <w:rPr>
          <w:rStyle w:val="Appelnotedebasdep"/>
        </w:rPr>
        <w:footnoteReference w:id="40"/>
      </w:r>
      <w:r w:rsidR="008765C2" w:rsidRPr="00641B73">
        <w:rPr>
          <w:rFonts w:cs="Times New Roman"/>
          <w:szCs w:val="24"/>
        </w:rPr>
        <w:t xml:space="preserve">, </w:t>
      </w:r>
      <w:r w:rsidR="00411F95">
        <w:rPr>
          <w:rFonts w:cs="Times New Roman"/>
          <w:szCs w:val="24"/>
        </w:rPr>
        <w:t>celles-ci</w:t>
      </w:r>
      <w:r w:rsidR="008765C2" w:rsidRPr="00641B73">
        <w:rPr>
          <w:rFonts w:cs="Times New Roman"/>
          <w:szCs w:val="24"/>
        </w:rPr>
        <w:t xml:space="preserve"> ont valeur obligatoire</w:t>
      </w:r>
      <w:r w:rsidR="00C86B31">
        <w:rPr>
          <w:rFonts w:cs="Times New Roman"/>
          <w:szCs w:val="24"/>
        </w:rPr>
        <w:t>, au prix d’une argumentation qui peut laisser dubitatif quant à l’équivalence des termes « recommander » et « ordonner »</w:t>
      </w:r>
      <w:r w:rsidR="00EC17ED" w:rsidRPr="002138C1">
        <w:rPr>
          <w:rStyle w:val="Appelnotedebasdep"/>
        </w:rPr>
        <w:footnoteReference w:id="41"/>
      </w:r>
      <w:r w:rsidR="008765C2" w:rsidRPr="00641B73">
        <w:rPr>
          <w:rFonts w:cs="Times New Roman"/>
          <w:szCs w:val="24"/>
        </w:rPr>
        <w:t xml:space="preserve">. </w:t>
      </w:r>
      <w:r w:rsidR="00C86B31">
        <w:rPr>
          <w:rFonts w:cs="Times New Roman"/>
          <w:szCs w:val="24"/>
        </w:rPr>
        <w:t>Cette</w:t>
      </w:r>
      <w:r w:rsidR="008765C2" w:rsidRPr="00641B73">
        <w:rPr>
          <w:rFonts w:cs="Times New Roman"/>
          <w:szCs w:val="24"/>
        </w:rPr>
        <w:t xml:space="preserve"> interprétation douteuse </w:t>
      </w:r>
      <w:r w:rsidR="00C86B31">
        <w:rPr>
          <w:rFonts w:cs="Times New Roman"/>
          <w:szCs w:val="24"/>
        </w:rPr>
        <w:t>illustre</w:t>
      </w:r>
      <w:r w:rsidR="008765C2" w:rsidRPr="00641B73">
        <w:rPr>
          <w:rFonts w:cs="Times New Roman"/>
          <w:szCs w:val="24"/>
        </w:rPr>
        <w:t xml:space="preserve"> bien</w:t>
      </w:r>
      <w:r w:rsidR="00C86B31">
        <w:rPr>
          <w:rFonts w:cs="Times New Roman"/>
          <w:szCs w:val="24"/>
        </w:rPr>
        <w:t>, à notre sens,</w:t>
      </w:r>
      <w:r w:rsidR="008765C2" w:rsidRPr="00641B73">
        <w:rPr>
          <w:rFonts w:cs="Times New Roman"/>
          <w:szCs w:val="24"/>
        </w:rPr>
        <w:t xml:space="preserve"> ce phénomène de circulation de l’obligatoriété</w:t>
      </w:r>
      <w:r w:rsidR="00C86B31">
        <w:rPr>
          <w:rFonts w:cs="Times New Roman"/>
          <w:szCs w:val="24"/>
        </w:rPr>
        <w:t>, qui ne</w:t>
      </w:r>
      <w:r w:rsidR="008765C2" w:rsidRPr="00641B73">
        <w:rPr>
          <w:rFonts w:cs="Times New Roman"/>
          <w:szCs w:val="24"/>
        </w:rPr>
        <w:t xml:space="preserve"> crée pas</w:t>
      </w:r>
      <w:r w:rsidR="00783126" w:rsidRPr="00641B73">
        <w:rPr>
          <w:rFonts w:cs="Times New Roman"/>
          <w:szCs w:val="24"/>
        </w:rPr>
        <w:t xml:space="preserve"> pour autant</w:t>
      </w:r>
      <w:r w:rsidR="008765C2" w:rsidRPr="00641B73">
        <w:rPr>
          <w:rFonts w:cs="Times New Roman"/>
          <w:szCs w:val="24"/>
        </w:rPr>
        <w:t xml:space="preserve"> un « droit commun »</w:t>
      </w:r>
      <w:r w:rsidR="00783126" w:rsidRPr="00641B73">
        <w:rPr>
          <w:rFonts w:cs="Times New Roman"/>
          <w:szCs w:val="24"/>
        </w:rPr>
        <w:t>.</w:t>
      </w:r>
      <w:r w:rsidR="00E66062" w:rsidRPr="00641B73">
        <w:rPr>
          <w:rFonts w:cs="Times New Roman"/>
          <w:szCs w:val="24"/>
        </w:rPr>
        <w:t xml:space="preserve"> D’ailleurs, les mesures </w:t>
      </w:r>
      <w:r w:rsidR="00C86B31">
        <w:rPr>
          <w:rFonts w:cs="Times New Roman"/>
          <w:szCs w:val="24"/>
        </w:rPr>
        <w:t>prononcées par le</w:t>
      </w:r>
      <w:r w:rsidR="00E66062" w:rsidRPr="00641B73">
        <w:rPr>
          <w:rFonts w:cs="Times New Roman"/>
          <w:szCs w:val="24"/>
        </w:rPr>
        <w:t xml:space="preserve"> Comité des droits de l’homme n’ont pas valeur contraignante</w:t>
      </w:r>
      <w:r w:rsidR="00C86B31">
        <w:rPr>
          <w:rFonts w:cs="Times New Roman"/>
          <w:szCs w:val="24"/>
        </w:rPr>
        <w:t xml:space="preserve">, </w:t>
      </w:r>
      <w:r w:rsidR="00E66062" w:rsidRPr="00641B73">
        <w:rPr>
          <w:rFonts w:cs="Times New Roman"/>
          <w:szCs w:val="24"/>
        </w:rPr>
        <w:t xml:space="preserve">ce qui </w:t>
      </w:r>
      <w:r w:rsidR="000D62F8" w:rsidRPr="00641B73">
        <w:rPr>
          <w:rFonts w:cs="Times New Roman"/>
          <w:szCs w:val="24"/>
        </w:rPr>
        <w:t>dé</w:t>
      </w:r>
      <w:r w:rsidR="00E66062" w:rsidRPr="00641B73">
        <w:rPr>
          <w:rFonts w:cs="Times New Roman"/>
          <w:szCs w:val="24"/>
        </w:rPr>
        <w:t xml:space="preserve">montre </w:t>
      </w:r>
      <w:r w:rsidR="00C86B31">
        <w:rPr>
          <w:rFonts w:cs="Times New Roman"/>
          <w:szCs w:val="24"/>
        </w:rPr>
        <w:t>qu’il ne s’agit pas d’</w:t>
      </w:r>
      <w:r w:rsidR="00E66062" w:rsidRPr="00641B73">
        <w:rPr>
          <w:rFonts w:cs="Times New Roman"/>
          <w:szCs w:val="24"/>
        </w:rPr>
        <w:t xml:space="preserve">un droit commun mais plutôt </w:t>
      </w:r>
      <w:r w:rsidR="00C86B31">
        <w:rPr>
          <w:rFonts w:cs="Times New Roman"/>
          <w:szCs w:val="24"/>
        </w:rPr>
        <w:t>d’</w:t>
      </w:r>
      <w:r w:rsidR="00E66062" w:rsidRPr="00641B73">
        <w:rPr>
          <w:rFonts w:cs="Times New Roman"/>
          <w:szCs w:val="24"/>
        </w:rPr>
        <w:t>une dynamique générale qui n’a pas infusé partout.</w:t>
      </w:r>
    </w:p>
    <w:p w14:paraId="6E28196A" w14:textId="77777777" w:rsidR="00783126" w:rsidRPr="00641B73" w:rsidRDefault="00783126" w:rsidP="00980CCF">
      <w:pPr>
        <w:numPr>
          <w:ilvl w:val="0"/>
          <w:numId w:val="0"/>
        </w:numPr>
        <w:spacing w:line="276" w:lineRule="auto"/>
        <w:rPr>
          <w:rFonts w:cs="Times New Roman"/>
          <w:szCs w:val="24"/>
        </w:rPr>
      </w:pPr>
    </w:p>
    <w:p w14:paraId="4EBABA30" w14:textId="7395DF65" w:rsidR="00061C47" w:rsidRPr="00641B73" w:rsidRDefault="00C86B31" w:rsidP="00980CCF">
      <w:pPr>
        <w:numPr>
          <w:ilvl w:val="0"/>
          <w:numId w:val="0"/>
        </w:numPr>
        <w:spacing w:line="276" w:lineRule="auto"/>
        <w:rPr>
          <w:rFonts w:cs="Times New Roman"/>
          <w:szCs w:val="24"/>
        </w:rPr>
      </w:pPr>
      <w:r>
        <w:rPr>
          <w:rFonts w:cs="Times New Roman"/>
          <w:szCs w:val="24"/>
        </w:rPr>
        <w:t>D’autres outils et</w:t>
      </w:r>
      <w:r w:rsidR="00247C1E" w:rsidRPr="00641B73">
        <w:rPr>
          <w:rFonts w:cs="Times New Roman"/>
          <w:szCs w:val="24"/>
        </w:rPr>
        <w:t xml:space="preserve"> solutions visant à garantir un suivi des mesures conservatoires </w:t>
      </w:r>
      <w:r>
        <w:rPr>
          <w:rFonts w:cs="Times New Roman"/>
          <w:szCs w:val="24"/>
        </w:rPr>
        <w:t>font également l’objet de circulations d’une juridiction internationale à l’autre. À titre d’exemple, on peut mentionner une circulation depuis le</w:t>
      </w:r>
      <w:r w:rsidR="00247C1E" w:rsidRPr="00641B73">
        <w:rPr>
          <w:rFonts w:cs="Times New Roman"/>
          <w:szCs w:val="24"/>
        </w:rPr>
        <w:t xml:space="preserve"> TIDM </w:t>
      </w:r>
      <w:r>
        <w:rPr>
          <w:rFonts w:cs="Times New Roman"/>
          <w:szCs w:val="24"/>
        </w:rPr>
        <w:t>vers</w:t>
      </w:r>
      <w:r w:rsidR="00247C1E" w:rsidRPr="00641B73">
        <w:rPr>
          <w:rFonts w:cs="Times New Roman"/>
          <w:szCs w:val="24"/>
        </w:rPr>
        <w:t xml:space="preserve"> la CIJ </w:t>
      </w:r>
      <w:r>
        <w:rPr>
          <w:rFonts w:cs="Times New Roman"/>
          <w:szCs w:val="24"/>
        </w:rPr>
        <w:t xml:space="preserve">s’agissant de </w:t>
      </w:r>
      <w:r w:rsidR="00247C1E" w:rsidRPr="00641B73">
        <w:rPr>
          <w:rFonts w:cs="Times New Roman"/>
          <w:szCs w:val="24"/>
        </w:rPr>
        <w:t>l’obligation de « </w:t>
      </w:r>
      <w:proofErr w:type="spellStart"/>
      <w:r w:rsidR="00247C1E" w:rsidRPr="00641B73">
        <w:rPr>
          <w:rFonts w:cs="Times New Roman"/>
          <w:i/>
          <w:iCs/>
          <w:szCs w:val="24"/>
        </w:rPr>
        <w:t>reporting</w:t>
      </w:r>
      <w:proofErr w:type="spellEnd"/>
      <w:r w:rsidR="00247C1E" w:rsidRPr="00641B73">
        <w:rPr>
          <w:rFonts w:cs="Times New Roman"/>
          <w:szCs w:val="24"/>
        </w:rPr>
        <w:t> »</w:t>
      </w:r>
      <w:r>
        <w:rPr>
          <w:rFonts w:cs="Times New Roman"/>
          <w:szCs w:val="24"/>
        </w:rPr>
        <w:t xml:space="preserve"> de l’application des mesures conservatoires</w:t>
      </w:r>
      <w:r w:rsidR="00EC17ED" w:rsidRPr="00641B73">
        <w:rPr>
          <w:rFonts w:cs="Times New Roman"/>
          <w:szCs w:val="24"/>
        </w:rPr>
        <w:t xml:space="preserve">. </w:t>
      </w:r>
      <w:r>
        <w:rPr>
          <w:rFonts w:cs="Times New Roman"/>
          <w:szCs w:val="24"/>
        </w:rPr>
        <w:t>Il n’est en effet</w:t>
      </w:r>
      <w:r w:rsidR="00EC17ED" w:rsidRPr="00641B73">
        <w:rPr>
          <w:rFonts w:cs="Times New Roman"/>
          <w:szCs w:val="24"/>
        </w:rPr>
        <w:t xml:space="preserve"> pas anodin que l’ordonnance </w:t>
      </w:r>
      <w:r w:rsidR="00EC17ED" w:rsidRPr="00641B73">
        <w:rPr>
          <w:rFonts w:cs="Times New Roman"/>
          <w:i/>
          <w:iCs/>
          <w:szCs w:val="24"/>
        </w:rPr>
        <w:t>Gambie c. Myanmar</w:t>
      </w:r>
      <w:r>
        <w:rPr>
          <w:rFonts w:cs="Times New Roman"/>
          <w:szCs w:val="24"/>
        </w:rPr>
        <w:t xml:space="preserve">, qui met pour la première fois en place un tel système à la </w:t>
      </w:r>
      <w:r>
        <w:rPr>
          <w:rFonts w:cs="Times New Roman"/>
          <w:szCs w:val="24"/>
        </w:rPr>
        <w:lastRenderedPageBreak/>
        <w:t>Cour,</w:t>
      </w:r>
      <w:r w:rsidR="00EC17ED" w:rsidRPr="00641B73">
        <w:rPr>
          <w:rFonts w:cs="Times New Roman"/>
          <w:szCs w:val="24"/>
        </w:rPr>
        <w:t xml:space="preserve"> ait été rendu</w:t>
      </w:r>
      <w:r>
        <w:rPr>
          <w:rFonts w:cs="Times New Roman"/>
          <w:szCs w:val="24"/>
        </w:rPr>
        <w:t>e</w:t>
      </w:r>
      <w:r w:rsidR="00EC17ED" w:rsidRPr="00641B73">
        <w:rPr>
          <w:rFonts w:cs="Times New Roman"/>
          <w:szCs w:val="24"/>
        </w:rPr>
        <w:t xml:space="preserve"> </w:t>
      </w:r>
      <w:r>
        <w:rPr>
          <w:rFonts w:cs="Times New Roman"/>
          <w:szCs w:val="24"/>
        </w:rPr>
        <w:t>peu</w:t>
      </w:r>
      <w:r w:rsidR="00EC17ED" w:rsidRPr="00641B73">
        <w:rPr>
          <w:rFonts w:cs="Times New Roman"/>
          <w:szCs w:val="24"/>
        </w:rPr>
        <w:t xml:space="preserve"> après la prise de fonctions du nouveau greffier Philippe Gautier, anciennement greffier du TIDM</w:t>
      </w:r>
      <w:r>
        <w:rPr>
          <w:rFonts w:cs="Times New Roman"/>
          <w:szCs w:val="24"/>
        </w:rPr>
        <w:t xml:space="preserve"> qui pratique ce </w:t>
      </w:r>
      <w:proofErr w:type="spellStart"/>
      <w:r>
        <w:rPr>
          <w:rFonts w:cs="Times New Roman"/>
          <w:i/>
          <w:iCs/>
          <w:szCs w:val="24"/>
        </w:rPr>
        <w:t>reporting</w:t>
      </w:r>
      <w:proofErr w:type="spellEnd"/>
      <w:r>
        <w:rPr>
          <w:rFonts w:cs="Times New Roman"/>
          <w:szCs w:val="24"/>
        </w:rPr>
        <w:t xml:space="preserve"> de longue date</w:t>
      </w:r>
      <w:r>
        <w:rPr>
          <w:rStyle w:val="Appelnotedebasdep"/>
          <w:rFonts w:cs="Times New Roman"/>
          <w:szCs w:val="24"/>
        </w:rPr>
        <w:footnoteReference w:id="42"/>
      </w:r>
      <w:r>
        <w:rPr>
          <w:rFonts w:cs="Times New Roman"/>
          <w:szCs w:val="24"/>
        </w:rPr>
        <w:t>.</w:t>
      </w:r>
      <w:r w:rsidR="00EC17ED" w:rsidRPr="00641B73">
        <w:rPr>
          <w:rFonts w:cs="Times New Roman"/>
          <w:szCs w:val="24"/>
        </w:rPr>
        <w:t xml:space="preserve"> </w:t>
      </w:r>
      <w:r w:rsidR="00187DE3">
        <w:rPr>
          <w:rFonts w:cs="Times New Roman"/>
          <w:szCs w:val="24"/>
        </w:rPr>
        <w:t xml:space="preserve">La </w:t>
      </w:r>
      <w:r w:rsidR="00EC17ED" w:rsidRPr="00641B73">
        <w:rPr>
          <w:rFonts w:cs="Times New Roman"/>
          <w:szCs w:val="24"/>
        </w:rPr>
        <w:t xml:space="preserve">circulation des </w:t>
      </w:r>
      <w:r w:rsidR="00EC17ED" w:rsidRPr="00187DE3">
        <w:rPr>
          <w:rFonts w:cs="Times New Roman"/>
          <w:szCs w:val="24"/>
        </w:rPr>
        <w:t>normes</w:t>
      </w:r>
      <w:r w:rsidR="00187DE3">
        <w:rPr>
          <w:rFonts w:cs="Times New Roman"/>
          <w:szCs w:val="24"/>
        </w:rPr>
        <w:t>, spécifiquement lorsqu’elles visent un but aussi noble que l’effectivité du droit et des décisions de justice,</w:t>
      </w:r>
      <w:r w:rsidR="00EC17ED" w:rsidRPr="00641B73">
        <w:rPr>
          <w:rFonts w:cs="Times New Roman"/>
          <w:szCs w:val="24"/>
        </w:rPr>
        <w:t xml:space="preserve"> est </w:t>
      </w:r>
      <w:r w:rsidR="00187DE3">
        <w:rPr>
          <w:rFonts w:cs="Times New Roman"/>
          <w:szCs w:val="24"/>
        </w:rPr>
        <w:t>inextricablement</w:t>
      </w:r>
      <w:r w:rsidR="00EC17ED" w:rsidRPr="00641B73">
        <w:rPr>
          <w:rFonts w:cs="Times New Roman"/>
          <w:szCs w:val="24"/>
        </w:rPr>
        <w:t xml:space="preserve"> liée au fait que le droit international est un « petit monde » </w:t>
      </w:r>
      <w:r w:rsidR="00187DE3">
        <w:rPr>
          <w:rFonts w:cs="Times New Roman"/>
          <w:szCs w:val="24"/>
        </w:rPr>
        <w:t>se caractérisant par</w:t>
      </w:r>
      <w:r w:rsidR="000D62F8" w:rsidRPr="00641B73">
        <w:rPr>
          <w:rFonts w:cs="Times New Roman"/>
          <w:szCs w:val="24"/>
        </w:rPr>
        <w:t xml:space="preserve"> des circulations de </w:t>
      </w:r>
      <w:r w:rsidR="000D62F8" w:rsidRPr="00187DE3">
        <w:rPr>
          <w:rFonts w:cs="Times New Roman"/>
          <w:szCs w:val="24"/>
        </w:rPr>
        <w:t>personne</w:t>
      </w:r>
      <w:r w:rsidR="00187DE3">
        <w:rPr>
          <w:rFonts w:cs="Times New Roman"/>
          <w:szCs w:val="24"/>
        </w:rPr>
        <w:t>s</w:t>
      </w:r>
      <w:r w:rsidR="009E7DB6">
        <w:rPr>
          <w:rFonts w:cs="Times New Roman"/>
          <w:szCs w:val="24"/>
        </w:rPr>
        <w:t>. Ce phénomène, qui relève de la sociologie voire de l’anthropologie du droit, facilite l’échange et la reprise d’idées et concepts entre juges. Il ne semble toutefois pas devoir être spécifique à la matière des mesures provisoires, de sorte que les convergences observables à leur propos peuvent également être analysées de manière plus large.</w:t>
      </w:r>
    </w:p>
    <w:p w14:paraId="15E29FB2" w14:textId="5A05F24F" w:rsidR="00EC17ED" w:rsidRPr="00641B73" w:rsidRDefault="00EC17ED" w:rsidP="00980CCF">
      <w:pPr>
        <w:numPr>
          <w:ilvl w:val="0"/>
          <w:numId w:val="0"/>
        </w:numPr>
        <w:spacing w:line="276" w:lineRule="auto"/>
        <w:rPr>
          <w:rFonts w:cs="Times New Roman"/>
          <w:szCs w:val="24"/>
        </w:rPr>
      </w:pPr>
    </w:p>
    <w:p w14:paraId="312DADDF" w14:textId="29B54BA0" w:rsidR="00EC17ED" w:rsidRPr="00641B73" w:rsidRDefault="00EC17ED" w:rsidP="00980CCF">
      <w:pPr>
        <w:pStyle w:val="Paragraphedeliste"/>
        <w:numPr>
          <w:ilvl w:val="0"/>
          <w:numId w:val="21"/>
        </w:numPr>
        <w:spacing w:line="276" w:lineRule="auto"/>
        <w:rPr>
          <w:rFonts w:cs="Times New Roman"/>
          <w:b/>
          <w:bCs/>
          <w:szCs w:val="24"/>
        </w:rPr>
      </w:pPr>
      <w:r w:rsidRPr="00641B73">
        <w:rPr>
          <w:rFonts w:cs="Times New Roman"/>
          <w:b/>
          <w:bCs/>
          <w:szCs w:val="24"/>
        </w:rPr>
        <w:t>Une adaptation collective aux tendances du droit international</w:t>
      </w:r>
    </w:p>
    <w:p w14:paraId="6D88E5CF" w14:textId="77777777" w:rsidR="005E50BB" w:rsidRPr="00641B73" w:rsidRDefault="005E50BB" w:rsidP="00980CCF">
      <w:pPr>
        <w:numPr>
          <w:ilvl w:val="0"/>
          <w:numId w:val="0"/>
        </w:numPr>
        <w:spacing w:line="276" w:lineRule="auto"/>
        <w:rPr>
          <w:rFonts w:cs="Times New Roman"/>
          <w:szCs w:val="24"/>
        </w:rPr>
      </w:pPr>
    </w:p>
    <w:p w14:paraId="6FE2CDB6" w14:textId="65ED2F20" w:rsidR="00EC17ED" w:rsidRPr="00641B73" w:rsidRDefault="009E7DB6" w:rsidP="00980CCF">
      <w:pPr>
        <w:numPr>
          <w:ilvl w:val="0"/>
          <w:numId w:val="0"/>
        </w:numPr>
        <w:spacing w:line="276" w:lineRule="auto"/>
        <w:rPr>
          <w:rFonts w:cs="Times New Roman"/>
          <w:szCs w:val="24"/>
        </w:rPr>
      </w:pPr>
      <w:r>
        <w:rPr>
          <w:rFonts w:cs="Times New Roman"/>
          <w:szCs w:val="24"/>
        </w:rPr>
        <w:t>Deux</w:t>
      </w:r>
      <w:r w:rsidR="00BC13EC" w:rsidRPr="00641B73">
        <w:rPr>
          <w:rFonts w:cs="Times New Roman"/>
          <w:szCs w:val="24"/>
        </w:rPr>
        <w:t xml:space="preserve"> phénomènes </w:t>
      </w:r>
      <w:r>
        <w:rPr>
          <w:rFonts w:cs="Times New Roman"/>
          <w:szCs w:val="24"/>
        </w:rPr>
        <w:t xml:space="preserve">distincts </w:t>
      </w:r>
      <w:r w:rsidR="00BC13EC" w:rsidRPr="00641B73">
        <w:rPr>
          <w:rFonts w:cs="Times New Roman"/>
          <w:szCs w:val="24"/>
        </w:rPr>
        <w:t>favorisant une certaine circulation des normes</w:t>
      </w:r>
      <w:r>
        <w:rPr>
          <w:rFonts w:cs="Times New Roman"/>
          <w:szCs w:val="24"/>
        </w:rPr>
        <w:t xml:space="preserve"> relatives aux mesures conservatoires et provisoires en droit international peuvent, </w:t>
      </w:r>
      <w:r>
        <w:rPr>
          <w:rFonts w:cs="Times New Roman"/>
          <w:i/>
          <w:iCs/>
          <w:szCs w:val="24"/>
        </w:rPr>
        <w:t>a minima</w:t>
      </w:r>
      <w:r>
        <w:rPr>
          <w:rFonts w:cs="Times New Roman"/>
          <w:szCs w:val="24"/>
        </w:rPr>
        <w:t>, être identifiés.</w:t>
      </w:r>
    </w:p>
    <w:p w14:paraId="7C0C2955" w14:textId="799A944B" w:rsidR="00BC13EC" w:rsidRPr="00641B73" w:rsidRDefault="00BC13EC" w:rsidP="00980CCF">
      <w:pPr>
        <w:numPr>
          <w:ilvl w:val="0"/>
          <w:numId w:val="0"/>
        </w:numPr>
        <w:spacing w:line="276" w:lineRule="auto"/>
        <w:rPr>
          <w:rFonts w:cs="Times New Roman"/>
          <w:szCs w:val="24"/>
        </w:rPr>
      </w:pPr>
    </w:p>
    <w:p w14:paraId="3A37E92C" w14:textId="185DDB62" w:rsidR="00BC13EC" w:rsidRPr="00641B73" w:rsidRDefault="00BC13EC" w:rsidP="00980CCF">
      <w:pPr>
        <w:numPr>
          <w:ilvl w:val="0"/>
          <w:numId w:val="0"/>
        </w:numPr>
        <w:spacing w:line="276" w:lineRule="auto"/>
        <w:rPr>
          <w:rFonts w:cs="Times New Roman"/>
          <w:szCs w:val="24"/>
        </w:rPr>
      </w:pPr>
      <w:r w:rsidRPr="00641B73">
        <w:rPr>
          <w:rFonts w:cs="Times New Roman"/>
          <w:szCs w:val="24"/>
        </w:rPr>
        <w:t xml:space="preserve">Le premier </w:t>
      </w:r>
      <w:r w:rsidR="009E7DB6">
        <w:rPr>
          <w:rFonts w:cs="Times New Roman"/>
          <w:szCs w:val="24"/>
        </w:rPr>
        <w:t>phénomène réside dans</w:t>
      </w:r>
      <w:r w:rsidRPr="00641B73">
        <w:rPr>
          <w:rFonts w:cs="Times New Roman"/>
          <w:szCs w:val="24"/>
        </w:rPr>
        <w:t xml:space="preserve"> l’accroissement des demandes de mesures conservatoires devant certaines juridictions, comme la CIJ, la CEDH même si elles sont rarement accordées, la CJUE ou les tribunaux arbitraux. Cet accroissement</w:t>
      </w:r>
      <w:r w:rsidR="009B634A" w:rsidRPr="00641B73">
        <w:rPr>
          <w:rFonts w:cs="Times New Roman"/>
          <w:szCs w:val="24"/>
        </w:rPr>
        <w:t>, lié parfois aux délais trop longs de jugement qui poussent les parties à tenter d’</w:t>
      </w:r>
      <w:r w:rsidR="00E04254">
        <w:rPr>
          <w:rFonts w:cs="Times New Roman"/>
          <w:szCs w:val="24"/>
        </w:rPr>
        <w:t>obtenir</w:t>
      </w:r>
      <w:r w:rsidR="009B634A" w:rsidRPr="00641B73">
        <w:rPr>
          <w:rFonts w:cs="Times New Roman"/>
          <w:szCs w:val="24"/>
        </w:rPr>
        <w:t xml:space="preserve"> une première « victoire »</w:t>
      </w:r>
      <w:r w:rsidR="009E7DB6">
        <w:rPr>
          <w:rFonts w:cs="Times New Roman"/>
          <w:szCs w:val="24"/>
        </w:rPr>
        <w:t xml:space="preserve"> contentieuse – qui est une victoire diplomatique au regard de la médiatisation, croissante, du contentieux international –</w:t>
      </w:r>
      <w:r w:rsidR="009B634A" w:rsidRPr="00641B73">
        <w:rPr>
          <w:rFonts w:cs="Times New Roman"/>
          <w:szCs w:val="24"/>
        </w:rPr>
        <w:t xml:space="preserve"> à titre conservatoire,</w:t>
      </w:r>
      <w:r w:rsidRPr="00641B73">
        <w:rPr>
          <w:rFonts w:cs="Times New Roman"/>
          <w:szCs w:val="24"/>
        </w:rPr>
        <w:t xml:space="preserve"> tend</w:t>
      </w:r>
      <w:r w:rsidR="009B634A" w:rsidRPr="00641B73">
        <w:rPr>
          <w:rFonts w:cs="Times New Roman"/>
          <w:szCs w:val="24"/>
        </w:rPr>
        <w:t xml:space="preserve"> même</w:t>
      </w:r>
      <w:r w:rsidRPr="00641B73">
        <w:rPr>
          <w:rFonts w:cs="Times New Roman"/>
          <w:szCs w:val="24"/>
        </w:rPr>
        <w:t xml:space="preserve"> à la systématisation pour la CIJ</w:t>
      </w:r>
      <w:r w:rsidR="009E7DB6">
        <w:rPr>
          <w:rStyle w:val="Appelnotedebasdep"/>
          <w:rFonts w:cs="Times New Roman"/>
          <w:szCs w:val="24"/>
        </w:rPr>
        <w:footnoteReference w:id="43"/>
      </w:r>
      <w:r w:rsidR="009E7DB6">
        <w:rPr>
          <w:rFonts w:cs="Times New Roman"/>
          <w:szCs w:val="24"/>
        </w:rPr>
        <w:t xml:space="preserve">. </w:t>
      </w:r>
      <w:r w:rsidR="00E04254">
        <w:rPr>
          <w:rFonts w:cs="Times New Roman"/>
          <w:szCs w:val="24"/>
        </w:rPr>
        <w:t>Il</w:t>
      </w:r>
      <w:r w:rsidR="009B634A" w:rsidRPr="00641B73">
        <w:rPr>
          <w:rFonts w:cs="Times New Roman"/>
          <w:szCs w:val="24"/>
        </w:rPr>
        <w:t xml:space="preserve"> entraîne un mouvement général de densification et de complexification du droit des mesures conservatoires</w:t>
      </w:r>
      <w:r w:rsidR="00E04254">
        <w:rPr>
          <w:rFonts w:cs="Times New Roman"/>
          <w:szCs w:val="24"/>
        </w:rPr>
        <w:t>, de sorte que d</w:t>
      </w:r>
      <w:r w:rsidR="009B634A" w:rsidRPr="00641B73">
        <w:rPr>
          <w:rFonts w:cs="Times New Roman"/>
          <w:szCs w:val="24"/>
        </w:rPr>
        <w:t>e nouvelles questions surviennent</w:t>
      </w:r>
      <w:r w:rsidR="00E04254">
        <w:rPr>
          <w:rFonts w:cs="Times New Roman"/>
          <w:szCs w:val="24"/>
        </w:rPr>
        <w:t xml:space="preserve"> au gré de l’augmentation du contentieux. Le phénomène est tel qu’</w:t>
      </w:r>
      <w:r w:rsidR="009B634A" w:rsidRPr="00641B73">
        <w:rPr>
          <w:rFonts w:cs="Times New Roman"/>
          <w:szCs w:val="24"/>
        </w:rPr>
        <w:t>on en vient</w:t>
      </w:r>
      <w:r w:rsidR="00CE795C" w:rsidRPr="00641B73">
        <w:rPr>
          <w:rFonts w:cs="Times New Roman"/>
          <w:szCs w:val="24"/>
        </w:rPr>
        <w:t xml:space="preserve"> </w:t>
      </w:r>
      <w:r w:rsidR="00E04254">
        <w:rPr>
          <w:rFonts w:cs="Times New Roman"/>
          <w:szCs w:val="24"/>
        </w:rPr>
        <w:t>parfois</w:t>
      </w:r>
      <w:r w:rsidR="009B634A" w:rsidRPr="00641B73">
        <w:rPr>
          <w:rFonts w:cs="Times New Roman"/>
          <w:szCs w:val="24"/>
        </w:rPr>
        <w:t xml:space="preserve"> à se demander où </w:t>
      </w:r>
      <w:r w:rsidR="00E04254">
        <w:rPr>
          <w:rFonts w:cs="Times New Roman"/>
          <w:szCs w:val="24"/>
        </w:rPr>
        <w:t>se situe précisément</w:t>
      </w:r>
      <w:r w:rsidR="009B634A" w:rsidRPr="00641B73">
        <w:rPr>
          <w:rFonts w:cs="Times New Roman"/>
          <w:szCs w:val="24"/>
        </w:rPr>
        <w:t xml:space="preserve"> la frontière entre procédure incidente et procédure principale</w:t>
      </w:r>
      <w:r w:rsidR="00E04254">
        <w:rPr>
          <w:rFonts w:cs="Times New Roman"/>
          <w:szCs w:val="24"/>
        </w:rPr>
        <w:t>, en particulier</w:t>
      </w:r>
      <w:r w:rsidR="009B634A" w:rsidRPr="00641B73">
        <w:rPr>
          <w:rFonts w:cs="Times New Roman"/>
          <w:szCs w:val="24"/>
        </w:rPr>
        <w:t xml:space="preserve"> </w:t>
      </w:r>
      <w:r w:rsidR="00E04254">
        <w:rPr>
          <w:rFonts w:cs="Times New Roman"/>
          <w:szCs w:val="24"/>
        </w:rPr>
        <w:t>dans le contentieux de la</w:t>
      </w:r>
      <w:r w:rsidR="009B634A" w:rsidRPr="00641B73">
        <w:rPr>
          <w:rFonts w:cs="Times New Roman"/>
          <w:szCs w:val="24"/>
        </w:rPr>
        <w:t xml:space="preserve"> CIJ où le contrôle de la compétence </w:t>
      </w:r>
      <w:r w:rsidR="009B634A" w:rsidRPr="00641B73">
        <w:rPr>
          <w:rFonts w:cs="Times New Roman"/>
          <w:i/>
          <w:iCs/>
          <w:szCs w:val="24"/>
        </w:rPr>
        <w:t>prima facie</w:t>
      </w:r>
      <w:r w:rsidR="009B634A" w:rsidRPr="00641B73">
        <w:rPr>
          <w:rFonts w:cs="Times New Roman"/>
          <w:szCs w:val="24"/>
        </w:rPr>
        <w:t xml:space="preserve"> ressemble de plus en plus à celui des exceptions préliminaires – même si elle se réserve la possibilité de se déclarer finalement incompétente, comme elle l’a rappelé en 2021 dans l’affaire </w:t>
      </w:r>
      <w:r w:rsidR="009B634A" w:rsidRPr="00641B73">
        <w:rPr>
          <w:rFonts w:cs="Times New Roman"/>
          <w:i/>
          <w:iCs/>
          <w:szCs w:val="24"/>
        </w:rPr>
        <w:t>Qatar c. Émirats arabes unis</w:t>
      </w:r>
      <w:r w:rsidR="009B634A" w:rsidRPr="002138C1">
        <w:rPr>
          <w:rStyle w:val="Appelnotedebasdep"/>
        </w:rPr>
        <w:footnoteReference w:id="44"/>
      </w:r>
      <w:r w:rsidR="009B634A" w:rsidRPr="00641B73">
        <w:rPr>
          <w:rFonts w:cs="Times New Roman"/>
          <w:szCs w:val="24"/>
        </w:rPr>
        <w:t xml:space="preserve">. </w:t>
      </w:r>
      <w:r w:rsidR="008300F4">
        <w:rPr>
          <w:rFonts w:cs="Times New Roman"/>
          <w:szCs w:val="24"/>
        </w:rPr>
        <w:t>La tendance est également</w:t>
      </w:r>
      <w:r w:rsidR="009B634A" w:rsidRPr="00641B73">
        <w:rPr>
          <w:rFonts w:cs="Times New Roman"/>
          <w:szCs w:val="24"/>
        </w:rPr>
        <w:t xml:space="preserve"> visible devant la CJUE</w:t>
      </w:r>
      <w:r w:rsidR="008300F4">
        <w:rPr>
          <w:rFonts w:cs="Times New Roman"/>
          <w:szCs w:val="24"/>
        </w:rPr>
        <w:t>,</w:t>
      </w:r>
      <w:r w:rsidR="009B634A" w:rsidRPr="00641B73">
        <w:rPr>
          <w:rFonts w:cs="Times New Roman"/>
          <w:szCs w:val="24"/>
        </w:rPr>
        <w:t xml:space="preserve"> où une victoire en référé </w:t>
      </w:r>
      <w:r w:rsidR="008300F4">
        <w:rPr>
          <w:rFonts w:cs="Times New Roman"/>
          <w:szCs w:val="24"/>
        </w:rPr>
        <w:t>constitue</w:t>
      </w:r>
      <w:r w:rsidR="009B634A" w:rsidRPr="00641B73">
        <w:rPr>
          <w:rFonts w:cs="Times New Roman"/>
          <w:szCs w:val="24"/>
        </w:rPr>
        <w:t xml:space="preserve"> </w:t>
      </w:r>
      <w:r w:rsidR="008300F4">
        <w:rPr>
          <w:rFonts w:cs="Times New Roman"/>
          <w:szCs w:val="24"/>
        </w:rPr>
        <w:t>en pratique un</w:t>
      </w:r>
      <w:r w:rsidR="009B634A" w:rsidRPr="00641B73">
        <w:rPr>
          <w:rFonts w:cs="Times New Roman"/>
          <w:szCs w:val="24"/>
        </w:rPr>
        <w:t xml:space="preserve"> signal </w:t>
      </w:r>
      <w:r w:rsidR="008300F4">
        <w:rPr>
          <w:rFonts w:cs="Times New Roman"/>
          <w:szCs w:val="24"/>
        </w:rPr>
        <w:t xml:space="preserve">favorable </w:t>
      </w:r>
      <w:r w:rsidR="009B634A" w:rsidRPr="00641B73">
        <w:rPr>
          <w:rFonts w:cs="Times New Roman"/>
          <w:szCs w:val="24"/>
        </w:rPr>
        <w:t xml:space="preserve">pour la suite de la procédure, de même </w:t>
      </w:r>
      <w:r w:rsidR="008300F4">
        <w:rPr>
          <w:rFonts w:cs="Times New Roman"/>
          <w:szCs w:val="24"/>
        </w:rPr>
        <w:t xml:space="preserve">que </w:t>
      </w:r>
      <w:r w:rsidR="009B634A" w:rsidRPr="00641B73">
        <w:rPr>
          <w:rFonts w:cs="Times New Roman"/>
          <w:szCs w:val="24"/>
        </w:rPr>
        <w:t>devant les tribunaux arbitraux.</w:t>
      </w:r>
      <w:r w:rsidR="00CE795C" w:rsidRPr="00641B73">
        <w:rPr>
          <w:rFonts w:cs="Times New Roman"/>
          <w:szCs w:val="24"/>
        </w:rPr>
        <w:t xml:space="preserve"> En se complexifiant, il semble que le droit des mesures conservatoires de chaque organe </w:t>
      </w:r>
      <w:r w:rsidR="008300F4">
        <w:rPr>
          <w:rFonts w:cs="Times New Roman"/>
          <w:szCs w:val="24"/>
        </w:rPr>
        <w:t>aille</w:t>
      </w:r>
      <w:r w:rsidR="00CE795C" w:rsidRPr="00641B73">
        <w:rPr>
          <w:rFonts w:cs="Times New Roman"/>
          <w:szCs w:val="24"/>
        </w:rPr>
        <w:t xml:space="preserve"> volontiers puiser de nouvelles normes ou de nouvelles interprétations dans les pratiques des autres organes</w:t>
      </w:r>
      <w:r w:rsidR="008300F4">
        <w:rPr>
          <w:rFonts w:cs="Times New Roman"/>
          <w:szCs w:val="24"/>
        </w:rPr>
        <w:t>, ne serait-ce que pour juguler les flux de demandes et aligner des processus proches par volonté de cohérence</w:t>
      </w:r>
      <w:r w:rsidR="00410C12" w:rsidRPr="002138C1">
        <w:rPr>
          <w:rStyle w:val="Appelnotedebasdep"/>
        </w:rPr>
        <w:footnoteReference w:id="45"/>
      </w:r>
      <w:r w:rsidR="00CE795C" w:rsidRPr="00641B73">
        <w:rPr>
          <w:rFonts w:cs="Times New Roman"/>
          <w:szCs w:val="24"/>
        </w:rPr>
        <w:t>.</w:t>
      </w:r>
    </w:p>
    <w:p w14:paraId="739DC20F" w14:textId="062A9F95" w:rsidR="00CE795C" w:rsidRPr="00641B73" w:rsidRDefault="00CE795C" w:rsidP="00980CCF">
      <w:pPr>
        <w:numPr>
          <w:ilvl w:val="0"/>
          <w:numId w:val="0"/>
        </w:numPr>
        <w:spacing w:line="276" w:lineRule="auto"/>
        <w:rPr>
          <w:rFonts w:cs="Times New Roman"/>
          <w:szCs w:val="24"/>
        </w:rPr>
      </w:pPr>
    </w:p>
    <w:p w14:paraId="22AB596F" w14:textId="77777777" w:rsidR="00505954" w:rsidRDefault="00D424E3" w:rsidP="00980CCF">
      <w:pPr>
        <w:numPr>
          <w:ilvl w:val="0"/>
          <w:numId w:val="0"/>
        </w:numPr>
        <w:spacing w:line="276" w:lineRule="auto"/>
        <w:rPr>
          <w:rFonts w:cs="Times New Roman"/>
          <w:szCs w:val="24"/>
        </w:rPr>
      </w:pPr>
      <w:r>
        <w:rPr>
          <w:rFonts w:cs="Times New Roman"/>
          <w:szCs w:val="24"/>
        </w:rPr>
        <w:t xml:space="preserve">Un </w:t>
      </w:r>
      <w:r w:rsidR="00CE795C" w:rsidRPr="00641B73">
        <w:rPr>
          <w:rFonts w:cs="Times New Roman"/>
          <w:szCs w:val="24"/>
        </w:rPr>
        <w:t>deuxième phénomène favorisant la circulation d</w:t>
      </w:r>
      <w:r w:rsidR="00492F37" w:rsidRPr="00641B73">
        <w:rPr>
          <w:rFonts w:cs="Times New Roman"/>
          <w:szCs w:val="24"/>
        </w:rPr>
        <w:t>e</w:t>
      </w:r>
      <w:r w:rsidR="00CE795C" w:rsidRPr="00641B73">
        <w:rPr>
          <w:rFonts w:cs="Times New Roman"/>
          <w:szCs w:val="24"/>
        </w:rPr>
        <w:t xml:space="preserve"> norme</w:t>
      </w:r>
      <w:r>
        <w:rPr>
          <w:rFonts w:cs="Times New Roman"/>
          <w:szCs w:val="24"/>
        </w:rPr>
        <w:t xml:space="preserve"> peut certainement être identifié dans le mouvement</w:t>
      </w:r>
      <w:r w:rsidR="00CE795C" w:rsidRPr="00641B73">
        <w:rPr>
          <w:rFonts w:cs="Times New Roman"/>
          <w:szCs w:val="24"/>
        </w:rPr>
        <w:t xml:space="preserve"> </w:t>
      </w:r>
      <w:r w:rsidRPr="00D424E3">
        <w:rPr>
          <w:rFonts w:cs="Times New Roman"/>
          <w:szCs w:val="24"/>
        </w:rPr>
        <w:t>d</w:t>
      </w:r>
      <w:r w:rsidR="00CE795C" w:rsidRPr="00D424E3">
        <w:rPr>
          <w:rFonts w:cs="Times New Roman"/>
          <w:szCs w:val="24"/>
        </w:rPr>
        <w:t>’humanisation du droit international</w:t>
      </w:r>
      <w:r w:rsidR="00CE795C" w:rsidRPr="00641B73">
        <w:rPr>
          <w:rFonts w:cs="Times New Roman"/>
          <w:szCs w:val="24"/>
        </w:rPr>
        <w:t>, chère au</w:t>
      </w:r>
      <w:r>
        <w:rPr>
          <w:rFonts w:cs="Times New Roman"/>
          <w:szCs w:val="24"/>
        </w:rPr>
        <w:t xml:space="preserve"> regretté</w:t>
      </w:r>
      <w:r w:rsidR="00CE795C" w:rsidRPr="00641B73">
        <w:rPr>
          <w:rFonts w:cs="Times New Roman"/>
          <w:szCs w:val="24"/>
        </w:rPr>
        <w:t xml:space="preserve"> juge </w:t>
      </w:r>
      <w:proofErr w:type="spellStart"/>
      <w:r w:rsidR="00CE795C" w:rsidRPr="00641B73">
        <w:rPr>
          <w:rFonts w:cs="Times New Roman"/>
          <w:szCs w:val="24"/>
        </w:rPr>
        <w:t>Cançado</w:t>
      </w:r>
      <w:proofErr w:type="spellEnd"/>
      <w:r w:rsidR="00CE795C" w:rsidRPr="00641B73">
        <w:rPr>
          <w:rFonts w:cs="Times New Roman"/>
          <w:szCs w:val="24"/>
        </w:rPr>
        <w:t xml:space="preserve"> </w:t>
      </w:r>
      <w:proofErr w:type="spellStart"/>
      <w:r w:rsidR="00CE795C" w:rsidRPr="00641B73">
        <w:rPr>
          <w:rFonts w:cs="Times New Roman"/>
          <w:szCs w:val="24"/>
        </w:rPr>
        <w:t>Trindade</w:t>
      </w:r>
      <w:proofErr w:type="spellEnd"/>
      <w:r w:rsidR="00CE795C" w:rsidRPr="00641B73">
        <w:rPr>
          <w:rFonts w:cs="Times New Roman"/>
          <w:szCs w:val="24"/>
        </w:rPr>
        <w:t xml:space="preserve">. </w:t>
      </w:r>
      <w:r>
        <w:rPr>
          <w:rFonts w:cs="Times New Roman"/>
          <w:szCs w:val="24"/>
        </w:rPr>
        <w:t xml:space="preserve">La dynamique </w:t>
      </w:r>
      <w:r w:rsidR="00CE795C" w:rsidRPr="00641B73">
        <w:rPr>
          <w:rFonts w:cs="Times New Roman"/>
          <w:szCs w:val="24"/>
        </w:rPr>
        <w:t>général</w:t>
      </w:r>
      <w:r>
        <w:rPr>
          <w:rFonts w:cs="Times New Roman"/>
          <w:szCs w:val="24"/>
        </w:rPr>
        <w:t>e</w:t>
      </w:r>
      <w:r w:rsidR="00CE795C" w:rsidRPr="00641B73">
        <w:rPr>
          <w:rFonts w:cs="Times New Roman"/>
          <w:szCs w:val="24"/>
        </w:rPr>
        <w:t xml:space="preserve"> </w:t>
      </w:r>
      <w:r>
        <w:rPr>
          <w:rFonts w:cs="Times New Roman"/>
          <w:szCs w:val="24"/>
        </w:rPr>
        <w:t>tendant, dans le contentieux international, à</w:t>
      </w:r>
      <w:r w:rsidR="00CE795C" w:rsidRPr="00641B73">
        <w:rPr>
          <w:rFonts w:cs="Times New Roman"/>
          <w:szCs w:val="24"/>
        </w:rPr>
        <w:t xml:space="preserve"> un assouplissement</w:t>
      </w:r>
      <w:r>
        <w:rPr>
          <w:rFonts w:cs="Times New Roman"/>
          <w:szCs w:val="24"/>
        </w:rPr>
        <w:t xml:space="preserve"> certain</w:t>
      </w:r>
      <w:r w:rsidR="00CE795C" w:rsidRPr="00641B73">
        <w:rPr>
          <w:rFonts w:cs="Times New Roman"/>
          <w:szCs w:val="24"/>
        </w:rPr>
        <w:t xml:space="preserve"> des conditions d’indication des mesures conservatoires dans le sens d’une meilleure prise en compte des droits humains en cause</w:t>
      </w:r>
      <w:r>
        <w:rPr>
          <w:rFonts w:cs="Times New Roman"/>
          <w:szCs w:val="24"/>
        </w:rPr>
        <w:t xml:space="preserve"> peut être analysée sous cet angle</w:t>
      </w:r>
      <w:r w:rsidR="00CE795C" w:rsidRPr="00641B73">
        <w:rPr>
          <w:rFonts w:cs="Times New Roman"/>
          <w:szCs w:val="24"/>
        </w:rPr>
        <w:t>.</w:t>
      </w:r>
      <w:r>
        <w:rPr>
          <w:rFonts w:cs="Times New Roman"/>
          <w:szCs w:val="24"/>
        </w:rPr>
        <w:t xml:space="preserve"> Très visible devant la CIJ</w:t>
      </w:r>
      <w:r>
        <w:rPr>
          <w:rStyle w:val="Appelnotedebasdep"/>
          <w:rFonts w:cs="Times New Roman"/>
          <w:szCs w:val="24"/>
        </w:rPr>
        <w:footnoteReference w:id="46"/>
      </w:r>
      <w:r>
        <w:rPr>
          <w:rFonts w:cs="Times New Roman"/>
          <w:szCs w:val="24"/>
        </w:rPr>
        <w:t>, l’assouplissement général affecte d’autres juridictions, jusqu’</w:t>
      </w:r>
      <w:r w:rsidR="00CE795C" w:rsidRPr="00641B73">
        <w:rPr>
          <w:rFonts w:cs="Times New Roman"/>
          <w:szCs w:val="24"/>
        </w:rPr>
        <w:t>à la CEDH</w:t>
      </w:r>
      <w:r w:rsidR="005B76E9" w:rsidRPr="00641B73">
        <w:rPr>
          <w:rFonts w:cs="Times New Roman"/>
          <w:szCs w:val="24"/>
        </w:rPr>
        <w:t>. Par exemple</w:t>
      </w:r>
      <w:r w:rsidR="00956C11">
        <w:rPr>
          <w:rFonts w:cs="Times New Roman"/>
          <w:szCs w:val="24"/>
        </w:rPr>
        <w:t>,</w:t>
      </w:r>
      <w:r w:rsidR="005B76E9" w:rsidRPr="00641B73">
        <w:rPr>
          <w:rFonts w:cs="Times New Roman"/>
          <w:szCs w:val="24"/>
        </w:rPr>
        <w:t xml:space="preserve"> le 14 avril 2022, la CEDH a pour la première fois adopté des mesures provisoires pour protéger le droit à être entendu par un tribunal indépendant </w:t>
      </w:r>
      <w:r w:rsidR="00956C11">
        <w:rPr>
          <w:rFonts w:cs="Times New Roman"/>
          <w:szCs w:val="24"/>
        </w:rPr>
        <w:t>reconnu</w:t>
      </w:r>
      <w:r w:rsidR="005B76E9" w:rsidRPr="00641B73">
        <w:rPr>
          <w:rFonts w:cs="Times New Roman"/>
          <w:szCs w:val="24"/>
        </w:rPr>
        <w:t xml:space="preserve"> </w:t>
      </w:r>
      <w:r w:rsidR="00956C11">
        <w:rPr>
          <w:rFonts w:cs="Times New Roman"/>
          <w:szCs w:val="24"/>
        </w:rPr>
        <w:t xml:space="preserve">par </w:t>
      </w:r>
      <w:r w:rsidR="005B76E9" w:rsidRPr="00641B73">
        <w:rPr>
          <w:rFonts w:cs="Times New Roman"/>
          <w:szCs w:val="24"/>
        </w:rPr>
        <w:t xml:space="preserve">l’article 6, alors </w:t>
      </w:r>
      <w:r w:rsidR="00956C11">
        <w:rPr>
          <w:rFonts w:cs="Times New Roman"/>
          <w:szCs w:val="24"/>
        </w:rPr>
        <w:t>même que l’indication de telles mesures n’était</w:t>
      </w:r>
      <w:r w:rsidR="005B76E9" w:rsidRPr="00641B73">
        <w:rPr>
          <w:rFonts w:cs="Times New Roman"/>
          <w:szCs w:val="24"/>
        </w:rPr>
        <w:t xml:space="preserve"> jusqu’ici possible que </w:t>
      </w:r>
      <w:r w:rsidR="00956C11">
        <w:rPr>
          <w:rFonts w:cs="Times New Roman"/>
          <w:szCs w:val="24"/>
        </w:rPr>
        <w:t>s’agissant</w:t>
      </w:r>
      <w:r w:rsidR="005B76E9" w:rsidRPr="00641B73">
        <w:rPr>
          <w:rFonts w:cs="Times New Roman"/>
          <w:szCs w:val="24"/>
        </w:rPr>
        <w:t xml:space="preserve"> </w:t>
      </w:r>
      <w:r w:rsidR="00956C11">
        <w:rPr>
          <w:rFonts w:cs="Times New Roman"/>
          <w:szCs w:val="24"/>
        </w:rPr>
        <w:t>de</w:t>
      </w:r>
      <w:r w:rsidR="005B76E9" w:rsidRPr="00641B73">
        <w:rPr>
          <w:rFonts w:cs="Times New Roman"/>
          <w:szCs w:val="24"/>
        </w:rPr>
        <w:t xml:space="preserve"> situations d’une « gravité exceptionnelle » </w:t>
      </w:r>
      <w:r w:rsidR="00956C11">
        <w:rPr>
          <w:rFonts w:cs="Times New Roman"/>
          <w:szCs w:val="24"/>
        </w:rPr>
        <w:t>relevant généralement des</w:t>
      </w:r>
      <w:r w:rsidR="005B76E9" w:rsidRPr="00641B73">
        <w:rPr>
          <w:rFonts w:cs="Times New Roman"/>
          <w:szCs w:val="24"/>
        </w:rPr>
        <w:t xml:space="preserve"> article</w:t>
      </w:r>
      <w:r w:rsidR="00956C11">
        <w:rPr>
          <w:rFonts w:cs="Times New Roman"/>
          <w:szCs w:val="24"/>
        </w:rPr>
        <w:t>s</w:t>
      </w:r>
      <w:r w:rsidR="005B76E9" w:rsidRPr="00641B73">
        <w:rPr>
          <w:rFonts w:cs="Times New Roman"/>
          <w:szCs w:val="24"/>
        </w:rPr>
        <w:t xml:space="preserve"> 2</w:t>
      </w:r>
      <w:r w:rsidR="00956C11">
        <w:rPr>
          <w:rFonts w:cs="Times New Roman"/>
          <w:szCs w:val="24"/>
        </w:rPr>
        <w:t xml:space="preserve"> ou </w:t>
      </w:r>
      <w:r w:rsidR="005B76E9" w:rsidRPr="00641B73">
        <w:rPr>
          <w:rFonts w:cs="Times New Roman"/>
          <w:szCs w:val="24"/>
        </w:rPr>
        <w:t>3</w:t>
      </w:r>
      <w:r w:rsidR="00956C11">
        <w:rPr>
          <w:rFonts w:cs="Times New Roman"/>
          <w:szCs w:val="24"/>
        </w:rPr>
        <w:t xml:space="preserve"> de la Convention</w:t>
      </w:r>
      <w:r w:rsidR="005B76E9" w:rsidRPr="002138C1">
        <w:rPr>
          <w:rStyle w:val="Appelnotedebasdep"/>
        </w:rPr>
        <w:footnoteReference w:id="47"/>
      </w:r>
      <w:r w:rsidR="005B76E9" w:rsidRPr="00641B73">
        <w:rPr>
          <w:rFonts w:cs="Times New Roman"/>
          <w:szCs w:val="24"/>
        </w:rPr>
        <w:t>.</w:t>
      </w:r>
      <w:r w:rsidR="0040547E" w:rsidRPr="00641B73">
        <w:rPr>
          <w:rFonts w:cs="Times New Roman"/>
          <w:szCs w:val="24"/>
        </w:rPr>
        <w:t xml:space="preserve"> </w:t>
      </w:r>
      <w:r w:rsidR="0063746D">
        <w:rPr>
          <w:rFonts w:cs="Times New Roman"/>
          <w:szCs w:val="24"/>
        </w:rPr>
        <w:t>Il en est de même</w:t>
      </w:r>
      <w:r w:rsidR="00D40BED" w:rsidRPr="00641B73">
        <w:rPr>
          <w:rFonts w:cs="Times New Roman"/>
          <w:szCs w:val="24"/>
        </w:rPr>
        <w:t xml:space="preserve"> </w:t>
      </w:r>
      <w:r w:rsidR="0063746D">
        <w:rPr>
          <w:rFonts w:cs="Times New Roman"/>
          <w:szCs w:val="24"/>
        </w:rPr>
        <w:t>devant la</w:t>
      </w:r>
      <w:r w:rsidR="00D40BED" w:rsidRPr="00641B73">
        <w:rPr>
          <w:rFonts w:cs="Times New Roman"/>
          <w:szCs w:val="24"/>
        </w:rPr>
        <w:t xml:space="preserve"> C</w:t>
      </w:r>
      <w:r w:rsidR="0063746D">
        <w:rPr>
          <w:rFonts w:cs="Times New Roman"/>
          <w:szCs w:val="24"/>
        </w:rPr>
        <w:t xml:space="preserve">JUE, qui fait habituellement </w:t>
      </w:r>
      <w:r w:rsidR="00D40BED" w:rsidRPr="00641B73">
        <w:rPr>
          <w:rFonts w:cs="Times New Roman"/>
          <w:szCs w:val="24"/>
        </w:rPr>
        <w:t>référence au « noyau dur</w:t>
      </w:r>
      <w:r w:rsidR="006676A6" w:rsidRPr="00641B73">
        <w:rPr>
          <w:rFonts w:cs="Times New Roman"/>
          <w:szCs w:val="24"/>
        </w:rPr>
        <w:t xml:space="preserve"> » indérogeable de la Charte des </w:t>
      </w:r>
      <w:r w:rsidR="0063746D">
        <w:rPr>
          <w:rFonts w:cs="Times New Roman"/>
          <w:szCs w:val="24"/>
        </w:rPr>
        <w:t xml:space="preserve">droits fondamentaux </w:t>
      </w:r>
      <w:r w:rsidR="00505954">
        <w:rPr>
          <w:rFonts w:cs="Times New Roman"/>
          <w:szCs w:val="24"/>
        </w:rPr>
        <w:t xml:space="preserve">pour fonder l’indication de mesures </w:t>
      </w:r>
      <w:r w:rsidR="0063746D">
        <w:rPr>
          <w:rFonts w:cs="Times New Roman"/>
          <w:szCs w:val="24"/>
        </w:rPr>
        <w:t>mais a progressivement assoupli sa jurisprudence</w:t>
      </w:r>
      <w:r w:rsidR="00505954">
        <w:rPr>
          <w:rFonts w:cs="Times New Roman"/>
          <w:szCs w:val="24"/>
        </w:rPr>
        <w:t>, notamment concernant le droit à un</w:t>
      </w:r>
      <w:r w:rsidR="0063746D">
        <w:rPr>
          <w:rFonts w:cs="Times New Roman"/>
          <w:szCs w:val="24"/>
        </w:rPr>
        <w:t xml:space="preserve"> tribunal indépendant</w:t>
      </w:r>
      <w:r w:rsidR="00505954">
        <w:rPr>
          <w:rFonts w:cs="Times New Roman"/>
          <w:szCs w:val="24"/>
        </w:rPr>
        <w:t>,</w:t>
      </w:r>
      <w:r w:rsidR="006676A6" w:rsidRPr="00641B73">
        <w:rPr>
          <w:rFonts w:cs="Times New Roman"/>
          <w:szCs w:val="24"/>
        </w:rPr>
        <w:t xml:space="preserve"> </w:t>
      </w:r>
      <w:r w:rsidR="0063746D">
        <w:rPr>
          <w:rFonts w:cs="Times New Roman"/>
          <w:szCs w:val="24"/>
        </w:rPr>
        <w:t xml:space="preserve">pour faire </w:t>
      </w:r>
      <w:proofErr w:type="gramStart"/>
      <w:r w:rsidR="00505954">
        <w:rPr>
          <w:rFonts w:cs="Times New Roman"/>
          <w:szCs w:val="24"/>
        </w:rPr>
        <w:t xml:space="preserve">ces dernières années </w:t>
      </w:r>
      <w:r w:rsidR="0063746D">
        <w:rPr>
          <w:rFonts w:cs="Times New Roman"/>
          <w:szCs w:val="24"/>
        </w:rPr>
        <w:t>droit</w:t>
      </w:r>
      <w:proofErr w:type="gramEnd"/>
      <w:r w:rsidR="0063746D">
        <w:rPr>
          <w:rFonts w:cs="Times New Roman"/>
          <w:szCs w:val="24"/>
        </w:rPr>
        <w:t xml:space="preserve"> à des demandes en référé relatives à des questions de mesures disciplinaires </w:t>
      </w:r>
      <w:r w:rsidR="00505954">
        <w:rPr>
          <w:rFonts w:cs="Times New Roman"/>
          <w:szCs w:val="24"/>
        </w:rPr>
        <w:t>concernant des</w:t>
      </w:r>
      <w:r w:rsidR="0063746D">
        <w:rPr>
          <w:rFonts w:cs="Times New Roman"/>
          <w:szCs w:val="24"/>
        </w:rPr>
        <w:t xml:space="preserve"> juges</w:t>
      </w:r>
      <w:r w:rsidR="00505954">
        <w:rPr>
          <w:rFonts w:cs="Times New Roman"/>
          <w:szCs w:val="24"/>
        </w:rPr>
        <w:t xml:space="preserve">. </w:t>
      </w:r>
    </w:p>
    <w:p w14:paraId="73E25BC6" w14:textId="77777777" w:rsidR="00505954" w:rsidRDefault="00505954" w:rsidP="00980CCF">
      <w:pPr>
        <w:numPr>
          <w:ilvl w:val="0"/>
          <w:numId w:val="0"/>
        </w:numPr>
        <w:spacing w:line="276" w:lineRule="auto"/>
        <w:rPr>
          <w:rFonts w:cs="Times New Roman"/>
          <w:szCs w:val="24"/>
        </w:rPr>
      </w:pPr>
    </w:p>
    <w:p w14:paraId="2C38BA6C" w14:textId="2292C6D3" w:rsidR="00CE795C" w:rsidRPr="00641B73" w:rsidRDefault="0040547E" w:rsidP="00980CCF">
      <w:pPr>
        <w:numPr>
          <w:ilvl w:val="0"/>
          <w:numId w:val="0"/>
        </w:numPr>
        <w:spacing w:line="276" w:lineRule="auto"/>
        <w:rPr>
          <w:rFonts w:cs="Times New Roman"/>
          <w:szCs w:val="24"/>
        </w:rPr>
      </w:pPr>
      <w:r w:rsidRPr="00641B73">
        <w:rPr>
          <w:rFonts w:cs="Times New Roman"/>
          <w:szCs w:val="24"/>
        </w:rPr>
        <w:t>Là encore</w:t>
      </w:r>
      <w:r w:rsidR="00505954">
        <w:rPr>
          <w:rFonts w:cs="Times New Roman"/>
          <w:szCs w:val="24"/>
        </w:rPr>
        <w:t>, il est difficile sinon</w:t>
      </w:r>
      <w:r w:rsidRPr="00641B73">
        <w:rPr>
          <w:rFonts w:cs="Times New Roman"/>
          <w:szCs w:val="24"/>
        </w:rPr>
        <w:t xml:space="preserve"> impossible </w:t>
      </w:r>
      <w:r w:rsidR="00505954">
        <w:rPr>
          <w:rFonts w:cs="Times New Roman"/>
          <w:szCs w:val="24"/>
        </w:rPr>
        <w:t>de dégager</w:t>
      </w:r>
      <w:r w:rsidRPr="00641B73">
        <w:rPr>
          <w:rFonts w:cs="Times New Roman"/>
          <w:szCs w:val="24"/>
        </w:rPr>
        <w:t xml:space="preserve"> un</w:t>
      </w:r>
      <w:r w:rsidR="00505954">
        <w:rPr>
          <w:rFonts w:cs="Times New Roman"/>
          <w:szCs w:val="24"/>
        </w:rPr>
        <w:t xml:space="preserve"> véritable</w:t>
      </w:r>
      <w:r w:rsidRPr="00641B73">
        <w:rPr>
          <w:rFonts w:cs="Times New Roman"/>
          <w:szCs w:val="24"/>
        </w:rPr>
        <w:t xml:space="preserve"> « droit commun des mesures conservatoire »</w:t>
      </w:r>
      <w:r w:rsidR="00505954">
        <w:rPr>
          <w:rFonts w:cs="Times New Roman"/>
          <w:szCs w:val="24"/>
        </w:rPr>
        <w:t xml:space="preserve"> ; néanmoins, </w:t>
      </w:r>
      <w:r w:rsidRPr="00641B73">
        <w:rPr>
          <w:rFonts w:cs="Times New Roman"/>
          <w:szCs w:val="24"/>
        </w:rPr>
        <w:t>une tendance générale qui favorise les normes et interprétations d’un organe contentieux à l’autre</w:t>
      </w:r>
      <w:r w:rsidR="00505954">
        <w:rPr>
          <w:rFonts w:cs="Times New Roman"/>
          <w:szCs w:val="24"/>
        </w:rPr>
        <w:t>, à la faveur d’évolutions nécessairement communes de la société internationale, est certainement décelable.</w:t>
      </w:r>
    </w:p>
    <w:p w14:paraId="50BD2C92" w14:textId="01662361" w:rsidR="0040547E" w:rsidRPr="00641B73" w:rsidRDefault="0040547E" w:rsidP="00980CCF">
      <w:pPr>
        <w:numPr>
          <w:ilvl w:val="0"/>
          <w:numId w:val="0"/>
        </w:numPr>
        <w:spacing w:line="276" w:lineRule="auto"/>
        <w:rPr>
          <w:rFonts w:cs="Times New Roman"/>
          <w:szCs w:val="24"/>
        </w:rPr>
      </w:pPr>
    </w:p>
    <w:p w14:paraId="2F7F2AA4" w14:textId="77777777" w:rsidR="00EC17ED" w:rsidRPr="00641B73" w:rsidRDefault="00EC17ED" w:rsidP="00980CCF">
      <w:pPr>
        <w:numPr>
          <w:ilvl w:val="0"/>
          <w:numId w:val="0"/>
        </w:numPr>
        <w:spacing w:line="276" w:lineRule="auto"/>
        <w:rPr>
          <w:rFonts w:cs="Times New Roman"/>
          <w:szCs w:val="24"/>
        </w:rPr>
      </w:pPr>
    </w:p>
    <w:p w14:paraId="04F79900" w14:textId="77777777" w:rsidR="00EC17ED" w:rsidRPr="00641B73" w:rsidRDefault="00EC17ED" w:rsidP="00980CCF">
      <w:pPr>
        <w:numPr>
          <w:ilvl w:val="0"/>
          <w:numId w:val="0"/>
        </w:numPr>
        <w:spacing w:line="276" w:lineRule="auto"/>
        <w:rPr>
          <w:rFonts w:cs="Times New Roman"/>
          <w:szCs w:val="24"/>
        </w:rPr>
      </w:pPr>
    </w:p>
    <w:p w14:paraId="6CB9138D" w14:textId="77777777" w:rsidR="00C5749B" w:rsidRPr="00641B73" w:rsidRDefault="00C5749B" w:rsidP="00980CCF">
      <w:pPr>
        <w:numPr>
          <w:ilvl w:val="0"/>
          <w:numId w:val="0"/>
        </w:numPr>
        <w:spacing w:line="276" w:lineRule="auto"/>
        <w:rPr>
          <w:rFonts w:cs="Times New Roman"/>
          <w:szCs w:val="24"/>
        </w:rPr>
      </w:pPr>
    </w:p>
    <w:p w14:paraId="7EB1C29C" w14:textId="704B2B52" w:rsidR="00ED153C" w:rsidRPr="00641B73" w:rsidRDefault="00ED153C" w:rsidP="00980CCF">
      <w:pPr>
        <w:pStyle w:val="THESE1"/>
        <w:spacing w:line="276" w:lineRule="auto"/>
      </w:pPr>
    </w:p>
    <w:sectPr w:rsidR="00ED153C" w:rsidRPr="00641B73" w:rsidSect="009E315C">
      <w:footerReference w:type="even" r:id="rId8"/>
      <w:footerReference w:type="default" r:id="rId9"/>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6A46" w14:textId="77777777" w:rsidR="006A0ED2" w:rsidRDefault="006A0ED2" w:rsidP="00570C10">
      <w:pPr>
        <w:spacing w:line="240" w:lineRule="auto"/>
      </w:pPr>
      <w:r>
        <w:separator/>
      </w:r>
    </w:p>
  </w:endnote>
  <w:endnote w:type="continuationSeparator" w:id="0">
    <w:p w14:paraId="26EDFDAF" w14:textId="77777777" w:rsidR="006A0ED2" w:rsidRDefault="006A0ED2" w:rsidP="0057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Droid Sans Fallback">
    <w:panose1 w:val="020B0604020202020204"/>
    <w:charset w:val="00"/>
    <w:family w:val="auto"/>
    <w:pitch w:val="variable"/>
  </w:font>
  <w:font w:name="FreeSans">
    <w:altName w:val="Times New Roman"/>
    <w:panose1 w:val="020B0604020202020204"/>
    <w:charset w:val="00"/>
    <w:family w:val="roman"/>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Corp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5481542"/>
      <w:docPartObj>
        <w:docPartGallery w:val="Page Numbers (Bottom of Page)"/>
        <w:docPartUnique/>
      </w:docPartObj>
    </w:sdtPr>
    <w:sdtContent>
      <w:p w14:paraId="4633F540" w14:textId="153D6FFE" w:rsidR="00EF272B" w:rsidRDefault="00EF272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E0A08C" w14:textId="77777777" w:rsidR="00EF272B" w:rsidRDefault="00EF27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39924822"/>
      <w:docPartObj>
        <w:docPartGallery w:val="Page Numbers (Bottom of Page)"/>
        <w:docPartUnique/>
      </w:docPartObj>
    </w:sdtPr>
    <w:sdtContent>
      <w:p w14:paraId="70FE1B3E" w14:textId="5EFDF900" w:rsidR="00EF272B" w:rsidRDefault="00EF272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84FC75A" w14:textId="77777777" w:rsidR="00EF272B" w:rsidRDefault="00EF2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634E" w14:textId="77777777" w:rsidR="006A0ED2" w:rsidRDefault="006A0ED2" w:rsidP="00F5032B">
      <w:pPr>
        <w:numPr>
          <w:ilvl w:val="0"/>
          <w:numId w:val="0"/>
        </w:numPr>
        <w:spacing w:line="240" w:lineRule="auto"/>
      </w:pPr>
      <w:r>
        <w:separator/>
      </w:r>
    </w:p>
  </w:footnote>
  <w:footnote w:type="continuationSeparator" w:id="0">
    <w:p w14:paraId="7E9DD6B7" w14:textId="77777777" w:rsidR="006A0ED2" w:rsidRDefault="006A0ED2" w:rsidP="00570C10">
      <w:pPr>
        <w:spacing w:line="240" w:lineRule="auto"/>
      </w:pPr>
      <w:r>
        <w:continuationSeparator/>
      </w:r>
    </w:p>
  </w:footnote>
  <w:footnote w:id="1">
    <w:p w14:paraId="7B1C17A0" w14:textId="7153BD4D" w:rsidR="0079649C" w:rsidRPr="00BB1B91" w:rsidRDefault="0079649C" w:rsidP="00BB1B91">
      <w:pPr>
        <w:pStyle w:val="Notedebasdepage"/>
      </w:pPr>
      <w:r w:rsidRPr="002138C1">
        <w:rPr>
          <w:rStyle w:val="Appelnotedebasdep"/>
        </w:rPr>
        <w:footnoteRef/>
      </w:r>
      <w:r w:rsidRPr="00BB1B91">
        <w:t xml:space="preserve"> Maître de conférences en droit public à l’Université de Bourgogne, CREDIMI (EA 7532), CEDIN (EA 382) et CMH (EA 4232). </w:t>
      </w:r>
      <w:r w:rsidR="00663E79">
        <w:t>La forme orale de la communication a été en partie conservée.</w:t>
      </w:r>
    </w:p>
  </w:footnote>
  <w:footnote w:id="2">
    <w:p w14:paraId="7690F686" w14:textId="377CBAB1" w:rsidR="00980CCF" w:rsidRDefault="00980CCF">
      <w:pPr>
        <w:pStyle w:val="Notedebasdepage"/>
      </w:pPr>
      <w:r>
        <w:rPr>
          <w:rStyle w:val="Appelnotedebasdep"/>
        </w:rPr>
        <w:footnoteRef/>
      </w:r>
      <w:r>
        <w:t xml:space="preserve"> La variété des termes employés dans cette phrase témoigne, d’emblée, des distinctions qu’il convient d’opérer et de la nécessité d’une approche critique de leurs convergences et divergences.</w:t>
      </w:r>
    </w:p>
  </w:footnote>
  <w:footnote w:id="3">
    <w:p w14:paraId="13FFC6EF" w14:textId="76F3B9DA" w:rsidR="00A21A04" w:rsidRDefault="00A21A04">
      <w:pPr>
        <w:pStyle w:val="Notedebasdepage"/>
      </w:pPr>
      <w:r>
        <w:rPr>
          <w:rStyle w:val="Appelnotedebasdep"/>
        </w:rPr>
        <w:footnoteRef/>
      </w:r>
      <w:r>
        <w:t xml:space="preserve"> </w:t>
      </w:r>
      <w:r>
        <w:fldChar w:fldCharType="begin"/>
      </w:r>
      <w:r>
        <w:instrText xml:space="preserve"> ADDIN ZOTERO_ITEM CSL_CITATION {"citationID":"Mp4sUSVk","properties":{"custom":"Cette id\\uc0\\u233{}e a notamment \\uc0\\u233{}t\\uc0\\u233{} d\\uc0\\u233{}velopp\\uc0\\u233{}e, s'agissant de la Cour internationale de justice, dans MAUREL Rapha\\uc0\\u235{}l, \\uc0\\u171{} La contribution de l\\uc0\\u8217{}ordonnance Gambie c. Myanmar \\uc0\\u224{} l\\uc0\\u8217{}\\uc0\\u233{}laboration d\\uc0\\u8217{}un droit des mesures conservatoires \\uc0\\u187{}, {\\i{}Revue du CMH}, n\\uc0\\u176{}20, 2020, pp. 97-117.","formattedCitation":"Cette id\\uc0\\u233{}e a notamment \\uc0\\u233{}t\\uc0\\u233{} d\\uc0\\u233{}velopp\\uc0\\u233{}e, s'agissant de la Cour internationale de justice, dans MAUREL Rapha\\uc0\\u235{}l, \\uc0\\u171{} La contribution de l\\uc0\\u8217{}ordonnance Gambie c. Myanmar \\uc0\\u224{} l\\uc0\\u8217{}\\uc0\\u233{}laboration d\\uc0\\u8217{}un droit des mesures conservatoires \\uc0\\u187{}, {\\i{}Revue du CMH}, n\\uc0\\u176{}20, 2020, pp. 97-117.","plainCitation":"Cette idée a notamment été développée, s'agissant de la Cour internationale de justice, dans MAUREL Raphaël, « La contribution de l’ordonnance Gambie c. Myanmar à l’élaboration d’un droit des mesures conservatoires », Revue du CMH, n°20, 2020, pp. 97-117.","noteIndex":2},"citationItems":[{"id":2,"uris":["http://zotero.org/users/10892933/items/WD782D5R"],"itemData":{"id":2,"type":"article-journal","container-title":"La Revue du Centre Michel de L'Hospital","DOI":"10.52497/revue-cmh.121","ISSN":"2273872X","journalAbbreviation":"revue-cmh","license":"All rights reserved","source":"DOI.org (Crossref)","title":"La contribution de l’ordonnance Gambie c. Myanmar à l’élaboration d’un droit des mesures conservatoires","URL":"https://revues-msh.uca.fr/revue-cmh/index.php?id=121","author":[{"family":"Maurel","given":"Raphaël"}],"accessed":{"date-parts":[["2023",1,10]]},"issued":{"date-parts":[["2020",3,1]]}}}],"schema":"https://github.com/citation-style-language/schema/raw/master/csl-citation.json"} </w:instrText>
      </w:r>
      <w:r>
        <w:fldChar w:fldCharType="separate"/>
      </w:r>
      <w:r w:rsidRPr="00A21A04">
        <w:rPr>
          <w:rFonts w:cs="Times New Roman"/>
        </w:rPr>
        <w:t>Cette idée a notamment été développée, s'agissant de la Cour internationale de justice, dans MAUREL Raphaël, « La contribution de l’ordonnance</w:t>
      </w:r>
      <w:r w:rsidRPr="00A21A04">
        <w:rPr>
          <w:rFonts w:cs="Times New Roman"/>
          <w:i/>
          <w:iCs/>
        </w:rPr>
        <w:t xml:space="preserve"> Gambie c. Myanmar</w:t>
      </w:r>
      <w:r w:rsidRPr="00A21A04">
        <w:rPr>
          <w:rFonts w:cs="Times New Roman"/>
        </w:rPr>
        <w:t xml:space="preserve"> à l’élaboration d’un droit des mesures conservatoires », </w:t>
      </w:r>
      <w:r w:rsidRPr="00A21A04">
        <w:rPr>
          <w:rFonts w:cs="Times New Roman"/>
          <w:i/>
          <w:iCs/>
        </w:rPr>
        <w:t>Revue du CMH</w:t>
      </w:r>
      <w:r w:rsidRPr="00A21A04">
        <w:rPr>
          <w:rFonts w:cs="Times New Roman"/>
        </w:rPr>
        <w:t>, n°20, 2020, pp. 97-117.</w:t>
      </w:r>
      <w:r>
        <w:fldChar w:fldCharType="end"/>
      </w:r>
    </w:p>
  </w:footnote>
  <w:footnote w:id="4">
    <w:p w14:paraId="55AB78ED" w14:textId="13E8DD34" w:rsidR="00EA1A79" w:rsidRDefault="00EA1A79">
      <w:pPr>
        <w:pStyle w:val="Notedebasdepage"/>
      </w:pPr>
      <w:r w:rsidRPr="002138C1">
        <w:rPr>
          <w:rStyle w:val="Appelnotedebasdep"/>
        </w:rPr>
        <w:footnoteRef/>
      </w:r>
      <w:r>
        <w:t xml:space="preserve"> </w:t>
      </w:r>
      <w:r>
        <w:fldChar w:fldCharType="begin"/>
      </w:r>
      <w:r w:rsidR="001741A7">
        <w:instrText xml:space="preserve"> ADDIN ZOTERO_ITEM CSL_CITATION {"citationID":"Y9nR3Z0w","properties":{"formattedCitation":"\\uc0\\u171{}\\uc0\\u160{}Statut de la Cour internationale de justice, 26 juin 1945.\\uc0\\u160{}\\uc0\\u187{}","plainCitation":"« Statut de la Cour internationale de justice, 26 juin 1945. »","dontUpdate":true,"noteIndex":2},"citationItems":[{"id":3727,"uris":["http://zotero.org/users/10892933/items/37F3C2UV"],"itemData":{"id":3727,"type":"legislation","title":"Statut de la Cour internationale de justice, 26 juin 1945.","title-short":"Statut CIJ","URL":"https://legal.un.org/avl/pdf/ha/sicj/icj_statute_f.pdf"}}],"schema":"https://github.com/citation-style-language/schema/raw/master/csl-citation.json"} </w:instrText>
      </w:r>
      <w:r>
        <w:fldChar w:fldCharType="separate"/>
      </w:r>
      <w:r w:rsidRPr="00EA1A79">
        <w:rPr>
          <w:rFonts w:cs="Times New Roman"/>
        </w:rPr>
        <w:t>Statut de la Cour internationale de justice, 26 juin 1945</w:t>
      </w:r>
      <w:r>
        <w:rPr>
          <w:rFonts w:cs="Times New Roman"/>
        </w:rPr>
        <w:t>, article 41</w:t>
      </w:r>
      <w:r w:rsidRPr="00EA1A79">
        <w:rPr>
          <w:rFonts w:cs="Times New Roman"/>
        </w:rPr>
        <w:t>. </w:t>
      </w:r>
      <w:r>
        <w:fldChar w:fldCharType="end"/>
      </w:r>
      <w:r>
        <w:t xml:space="preserve"> </w:t>
      </w:r>
    </w:p>
  </w:footnote>
  <w:footnote w:id="5">
    <w:p w14:paraId="04BBA4CC" w14:textId="51536953" w:rsidR="00EA1A79" w:rsidRDefault="00EA1A79">
      <w:pPr>
        <w:pStyle w:val="Notedebasdepage"/>
      </w:pPr>
      <w:r w:rsidRPr="002138C1">
        <w:rPr>
          <w:rStyle w:val="Appelnotedebasdep"/>
        </w:rPr>
        <w:footnoteRef/>
      </w:r>
      <w:r>
        <w:t xml:space="preserve"> </w:t>
      </w:r>
      <w:r>
        <w:fldChar w:fldCharType="begin"/>
      </w:r>
      <w:r w:rsidR="001741A7">
        <w:instrText xml:space="preserve"> ADDIN ZOTERO_ITEM CSL_CITATION {"citationID":"M9kC7GsB","properties":{"custom":"Statut du Tribunal international du droit de la mer (annexe VI \\uc0\\u224{} la Convention des Nations Unies sur le droit de la mer), entr\\uc0\\u233{} en vigueur le 16 novembre 1994, article 25.","formattedCitation":"Statut du Tribunal international du droit de la mer (annexe VI \\uc0\\u224{} la Convention des Nations Unies sur le droit de la mer), entr\\uc0\\u233{} en vigueur le 16 novembre 1994, article 25.","plainCitation":"Statut du Tribunal international du droit de la mer (annexe VI à la Convention des Nations Unies sur le droit de la mer), entré en vigueur le 16 novembre 1994, article 25.","noteIndex":3},"citationItems":[{"id":3725,"uris":["http://zotero.org/users/10892933/items/JQIWCAJK"],"itemData":{"id":3725,"type":"legislation","title":"Statut du Tribunal international du droit de la mer (annexe VI à la Convention des Nations Unies sur le droit de la mer), entré en vigueur le 16 novembre 1994","title-short":"Statut TIDM"}}],"schema":"https://github.com/citation-style-language/schema/raw/master/csl-citation.json"} </w:instrText>
      </w:r>
      <w:r>
        <w:fldChar w:fldCharType="separate"/>
      </w:r>
      <w:r w:rsidRPr="00EA1A79">
        <w:rPr>
          <w:rFonts w:cs="Times New Roman"/>
        </w:rPr>
        <w:t>Statut du Tribunal international du droit de la mer (annexe VI à la Convention des Nations Unies sur le droit de la mer), entré en vigueur le 16 novembre 1994, article 25.</w:t>
      </w:r>
      <w:r>
        <w:fldChar w:fldCharType="end"/>
      </w:r>
    </w:p>
  </w:footnote>
  <w:footnote w:id="6">
    <w:p w14:paraId="674A1127" w14:textId="0D19EE4B" w:rsidR="001741A7" w:rsidRDefault="001741A7">
      <w:pPr>
        <w:pStyle w:val="Notedebasdepage"/>
      </w:pPr>
      <w:r>
        <w:rPr>
          <w:rStyle w:val="Appelnotedebasdep"/>
        </w:rPr>
        <w:footnoteRef/>
      </w:r>
      <w:r>
        <w:t xml:space="preserve"> </w:t>
      </w:r>
      <w:r>
        <w:fldChar w:fldCharType="begin"/>
      </w:r>
      <w:r>
        <w:instrText xml:space="preserve"> ADDIN ZOTERO_ITEM CSL_CITATION {"citationID":"M9n0Vnmb","properties":{"formattedCitation":"\\uc0\\u171{}\\uc0\\u160{}Convention pour le r\\uc0\\u232{}glement des diff\\uc0\\u233{}rends relatifs aux investissements entre \\uc0\\u201{}tats et ressortissants d\\uc0\\u8217{}autres \\uc0\\u201{}tats, Washington, 18 mars 1965, entr\\uc0\\u233{}e en vigueur le 14 octobre 1966.\\uc0\\u160{}\\uc0\\u187{}","plainCitation":"« Convention pour le règlement des différends relatifs aux investissements entre États et ressortissants d’autres États, Washington, 18 mars 1965, entrée en vigueur le 14 octobre 1966. »","noteIndex":4},"citationItems":[{"id":3737,"uris":["http://zotero.org/users/10892933/items/ESWAVMHQ"],"itemData":{"id":3737,"type":"legislation","abstract":"Convention CIRDI","title":"Convention pour le règlement des différends relatifs aux investissements entre États et ressortissants d'autres États, Washington, 18 mars 1965, entrée en vigueur le 14 octobre 1966."}}],"schema":"https://github.com/citation-style-language/schema/raw/master/csl-citation.json"} </w:instrText>
      </w:r>
      <w:r>
        <w:fldChar w:fldCharType="separate"/>
      </w:r>
      <w:r w:rsidRPr="001741A7">
        <w:rPr>
          <w:rFonts w:cs="Times New Roman"/>
        </w:rPr>
        <w:t>Convention pour le règlement des différends relatifs aux investissements entre États et ressortissants d’autres États, Washington, 18 mars 1965, entrée en vigueur le 14 octobre 1966</w:t>
      </w:r>
      <w:r>
        <w:rPr>
          <w:rFonts w:cs="Times New Roman"/>
        </w:rPr>
        <w:t>, article 47</w:t>
      </w:r>
      <w:r>
        <w:fldChar w:fldCharType="end"/>
      </w:r>
      <w:r>
        <w:t>.</w:t>
      </w:r>
    </w:p>
  </w:footnote>
  <w:footnote w:id="7">
    <w:p w14:paraId="2EBA3640" w14:textId="4AF4ECD4" w:rsidR="001741A7" w:rsidRDefault="001741A7">
      <w:pPr>
        <w:pStyle w:val="Notedebasdepage"/>
      </w:pPr>
      <w:r>
        <w:rPr>
          <w:rStyle w:val="Appelnotedebasdep"/>
        </w:rPr>
        <w:footnoteRef/>
      </w:r>
      <w:r>
        <w:t xml:space="preserve"> </w:t>
      </w:r>
      <w:r>
        <w:fldChar w:fldCharType="begin"/>
      </w:r>
      <w:r>
        <w:instrText xml:space="preserve"> ADDIN ZOTERO_ITEM CSL_CITATION {"citationID":"bHBXHIqq","properties":{"formattedCitation":"\\uc0\\u171{}\\uc0\\u160{}R\\uc0\\u232{}glement CEDH\\uc0\\u160{}\\uc0\\u187{}.","plainCitation":"« Règlement CEDH ».","noteIndex":4},"citationItems":[{"id":3751,"uris":["http://zotero.org/users/10892933/items/RGAC2Z5J"],"itemData":{"id":3751,"type":"legislation","title":"Règlement de la Cour européenne des droits de l'homme, 23 juin 2023.","title-short":"Règlement CEDH"}}],"schema":"https://github.com/citation-style-language/schema/raw/master/csl-citation.json"} </w:instrText>
      </w:r>
      <w:r>
        <w:fldChar w:fldCharType="separate"/>
      </w:r>
      <w:r w:rsidRPr="001741A7">
        <w:rPr>
          <w:rFonts w:cs="Times New Roman"/>
        </w:rPr>
        <w:t>Règlement de la Cour européenne des droits de l'homme, 23 juin 2023</w:t>
      </w:r>
      <w:r>
        <w:rPr>
          <w:rFonts w:cs="Times New Roman"/>
        </w:rPr>
        <w:t>, article 39</w:t>
      </w:r>
      <w:r w:rsidRPr="001741A7">
        <w:rPr>
          <w:rFonts w:cs="Times New Roman"/>
        </w:rPr>
        <w:t>.</w:t>
      </w:r>
      <w:r>
        <w:fldChar w:fldCharType="end"/>
      </w:r>
    </w:p>
  </w:footnote>
  <w:footnote w:id="8">
    <w:p w14:paraId="6C087A25" w14:textId="62F2E217" w:rsidR="001741A7" w:rsidRDefault="001741A7">
      <w:pPr>
        <w:pStyle w:val="Notedebasdepage"/>
      </w:pPr>
      <w:r>
        <w:rPr>
          <w:rStyle w:val="Appelnotedebasdep"/>
        </w:rPr>
        <w:footnoteRef/>
      </w:r>
      <w:r>
        <w:t xml:space="preserve"> </w:t>
      </w:r>
      <w:r>
        <w:fldChar w:fldCharType="begin"/>
      </w:r>
      <w:r>
        <w:instrText xml:space="preserve"> ADDIN ZOTERO_ITEM CSL_CITATION {"citationID":"OgIGzWSk","properties":{"formattedCitation":"\\uc0\\u171{}\\uc0\\u160{}Protocole n\\uc0\\u176{} 3 sur le Statut de la Cour de justice de l\\uc0\\u8217{}Union europ\\uc0\\u233{}enne\\uc0\\u160{}\\uc0\\u187{}.","plainCitation":"« Protocole n° 3 sur le Statut de la Cour de justice de l’Union européenne ».","noteIndex":5},"citationItems":[{"id":3732,"uris":["http://zotero.org/users/10892933/items/Y95Z3FX4"],"itemData":{"id":3732,"type":"legislation","abstract":"Statut CJUE","references":"Version consolidée du Protocole (n° 3) sur le statut de la Cour de justice de l’Union européenne, annexé aux traités, tel que modifié par le règlement (UE, Euratom) n° 741/2012 du Parlement européen et du Conseil, du 11 août 2012 (JO L 228 du 23 août 2012, p. 1), par l’article 9 de l’acte relatif aux conditions d’adhésion à l’Union européenne de la République de Croatie et aux adaptations du traité sur l’Union européenne, du traité sur le fonctionnement de l’Union européenne et du traité instituant la Communauté européenne de l’énergie atomique (JO L 112 du 24 avril 2012, p. 21), par le règlement (UE, Euratom) 2015/2422 du Parlement européen et du Conseil, du 16 décembre 2015 (JO L 341 du 24 décembre 2015, p. 14), par le règlement (UE, Euratom) 2016/1192 du Parlement européen et du Conseil, du 6 juillet 2016, relatif au transfert au Tribunal de la compétence pour statuer, en première instance, sur les litiges entre l’Union européenne et ses agents (JO L 200 du 26 juillet 2016, p. 137), ainsi que par le règlement (UE, Euratom) 2019/629 du Parlement européen et du Conseil, du 17 avril 2019 (JO L 111 du 25 avril 2019, p. 1).","title":"Protocole n° 3 sur le Statut de la Cour de justice de l’Union européenne"}}],"schema":"https://github.com/citation-style-language/schema/raw/master/csl-citation.json"} </w:instrText>
      </w:r>
      <w:r>
        <w:fldChar w:fldCharType="separate"/>
      </w:r>
      <w:r w:rsidRPr="001741A7">
        <w:rPr>
          <w:rFonts w:cs="Times New Roman"/>
        </w:rPr>
        <w:t>Protocole n° 3 sur le Statut de la Cour de justice de l’Union européenne</w:t>
      </w:r>
      <w:r>
        <w:rPr>
          <w:rFonts w:cs="Times New Roman"/>
        </w:rPr>
        <w:t>, article 39</w:t>
      </w:r>
      <w:r w:rsidRPr="001741A7">
        <w:rPr>
          <w:rFonts w:cs="Times New Roman"/>
        </w:rPr>
        <w:t>.</w:t>
      </w:r>
      <w:r>
        <w:fldChar w:fldCharType="end"/>
      </w:r>
    </w:p>
  </w:footnote>
  <w:footnote w:id="9">
    <w:p w14:paraId="257AC6E0" w14:textId="339B8F40" w:rsidR="006F0DCC" w:rsidRDefault="006F0DCC">
      <w:pPr>
        <w:pStyle w:val="Notedebasdepage"/>
      </w:pPr>
      <w:r>
        <w:rPr>
          <w:rStyle w:val="Appelnotedebasdep"/>
        </w:rPr>
        <w:footnoteRef/>
      </w:r>
      <w:r>
        <w:t xml:space="preserve"> </w:t>
      </w:r>
      <w:r>
        <w:fldChar w:fldCharType="begin"/>
      </w:r>
      <w:r>
        <w:instrText xml:space="preserve"> ADDIN ZOTERO_ITEM CSL_CITATION {"citationID":"ZU02ezPT","properties":{"custom":"R\\uc0\\u232{}glement de la Cour interam\\uc0\\u233{}ricaine des droits de l\\uc0\\u8217{}homme, adopt\\uc0\\u233{} par la Cour lors de sa LXXXVe Session ordinaire tenue du 16 au 28 novembre 2009, article 27.","formattedCitation":"R\\uc0\\u232{}glement de la Cour interam\\uc0\\u233{}ricaine des droits de l\\uc0\\u8217{}homme, adopt\\uc0\\u233{} par la Cour lors de sa LXXXVe Session ordinaire tenue du 16 au 28 novembre 2009, article 27.","plainCitation":"Règlement de la Cour interaméricaine des droits de l’homme, adopté par la Cour lors de sa LXXXVe Session ordinaire tenue du 16 au 28 novembre 2009, article 27.","noteIndex":7},"citationItems":[{"id":3753,"uris":["http://zotero.org/users/10892933/items/D5U2NI93"],"itemData":{"id":3753,"type":"legislation","title":"Règlement de la Cour interaméricaine des droits de l'homme, adopté par la Cour lors de sa LXXXVe Session ordinaire tenue du 16 au 28 novembre 2009","URL":"https://www.corteidh.or.cr/sitios/reglamento/nov_2009_fr.pdf"}}],"schema":"https://github.com/citation-style-language/schema/raw/master/csl-citation.json"} </w:instrText>
      </w:r>
      <w:r>
        <w:fldChar w:fldCharType="separate"/>
      </w:r>
      <w:r w:rsidRPr="006F0DCC">
        <w:rPr>
          <w:rFonts w:cs="Times New Roman"/>
        </w:rPr>
        <w:t>Règlement de la Cour interaméricaine des droits de l’homme, adopté par la Cour lors de sa LXXXVe Session ordinaire tenue du 16 au 28 novembre 2009, article 27.</w:t>
      </w:r>
      <w:r>
        <w:fldChar w:fldCharType="end"/>
      </w:r>
    </w:p>
  </w:footnote>
  <w:footnote w:id="10">
    <w:p w14:paraId="37B53D6E" w14:textId="2B38B4E0" w:rsidR="001741A7" w:rsidRDefault="001741A7">
      <w:pPr>
        <w:pStyle w:val="Notedebasdepage"/>
      </w:pPr>
      <w:r>
        <w:rPr>
          <w:rStyle w:val="Appelnotedebasdep"/>
        </w:rPr>
        <w:footnoteRef/>
      </w:r>
      <w:r>
        <w:t xml:space="preserve"> </w:t>
      </w:r>
      <w:r>
        <w:fldChar w:fldCharType="begin"/>
      </w:r>
      <w:r>
        <w:instrText xml:space="preserve"> ADDIN ZOTERO_ITEM CSL_CITATION {"citationID":"yC1M6XCp","properties":{"custom":"Protocole relatif \\uc0\\u224{} la Charte africaine des droits de l\\uc0\\u8217{}homme et des peuples portant cr\\uc0\\u233{}ation d\\uc0\\u8217{}une Cour africaine des droits de l\\uc0\\u8217{}homme et des peuples, 10 juin 1998, entr\\uc0\\u233{} en vigueur le 24 janvier 2004, article 27.","formattedCitation":"Protocole relatif \\uc0\\u224{} la Charte africaine des droits de l\\uc0\\u8217{}homme et des peuples portant cr\\uc0\\u233{}ation d\\uc0\\u8217{}une Cour africaine des droits de l\\uc0\\u8217{}homme et des peuples, 10 juin 1998, entr\\uc0\\u233{} en vigueur le 24 janvier 2004, article 27.","plainCitation":"Protocole relatif à la Charte africaine des droits de l’homme et des peuples portant création d’une Cour africaine des droits de l’homme et des peuples, 10 juin 1998, entré en vigueur le 24 janvier 2004, article 27.","noteIndex":7},"citationItems":[{"id":3746,"uris":["http://zotero.org/users/10892933/items/TVEUUEDY"],"itemData":{"id":3746,"type":"legislation","title":"Protocole relatif à la Charte africaine des droits de l'homme et des peuples portant création d'une Cour africaine des droits de l'homme et des peuples, 10 juin 1998, entré en vigueur le 24 janvier 2004"}}],"schema":"https://github.com/citation-style-language/schema/raw/master/csl-citation.json"} </w:instrText>
      </w:r>
      <w:r>
        <w:fldChar w:fldCharType="separate"/>
      </w:r>
      <w:r w:rsidRPr="001741A7">
        <w:rPr>
          <w:rFonts w:cs="Times New Roman"/>
        </w:rPr>
        <w:t>Protocole relatif à la Charte africaine des droits de l’homme et des peuples portant création d’une Cour africaine des droits de l’homme et des peuples, 10 juin 1998, entré en vigueur le 24 janvier 2004, article 27.</w:t>
      </w:r>
      <w:r>
        <w:fldChar w:fldCharType="end"/>
      </w:r>
    </w:p>
  </w:footnote>
  <w:footnote w:id="11">
    <w:p w14:paraId="63DC0643" w14:textId="60BFF91E" w:rsidR="004C08DA" w:rsidRDefault="004C08DA">
      <w:pPr>
        <w:pStyle w:val="Notedebasdepage"/>
      </w:pPr>
      <w:r>
        <w:rPr>
          <w:rStyle w:val="Appelnotedebasdep"/>
        </w:rPr>
        <w:footnoteRef/>
      </w:r>
      <w:r>
        <w:t xml:space="preserve"> </w:t>
      </w:r>
      <w:r w:rsidRPr="004C08DA">
        <w:t xml:space="preserve">V. </w:t>
      </w:r>
      <w:r>
        <w:t>l</w:t>
      </w:r>
      <w:r w:rsidRPr="004C08DA">
        <w:t xml:space="preserve">'article 35 du Règlement (UE) n° 1215/2012 du Parlement européen et du Conseil du 12 décembre 2012 concernant la compétence judiciaire, la reconnaissance et l'exécution des décisions en matière civile et commerciale, </w:t>
      </w:r>
      <w:r w:rsidRPr="004C08DA">
        <w:rPr>
          <w:i/>
          <w:iCs/>
        </w:rPr>
        <w:t>JOUE</w:t>
      </w:r>
      <w:r w:rsidRPr="004C08DA">
        <w:t xml:space="preserve"> du 20 décembre 2012, L 351/1 : </w:t>
      </w:r>
      <w:r>
        <w:t>« </w:t>
      </w:r>
      <w:r w:rsidRPr="004C08DA">
        <w:t>Les mesures provisoires ou conservatoires prévues par la loi d’un État membre peuvent être demandées aux juridictions de cet État, même si les juridictions d’un autre État membre sont compétentes pour connaître du fond</w:t>
      </w:r>
      <w:r>
        <w:t> »</w:t>
      </w:r>
      <w:r w:rsidRPr="004C08DA">
        <w:t>.</w:t>
      </w:r>
    </w:p>
  </w:footnote>
  <w:footnote w:id="12">
    <w:p w14:paraId="761D9012" w14:textId="02DF9D6C" w:rsidR="005E41CD" w:rsidRDefault="005E41CD">
      <w:pPr>
        <w:pStyle w:val="Notedebasdepage"/>
      </w:pPr>
      <w:r>
        <w:rPr>
          <w:rStyle w:val="Appelnotedebasdep"/>
        </w:rPr>
        <w:footnoteRef/>
      </w:r>
      <w:r>
        <w:t xml:space="preserve"> Dans l’affaire Timor-Leste c. Australie, le délai, semble-t-il record, entre la date du dépôt de la demande et l’indication des mesures fut de </w:t>
      </w:r>
      <w:r w:rsidRPr="005E41CD">
        <w:t>trois mois et dix-sept jours</w:t>
      </w:r>
      <w:r>
        <w:t xml:space="preserve"> (</w:t>
      </w:r>
      <w:r w:rsidRPr="005E41CD">
        <w:t xml:space="preserve">CIJ, </w:t>
      </w:r>
      <w:r w:rsidRPr="005E41CD">
        <w:rPr>
          <w:i/>
          <w:iCs/>
        </w:rPr>
        <w:t>Questions concernant la saisie et la détention de certains documents et données (Timor</w:t>
      </w:r>
      <w:r>
        <w:rPr>
          <w:i/>
          <w:iCs/>
        </w:rPr>
        <w:t>-</w:t>
      </w:r>
      <w:r w:rsidRPr="005E41CD">
        <w:rPr>
          <w:i/>
          <w:iCs/>
        </w:rPr>
        <w:t>Leste c. Australie), mesures conservatoires</w:t>
      </w:r>
      <w:r w:rsidRPr="005E41CD">
        <w:t xml:space="preserve">, ordonnance du 3 mars 2014, </w:t>
      </w:r>
      <w:r w:rsidRPr="005E41CD">
        <w:rPr>
          <w:i/>
          <w:iCs/>
        </w:rPr>
        <w:t>CIJ Rec.</w:t>
      </w:r>
      <w:r w:rsidRPr="005E41CD">
        <w:t xml:space="preserve"> 2014, p. 147</w:t>
      </w:r>
      <w:r>
        <w:t>).</w:t>
      </w:r>
    </w:p>
  </w:footnote>
  <w:footnote w:id="13">
    <w:p w14:paraId="58C81A5C" w14:textId="74EA8556" w:rsidR="005E41CD" w:rsidRDefault="005E41CD">
      <w:pPr>
        <w:pStyle w:val="Notedebasdepage"/>
      </w:pPr>
      <w:r>
        <w:rPr>
          <w:rStyle w:val="Appelnotedebasdep"/>
        </w:rPr>
        <w:footnoteRef/>
      </w:r>
      <w:r>
        <w:t xml:space="preserve"> </w:t>
      </w:r>
      <w:r w:rsidRPr="005E41CD">
        <w:t xml:space="preserve">Communiqué de presse du Greffier de la Cour n°127, 14 février 2011 ; pour un exemple récent de refus d'indiquer de telles mesures et de rappel que leur indication est </w:t>
      </w:r>
      <w:r>
        <w:t>« </w:t>
      </w:r>
      <w:r w:rsidRPr="005E41CD">
        <w:t>exceptionnelle</w:t>
      </w:r>
      <w:r>
        <w:t> »</w:t>
      </w:r>
      <w:r w:rsidRPr="005E41CD">
        <w:t xml:space="preserve">, voir le communiqué de la Cour dans l'affaire </w:t>
      </w:r>
      <w:proofErr w:type="spellStart"/>
      <w:r w:rsidRPr="005E41CD">
        <w:rPr>
          <w:i/>
          <w:iCs/>
        </w:rPr>
        <w:t>Rackete</w:t>
      </w:r>
      <w:proofErr w:type="spellEnd"/>
      <w:r w:rsidRPr="005E41CD">
        <w:rPr>
          <w:i/>
          <w:iCs/>
        </w:rPr>
        <w:t xml:space="preserve"> et autres c. Italie</w:t>
      </w:r>
      <w:r w:rsidRPr="005E41CD">
        <w:t xml:space="preserve"> (requête n°32969/19) : Communiqué de presse du Greffier de la Cour </w:t>
      </w:r>
      <w:proofErr w:type="spellStart"/>
      <w:r w:rsidRPr="005E41CD">
        <w:t>n°CEDH</w:t>
      </w:r>
      <w:proofErr w:type="spellEnd"/>
      <w:r w:rsidRPr="005E41CD">
        <w:t xml:space="preserve"> 240 (2019), 25 juin 2019.</w:t>
      </w:r>
    </w:p>
  </w:footnote>
  <w:footnote w:id="14">
    <w:p w14:paraId="5F4E416F" w14:textId="5999D435" w:rsidR="00B748C1" w:rsidRDefault="00B748C1">
      <w:pPr>
        <w:pStyle w:val="Notedebasdepage"/>
      </w:pPr>
      <w:r>
        <w:rPr>
          <w:rStyle w:val="Appelnotedebasdep"/>
        </w:rPr>
        <w:footnoteRef/>
      </w:r>
      <w:r>
        <w:t xml:space="preserve"> </w:t>
      </w:r>
      <w:r>
        <w:fldChar w:fldCharType="begin"/>
      </w:r>
      <w:r w:rsidR="005E0FC1">
        <w:instrText xml:space="preserve"> ADDIN ZOTERO_ITEM CSL_CITATION {"citationID":"phRR35ca","properties":{"custom":"V. par exemple sur ce point BOR\\uc0\\u201{}-EVENO Val\\uc0\\u233{}rie, \\uc0\\u171{} Les mesures conservatoires dans l\\uc0\\u8217{}affaire du Diff\\uc0\\u233{}rend relatif \\uc0\\u224{} la d\\uc0\\u233{}limitation de la fronti\\uc0\\u232{}re maritime entre le Ghana et la C\\uc0\\u244{}te d\\uc0\\u8217{}Ivoire. TIDM (Chambre sp\\uc0\\u233{}ciale), ordonnance du 25 avril 2015 \\uc0\\u187{}, {\\i{}AFDI}, vol. 61, 2015, pp. 699-724.","formattedCitation":"V. par exemple sur ce point BOR\\uc0\\u201{}-EVENO Val\\uc0\\u233{}rie, \\uc0\\u171{} Les mesures conservatoires dans l\\uc0\\u8217{}affaire du Diff\\uc0\\u233{}rend relatif \\uc0\\u224{} la d\\uc0\\u233{}limitation de la fronti\\uc0\\u232{}re maritime entre le Ghana et la C\\uc0\\u244{}te d\\uc0\\u8217{}Ivoire. TIDM (Chambre sp\\uc0\\u233{}ciale), ordonnance du 25 avril 2015 \\uc0\\u187{}, {\\i{}AFDI}, vol. 61, 2015, pp. 699-724.","plainCitation":"V. par exemple sur ce point BORÉ-EVENO Valérie, « Les mesures conservatoires dans l’affaire du Différend relatif à la délimitation de la frontière maritime entre le Ghana et la Côte d’Ivoire. TIDM (Chambre spéciale), ordonnance du 25 avril 2015 », AFDI, vol. 61, 2015, pp. 699-724.","noteIndex":12},"citationItems":[{"id":814,"uris":["http://zotero.org/users/10892933/items/TW3SDGCW"],"itemData":{"id":814,"type":"article-journal","container-title":"Annuaire français de droit international","DOI":"10.3406/afdi.2015.4958","ISSN":"0066-3085","issue":"1","journalAbbreviation":"afdi","language":"fr","page":"699-724","source":"DOI.org (Crossref)","title":"Les mesures conservatoires dans l’affaire du Différend relatif à la délimitation de la frontière maritime entre le Ghana et la Côte d’Ivoire. TIDM (Chambre spéciale), ordonnance du 25 avril 2015","volume":"61","author":[{"family":"Boré-Eveno","given":"Valérie"}],"issued":{"date-parts":[["2015"]]}}}],"schema":"https://github.com/citation-style-language/schema/raw/master/csl-citation.json"} </w:instrText>
      </w:r>
      <w:r>
        <w:fldChar w:fldCharType="separate"/>
      </w:r>
      <w:r w:rsidR="005E0FC1" w:rsidRPr="005E0FC1">
        <w:rPr>
          <w:rFonts w:cs="Times New Roman"/>
        </w:rPr>
        <w:t xml:space="preserve">V. par exemple sur ce point BORÉ-EVENO Valérie, « Les mesures conservatoires dans l’affaire du Différend relatif à la délimitation de la frontière maritime entre le Ghana et la Côte d’Ivoire. TIDM (Chambre spéciale), ordonnance du 25 avril 2015 », </w:t>
      </w:r>
      <w:r w:rsidR="005E0FC1" w:rsidRPr="005E0FC1">
        <w:rPr>
          <w:rFonts w:cs="Times New Roman"/>
          <w:i/>
          <w:iCs/>
        </w:rPr>
        <w:t>AFDI</w:t>
      </w:r>
      <w:r w:rsidR="005E0FC1" w:rsidRPr="005E0FC1">
        <w:rPr>
          <w:rFonts w:cs="Times New Roman"/>
        </w:rPr>
        <w:t>, vol. 61, 2015, pp. 699-724.</w:t>
      </w:r>
      <w:r>
        <w:fldChar w:fldCharType="end"/>
      </w:r>
    </w:p>
  </w:footnote>
  <w:footnote w:id="15">
    <w:p w14:paraId="32B5C079" w14:textId="32D1A54B" w:rsidR="005E0FC1" w:rsidRDefault="005E0FC1">
      <w:pPr>
        <w:pStyle w:val="Notedebasdepage"/>
      </w:pPr>
      <w:r>
        <w:rPr>
          <w:rStyle w:val="Appelnotedebasdep"/>
        </w:rPr>
        <w:footnoteRef/>
      </w:r>
      <w:r w:rsidR="003A289F">
        <w:t> </w:t>
      </w:r>
      <w:r>
        <w:fldChar w:fldCharType="begin"/>
      </w:r>
      <w:r>
        <w:instrText xml:space="preserve"> ADDIN ZOTERO_ITEM CSL_CITATION {"citationID":"WliNC6Br","properties":{"custom":"EL-AHDAB Jalal, MAINGUY Daniel, {\\i{}Droit de l\\uc0\\u8217{}arbitrage. Th\\uc0\\u233{}orie et pratique}, Paris, LexisNexis, 2021, p. 759.","formattedCitation":"EL-AHDAB Jalal, MAINGUY Daniel, {\\i{}Droit de l\\uc0\\u8217{}arbitrage. Th\\uc0\\u233{}orie et pratique}, Paris, LexisNexis, 2021, p. 759.","plainCitation":"EL-AHDAB Jalal, MAINGUY Daniel, Droit de l’arbitrage. Théorie et pratique, Paris, LexisNexis, 2021, p. 759.","noteIndex":13},"citationItems":[{"id":3756,"uris":["http://zotero.org/users/10892933/items/J6CRWPSH"],"itemData":{"id":3756,"type":"book","call-number":"KJV417 .E43 2021","collection-title":"Manuel","event-place":"Paris","ISBN":"978-2-7110-2437-7","number-of-pages":"1062","publisher":"LexisNexis","publisher-place":"Paris","source":"Library of Congress ISBN","title":"Droit de l'arbitrage. Théorie et pratique","author":[{"family":"El-Ahdab","given":"Jalal"},{"family":"Mainguy","given":"Daniel"}],"issued":{"date-parts":[["2021"]]}}}],"schema":"https://github.com/citation-style-language/schema/raw/master/csl-citation.json"} </w:instrText>
      </w:r>
      <w:r>
        <w:fldChar w:fldCharType="separate"/>
      </w:r>
      <w:r w:rsidRPr="005E0FC1">
        <w:rPr>
          <w:rFonts w:cs="Times New Roman"/>
        </w:rPr>
        <w:t xml:space="preserve">EL-AHDAB Jalal, MAINGUY Daniel, </w:t>
      </w:r>
      <w:r w:rsidRPr="005E0FC1">
        <w:rPr>
          <w:rFonts w:cs="Times New Roman"/>
          <w:i/>
          <w:iCs/>
        </w:rPr>
        <w:t>Droit de l’arbitrage. Théorie et pratique</w:t>
      </w:r>
      <w:r w:rsidRPr="005E0FC1">
        <w:rPr>
          <w:rFonts w:cs="Times New Roman"/>
        </w:rPr>
        <w:t>, Paris, LexisNexis, 2021, p.</w:t>
      </w:r>
      <w:r>
        <w:rPr>
          <w:rFonts w:cs="Times New Roman"/>
        </w:rPr>
        <w:t> </w:t>
      </w:r>
      <w:r w:rsidRPr="005E0FC1">
        <w:rPr>
          <w:rFonts w:cs="Times New Roman"/>
        </w:rPr>
        <w:t>759.</w:t>
      </w:r>
      <w:r>
        <w:fldChar w:fldCharType="end"/>
      </w:r>
    </w:p>
  </w:footnote>
  <w:footnote w:id="16">
    <w:p w14:paraId="7A26CB8B" w14:textId="42AA2F5B" w:rsidR="003A289F" w:rsidRDefault="003A289F">
      <w:pPr>
        <w:pStyle w:val="Notedebasdepage"/>
      </w:pPr>
      <w:r>
        <w:rPr>
          <w:rStyle w:val="Appelnotedebasdep"/>
        </w:rPr>
        <w:footnoteRef/>
      </w:r>
      <w:r>
        <w:t> Sur la plausibilité, v. notamment MAUREL Raphaël, « </w:t>
      </w:r>
      <w:r w:rsidRPr="005E0FC1">
        <w:t>La confirmation des évolutions récentes du droit des mesures conservatoires par et devant la Cour internationale de Justice</w:t>
      </w:r>
      <w:r w:rsidR="00A302C4">
        <w:t> </w:t>
      </w:r>
      <w:r w:rsidRPr="005E0FC1">
        <w:t>: remarques sur les ordonnances en indication de mesures conservatoires du 7 décembre 2021 dans les affaires relatives à l’Application de la convention internationale sur l’élimination de toutes les formes de discrimination raciale (</w:t>
      </w:r>
      <w:r w:rsidRPr="005E0FC1">
        <w:rPr>
          <w:i/>
          <w:iCs/>
        </w:rPr>
        <w:t>Arménie c. Azerbaïdjan</w:t>
      </w:r>
      <w:r w:rsidRPr="005E0FC1">
        <w:t xml:space="preserve"> et </w:t>
      </w:r>
      <w:r w:rsidRPr="005E0FC1">
        <w:rPr>
          <w:i/>
          <w:iCs/>
        </w:rPr>
        <w:t>Azerbaïdjan c. Arménie</w:t>
      </w:r>
      <w:r w:rsidRPr="005E0FC1">
        <w:t>)</w:t>
      </w:r>
      <w:r>
        <w:t> »</w:t>
      </w:r>
      <w:r w:rsidRPr="005E0FC1">
        <w:t xml:space="preserve">, </w:t>
      </w:r>
      <w:r w:rsidRPr="005E0FC1">
        <w:rPr>
          <w:i/>
          <w:iCs/>
        </w:rPr>
        <w:t xml:space="preserve">Canadian </w:t>
      </w:r>
      <w:proofErr w:type="spellStart"/>
      <w:r w:rsidRPr="005E0FC1">
        <w:rPr>
          <w:i/>
          <w:iCs/>
        </w:rPr>
        <w:t>Yearbook</w:t>
      </w:r>
      <w:proofErr w:type="spellEnd"/>
      <w:r w:rsidRPr="005E0FC1">
        <w:rPr>
          <w:i/>
          <w:iCs/>
        </w:rPr>
        <w:t xml:space="preserve"> of international Law/Annuaire canadien de droit international</w:t>
      </w:r>
      <w:r w:rsidRPr="005E0FC1">
        <w:t>, vol. 59, 2022, pp. 365-384.</w:t>
      </w:r>
    </w:p>
  </w:footnote>
  <w:footnote w:id="17">
    <w:p w14:paraId="5A4B717C" w14:textId="1B66A7C3" w:rsidR="003A289F" w:rsidRDefault="003A289F">
      <w:pPr>
        <w:pStyle w:val="Notedebasdepage"/>
      </w:pPr>
      <w:r>
        <w:rPr>
          <w:rStyle w:val="Appelnotedebasdep"/>
        </w:rPr>
        <w:footnoteRef/>
      </w:r>
      <w:r>
        <w:t xml:space="preserve"> </w:t>
      </w:r>
      <w:r>
        <w:fldChar w:fldCharType="begin"/>
      </w:r>
      <w:r w:rsidR="00DD3F04">
        <w:instrText xml:space="preserve"> ADDIN ZOTERO_ITEM CSL_CITATION {"citationID":"QZBTuJpE","properties":{"custom":"BLUMANN Claude, DUBOUIS Louis, {\\i{}Droit institutionnel de l\\uc0\\u8217{}Union europ\\uc0\\u233{}enne}, 5\\uc0\\u232{}me \\uc0\\u233{}d., Paris, LexisNexis, 2013, p. 777.","formattedCitation":"BLUMANN Claude, DUBOUIS Louis, {\\i{}Droit institutionnel de l\\uc0\\u8217{}Union europ\\uc0\\u233{}enne}, 5\\uc0\\u232{}me \\uc0\\u233{}d., Paris, LexisNexis, 2013, p. 777.","plainCitation":"BLUMANN Claude, DUBOUIS Louis, Droit institutionnel de l’Union européenne, 5ème éd., Paris, LexisNexis, 2013, p. 777.","noteIndex":16},"citationItems":[{"id":3757,"uris":["http://zotero.org/users/10892933/items/5VVVNLDE"],"itemData":{"id":3757,"type":"book","call-number":"341.242 2","collection-title":"Manuel","edition":"5ème éd.","event-place":"Paris","ISBN":"978-2-7110-1718-8","language":"fre","publisher":"LexisNexis","publisher-place":"Paris","source":"BnF ISBN","title":"Droit institutionnel de l'Union européenne","author":[{"family":"Blumann","given":"Claude"},{"family":"Dubouis","given":"Louis"}],"issued":{"date-parts":[["2013"]]}}}],"schema":"https://github.com/citation-style-language/schema/raw/master/csl-citation.json"} </w:instrText>
      </w:r>
      <w:r>
        <w:fldChar w:fldCharType="separate"/>
      </w:r>
      <w:r w:rsidR="00CC0875" w:rsidRPr="00CC0875">
        <w:rPr>
          <w:rFonts w:cs="Times New Roman"/>
        </w:rPr>
        <w:t xml:space="preserve">BLUMANN Claude, DUBOUIS Louis, </w:t>
      </w:r>
      <w:r w:rsidR="00CC0875" w:rsidRPr="00CC0875">
        <w:rPr>
          <w:rFonts w:cs="Times New Roman"/>
          <w:i/>
          <w:iCs/>
        </w:rPr>
        <w:t>Droit institutionnel de l’Union européenne</w:t>
      </w:r>
      <w:r w:rsidR="00CC0875" w:rsidRPr="00CC0875">
        <w:rPr>
          <w:rFonts w:cs="Times New Roman"/>
        </w:rPr>
        <w:t>, 5ème éd., Paris, LexisNexis, 2013, p. 777.</w:t>
      </w:r>
      <w:r>
        <w:fldChar w:fldCharType="end"/>
      </w:r>
    </w:p>
  </w:footnote>
  <w:footnote w:id="18">
    <w:p w14:paraId="6E05A223" w14:textId="18FA6889" w:rsidR="00017B72" w:rsidRDefault="00017B72">
      <w:pPr>
        <w:pStyle w:val="Notedebasdepage"/>
      </w:pPr>
      <w:r>
        <w:rPr>
          <w:rStyle w:val="Appelnotedebasdep"/>
        </w:rPr>
        <w:footnoteRef/>
      </w:r>
      <w:r>
        <w:t xml:space="preserve"> </w:t>
      </w:r>
      <w:r>
        <w:fldChar w:fldCharType="begin"/>
      </w:r>
      <w:r>
        <w:instrText xml:space="preserve"> ADDIN ZOTERO_ITEM CSL_CITATION {"citationID":"RbeIXn3D","properties":{"formattedCitation":"HENNEBEL Ludovic et TIGROUDJA H\\uc0\\u233{}l\\uc0\\u232{}ne, {\\i{}Trait\\uc0\\u233{} de droit international des droits de l\\uc0\\u8217{}homme}, \\uc0\\u201{}ditions Pedone, 2016.","plainCitation":"HENNEBEL Ludovic et TIGROUDJA Hélène, Traité de droit international des droits de l’homme, Éditions Pedone, 2016.","noteIndex":16},"citationItems":[{"id":3758,"uris":["http://zotero.org/users/10892933/items/TM6M8YEQ"],"itemData":{"id":3758,"type":"book","abstract":"Le droit international des droits de l'homme est devenu, en quelques décennies, un domaine incontournable du droit international public, voire un modèle de référence de la pensée juridique internationaliste. Le saisir dans sa globalité, dans ses nuances et insuffisances ainsi que dans sa pluralité, tel est l'objet du présent ouvrage. Ce dernier retient une méthode globale comparant les divers systèmes de protection, universel et régionaux, et nourrie par l'analyse systématique des textes et des jurisprudences. L'ouvrage est structuré autour de quatre axes principaux. Le premier porte sur les fondements du droit international des droits de l'homme, et met en exergue ses composantes théoriques, sa formation en droit positif ainsi que les rapports qu'il entretient avec les autres branches du droit international public. Le deuxième présente l'ingénierie du droit international des droits de l'homme, et étudie les ressorts de son architecture institutionnelle aux plans universel (Nations Unies) et régionaux (Conseil de l'Europe/Union européenne, Organisation des Etats américains, Union africaine, Ligue des Etats arabes, Association des Etats de l'Asie du Sud-Est), ses mécanismes de protection, ainsi que les modes de contrôle contentieux et non-contentieux. L'interprétation des droits et libertés internationalement garantis forme la troisième partie de l'ouvrage. Y sont étudiées tant les règles qui guident l'interprète dans son office que les interprétations matérielles de chaque droit et liberté dans les différents ensembles de protection. Le quatrième axe porte sur les conséquences juridiques qui naissent de la violation par l'Etat de ses obligations en matière de droits de l'homme, et en particulier sur les réparations des préjudices subis et le suivi des décisions rendues sur la base d'une action contentieuse internationale","call-number":"341.48","event-place":"Paris","ISBN":"978-2-233-00795-7","language":"fre","number-of-pages":"1690","publisher":"Éditions Pedone","publisher-place":"Paris","source":"BnF ISBN","title":"Traité de droit international des droits de l'homme","author":[{"family":"Hennebel","given":"Ludovic"},{"family":"Tigroudja","given":"Hélène"}],"issued":{"date-parts":[["2016"]]}}}],"schema":"https://github.com/citation-style-language/schema/raw/master/csl-citation.json"} </w:instrText>
      </w:r>
      <w:r>
        <w:fldChar w:fldCharType="separate"/>
      </w:r>
      <w:r w:rsidRPr="00017B72">
        <w:rPr>
          <w:rFonts w:cs="Times New Roman"/>
        </w:rPr>
        <w:t xml:space="preserve">HENNEBEL Ludovic et TIGROUDJA Hélène, </w:t>
      </w:r>
      <w:r w:rsidRPr="00017B72">
        <w:rPr>
          <w:rFonts w:cs="Times New Roman"/>
          <w:i/>
          <w:iCs/>
        </w:rPr>
        <w:t>Traité de droit international des droits de l’homme</w:t>
      </w:r>
      <w:r w:rsidRPr="00017B72">
        <w:rPr>
          <w:rFonts w:cs="Times New Roman"/>
        </w:rPr>
        <w:t xml:space="preserve">, </w:t>
      </w:r>
      <w:r>
        <w:rPr>
          <w:rFonts w:cs="Times New Roman"/>
        </w:rPr>
        <w:t xml:space="preserve">Paris, </w:t>
      </w:r>
      <w:r w:rsidRPr="00017B72">
        <w:rPr>
          <w:rFonts w:cs="Times New Roman"/>
        </w:rPr>
        <w:t>Pedone, 2016</w:t>
      </w:r>
      <w:r>
        <w:rPr>
          <w:rFonts w:cs="Times New Roman"/>
        </w:rPr>
        <w:t>, p. 568</w:t>
      </w:r>
      <w:r w:rsidRPr="00017B72">
        <w:rPr>
          <w:rFonts w:cs="Times New Roman"/>
        </w:rPr>
        <w:t>.</w:t>
      </w:r>
      <w:r>
        <w:fldChar w:fldCharType="end"/>
      </w:r>
    </w:p>
  </w:footnote>
  <w:footnote w:id="19">
    <w:p w14:paraId="3AF7E97A" w14:textId="01481A5C" w:rsidR="00E66062" w:rsidRPr="00BB1B91" w:rsidRDefault="00E66062" w:rsidP="00BB1B91">
      <w:pPr>
        <w:pStyle w:val="Notedebasdepage"/>
      </w:pPr>
      <w:r w:rsidRPr="002138C1">
        <w:rPr>
          <w:rStyle w:val="Appelnotedebasdep"/>
        </w:rPr>
        <w:footnoteRef/>
      </w:r>
      <w:r w:rsidRPr="00BB1B91">
        <w:t xml:space="preserve"> </w:t>
      </w:r>
      <w:r w:rsidR="00017B72">
        <w:t xml:space="preserve">V., en ce qui concerne les droits de la personne humaine, </w:t>
      </w:r>
      <w:r w:rsidR="00017B72">
        <w:rPr>
          <w:i/>
          <w:iCs/>
        </w:rPr>
        <w:t>ibid.</w:t>
      </w:r>
      <w:r w:rsidR="00017B72">
        <w:t>, pp.</w:t>
      </w:r>
      <w:r w:rsidRPr="00BB1B91">
        <w:t xml:space="preserve"> 573-</w:t>
      </w:r>
      <w:proofErr w:type="gramStart"/>
      <w:r w:rsidRPr="00BB1B91">
        <w:t>574</w:t>
      </w:r>
      <w:r w:rsidR="00F20313">
        <w:t>.</w:t>
      </w:r>
      <w:r w:rsidR="00977207">
        <w:t>.</w:t>
      </w:r>
      <w:proofErr w:type="gramEnd"/>
    </w:p>
  </w:footnote>
  <w:footnote w:id="20">
    <w:p w14:paraId="7C0708E9" w14:textId="26923409" w:rsidR="005463CA" w:rsidRDefault="005463CA" w:rsidP="005463CA">
      <w:pPr>
        <w:pStyle w:val="Notedebasdepage"/>
      </w:pPr>
      <w:r>
        <w:rPr>
          <w:rStyle w:val="Appelnotedebasdep"/>
        </w:rPr>
        <w:footnoteRef/>
      </w:r>
      <w:r>
        <w:t xml:space="preserve"> CJUE, Ordonnance de la vice-présidente de la Cour du 20 septembre 2021, </w:t>
      </w:r>
      <w:r w:rsidRPr="005463CA">
        <w:rPr>
          <w:i/>
          <w:iCs/>
        </w:rPr>
        <w:t>République tchèque c. Pologne</w:t>
      </w:r>
      <w:r>
        <w:t xml:space="preserve">, </w:t>
      </w:r>
      <w:proofErr w:type="spellStart"/>
      <w:r>
        <w:t>aff.</w:t>
      </w:r>
      <w:proofErr w:type="spellEnd"/>
      <w:r>
        <w:t xml:space="preserve"> C‑121/21 R, </w:t>
      </w:r>
      <w:proofErr w:type="gramStart"/>
      <w:r>
        <w:t>ECLI:</w:t>
      </w:r>
      <w:proofErr w:type="gramEnd"/>
      <w:r>
        <w:t xml:space="preserve">EU:C:2021:752 ; CJUE, Ordonnance du vice-président de la Cour du 27 octobre 2021, </w:t>
      </w:r>
      <w:r w:rsidRPr="005463CA">
        <w:rPr>
          <w:i/>
          <w:iCs/>
        </w:rPr>
        <w:t>Commission c. Pologne</w:t>
      </w:r>
      <w:r>
        <w:t xml:space="preserve">, </w:t>
      </w:r>
      <w:proofErr w:type="spellStart"/>
      <w:r>
        <w:t>aff.</w:t>
      </w:r>
      <w:proofErr w:type="spellEnd"/>
      <w:r>
        <w:t xml:space="preserve"> C‑204/21 R, </w:t>
      </w:r>
      <w:proofErr w:type="gramStart"/>
      <w:r>
        <w:t>ECLI:</w:t>
      </w:r>
      <w:proofErr w:type="gramEnd"/>
      <w:r>
        <w:t>EU:C:2021:878.</w:t>
      </w:r>
    </w:p>
  </w:footnote>
  <w:footnote w:id="21">
    <w:p w14:paraId="4C5B576C" w14:textId="13D0855B" w:rsidR="00F41173" w:rsidRPr="00F41173" w:rsidRDefault="00F41173">
      <w:pPr>
        <w:pStyle w:val="Notedebasdepage"/>
      </w:pPr>
      <w:r>
        <w:rPr>
          <w:rStyle w:val="Appelnotedebasdep"/>
        </w:rPr>
        <w:footnoteRef/>
      </w:r>
      <w:r>
        <w:t xml:space="preserve"> Voir les ordonnances précitées </w:t>
      </w:r>
      <w:r>
        <w:rPr>
          <w:i/>
          <w:iCs/>
        </w:rPr>
        <w:t>ibid</w:t>
      </w:r>
      <w:r>
        <w:t>.</w:t>
      </w:r>
    </w:p>
  </w:footnote>
  <w:footnote w:id="22">
    <w:p w14:paraId="6B12CD74" w14:textId="53CB92FE" w:rsidR="0005217C" w:rsidRDefault="0005217C">
      <w:pPr>
        <w:pStyle w:val="Notedebasdepage"/>
      </w:pPr>
      <w:r>
        <w:rPr>
          <w:rStyle w:val="Appelnotedebasdep"/>
        </w:rPr>
        <w:footnoteRef/>
      </w:r>
      <w:r>
        <w:t xml:space="preserve"> </w:t>
      </w:r>
      <w:r>
        <w:fldChar w:fldCharType="begin"/>
      </w:r>
      <w:r>
        <w:instrText xml:space="preserve"> ADDIN ZOTERO_ITEM CSL_CITATION {"citationID":"VW65nMfg","properties":{"formattedCitation":"CIJ, Application de la convention internationale sur l\\uc0\\u8217{}\\uc0\\u233{}limination de toutes les formes de discrimination raciale (Qatar c. \\uc0\\u201{}mirats arabes unis), mesures conservatoires, ordonnance du 23 juillet 2018, CIJ Rec. 2018, p. 406.","plainCitation":"CIJ, Application de la convention internationale sur l’élimination de toutes les formes de discrimination raciale (Qatar c. Émirats arabes unis), mesures conservatoires, ordonnance du 23 juillet 2018, CIJ Rec. 2018, p. 406.","noteIndex":20},"citationItems":[{"id":3578,"uris":["http://zotero.org/users/10892933/items/BBT2BPIY"],"itemData":{"id":3578,"type":"legal_case","authority":"CIJ, Application de la convention internationale sur l’élimination de toutes les formes de discrimination raciale (Qatar c. Émirats arabes unis), mesures conservatoires, ordonnance du 23 juillet 2018, CIJ Rec. 2018, p. 406","title":"CIJ, Application de la convention internationale sur l’élimination de toutes les formes de discrimination raciale (Qatar c. Émirats arabes unis), mesures conservatoires, ordonnance du 23 juillet 2018, CIJ Rec. 2018, p. 406","URL":"https://www.icj-cij.org/sites/default/files/case-related/172/172-20180723-ORD-01-00-FR.pdf"}}],"schema":"https://github.com/citation-style-language/schema/raw/master/csl-citation.json"} </w:instrText>
      </w:r>
      <w:r>
        <w:fldChar w:fldCharType="separate"/>
      </w:r>
      <w:r w:rsidRPr="0005217C">
        <w:rPr>
          <w:rFonts w:cs="Times New Roman"/>
        </w:rPr>
        <w:t>CIJ,</w:t>
      </w:r>
      <w:r w:rsidRPr="0005217C">
        <w:rPr>
          <w:rFonts w:cs="Times New Roman"/>
          <w:i/>
          <w:iCs/>
        </w:rPr>
        <w:t xml:space="preserve"> Application de la convention internationale sur l’élimination de toutes les formes de discrimination raciale (Qatar c. Émirats arabes unis)</w:t>
      </w:r>
      <w:r w:rsidRPr="0005217C">
        <w:rPr>
          <w:rFonts w:cs="Times New Roman"/>
        </w:rPr>
        <w:t xml:space="preserve">, mesures conservatoires, ordonnance du 23 juillet 2018, </w:t>
      </w:r>
      <w:r w:rsidRPr="0005217C">
        <w:rPr>
          <w:rFonts w:cs="Times New Roman"/>
          <w:i/>
          <w:iCs/>
        </w:rPr>
        <w:t xml:space="preserve">CIJ Rec. </w:t>
      </w:r>
      <w:r w:rsidRPr="0005217C">
        <w:rPr>
          <w:rFonts w:cs="Times New Roman"/>
        </w:rPr>
        <w:t>2018, p. 406.</w:t>
      </w:r>
      <w:r>
        <w:fldChar w:fldCharType="end"/>
      </w:r>
    </w:p>
  </w:footnote>
  <w:footnote w:id="23">
    <w:p w14:paraId="688531BA" w14:textId="5FD4B342" w:rsidR="0005217C" w:rsidRDefault="0005217C" w:rsidP="0005217C">
      <w:pPr>
        <w:pStyle w:val="Notedebasdepage"/>
      </w:pPr>
      <w:r>
        <w:rPr>
          <w:rStyle w:val="Appelnotedebasdep"/>
        </w:rPr>
        <w:footnoteRef/>
      </w:r>
      <w:r>
        <w:t xml:space="preserve"> V. par exemple MAUREL Raphaël, « Remarques sur les ordonnances en indication de mesures conservatoires rendues par la Cour internationale de Justice dans les affaires </w:t>
      </w:r>
      <w:r w:rsidRPr="0005217C">
        <w:rPr>
          <w:i/>
          <w:iCs/>
        </w:rPr>
        <w:t>Qatar c. Émirats arabes unis</w:t>
      </w:r>
      <w:r>
        <w:t xml:space="preserve"> (23 juillet 2018)</w:t>
      </w:r>
    </w:p>
    <w:p w14:paraId="6727467B" w14:textId="74D3EFD4" w:rsidR="0005217C" w:rsidRDefault="0005217C" w:rsidP="0005217C">
      <w:pPr>
        <w:pStyle w:val="Notedebasdepage"/>
      </w:pPr>
      <w:proofErr w:type="gramStart"/>
      <w:r>
        <w:t>et</w:t>
      </w:r>
      <w:proofErr w:type="gramEnd"/>
      <w:r>
        <w:t xml:space="preserve"> </w:t>
      </w:r>
      <w:r w:rsidRPr="0005217C">
        <w:rPr>
          <w:i/>
          <w:iCs/>
        </w:rPr>
        <w:t xml:space="preserve">Iran c. États-Unis d’Amérique </w:t>
      </w:r>
      <w:r>
        <w:t xml:space="preserve">(3 octobre 2018) », </w:t>
      </w:r>
      <w:r w:rsidRPr="0005217C">
        <w:rPr>
          <w:i/>
          <w:iCs/>
        </w:rPr>
        <w:t>Revue du CMH</w:t>
      </w:r>
      <w:r>
        <w:t xml:space="preserve">, n°16, 2018, </w:t>
      </w:r>
      <w:proofErr w:type="spellStart"/>
      <w:r>
        <w:t>spéc</w:t>
      </w:r>
      <w:proofErr w:type="spellEnd"/>
      <w:r>
        <w:t>. pp. 87-89.</w:t>
      </w:r>
    </w:p>
  </w:footnote>
  <w:footnote w:id="24">
    <w:p w14:paraId="58BEDD56" w14:textId="5056173E" w:rsidR="0005217C" w:rsidRDefault="0005217C">
      <w:pPr>
        <w:pStyle w:val="Notedebasdepage"/>
      </w:pPr>
      <w:r>
        <w:rPr>
          <w:rStyle w:val="Appelnotedebasdep"/>
        </w:rPr>
        <w:footnoteRef/>
      </w:r>
      <w:r>
        <w:t xml:space="preserve"> </w:t>
      </w:r>
      <w:r w:rsidRPr="0005217C">
        <w:t xml:space="preserve">CIJ, </w:t>
      </w:r>
      <w:r w:rsidRPr="0005217C">
        <w:rPr>
          <w:i/>
          <w:iCs/>
        </w:rPr>
        <w:t>Application de la convention internationale sur l’élimination de toutes les formes de discrimination raciale (Qatar c. Émirats arabes unis)</w:t>
      </w:r>
      <w:r w:rsidRPr="0005217C">
        <w:t xml:space="preserve">, mesures conservatoires, ordonnance du 14 juin 2019, </w:t>
      </w:r>
      <w:r w:rsidRPr="0005217C">
        <w:rPr>
          <w:i/>
          <w:iCs/>
        </w:rPr>
        <w:t>C.I.J. Rec.</w:t>
      </w:r>
      <w:r w:rsidRPr="0005217C">
        <w:t xml:space="preserve"> 2019, p. 361</w:t>
      </w:r>
      <w:r>
        <w:t>.</w:t>
      </w:r>
    </w:p>
  </w:footnote>
  <w:footnote w:id="25">
    <w:p w14:paraId="6E912A79" w14:textId="48CA0262" w:rsidR="0005217C" w:rsidRDefault="0005217C">
      <w:pPr>
        <w:pStyle w:val="Notedebasdepage"/>
      </w:pPr>
      <w:r>
        <w:rPr>
          <w:rStyle w:val="Appelnotedebasdep"/>
        </w:rPr>
        <w:footnoteRef/>
      </w:r>
      <w:r>
        <w:t xml:space="preserve"> </w:t>
      </w:r>
      <w:r w:rsidRPr="0005217C">
        <w:t xml:space="preserve">CIJ, </w:t>
      </w:r>
      <w:r w:rsidRPr="0005217C">
        <w:rPr>
          <w:i/>
          <w:iCs/>
        </w:rPr>
        <w:t>Application de la convention internationale sur l’élimination de toutes les formes de discrimination raciale (Qatar c. Émirats arabes unis)</w:t>
      </w:r>
      <w:r w:rsidRPr="0005217C">
        <w:t xml:space="preserve">, exceptions préliminaires, arrêt du 4 février 2021, </w:t>
      </w:r>
      <w:r w:rsidRPr="0005217C">
        <w:rPr>
          <w:i/>
          <w:iCs/>
        </w:rPr>
        <w:t xml:space="preserve">C.I.J. Rec. </w:t>
      </w:r>
      <w:r w:rsidRPr="0005217C">
        <w:t>2021, p. 71.</w:t>
      </w:r>
    </w:p>
  </w:footnote>
  <w:footnote w:id="26">
    <w:p w14:paraId="24C33C76" w14:textId="4E809658" w:rsidR="001C1EC4" w:rsidRDefault="001C1EC4">
      <w:pPr>
        <w:pStyle w:val="Notedebasdepage"/>
      </w:pPr>
      <w:r>
        <w:rPr>
          <w:rStyle w:val="Appelnotedebasdep"/>
        </w:rPr>
        <w:footnoteRef/>
      </w:r>
      <w:r>
        <w:t xml:space="preserve"> </w:t>
      </w:r>
      <w:r>
        <w:fldChar w:fldCharType="begin"/>
      </w:r>
      <w:r>
        <w:instrText xml:space="preserve"> ADDIN ZOTERO_ITEM CSL_CITATION {"citationID":"rvCboMgm","properties":{"custom":"BURGORGUE-LARSEN Laurence, {\\i{}Les 3 cours r\\uc0\\u233{}gionales des droits de l\\uc0\\u8217{}homme in context}. La justice qui n'allait pas de soi, Paris, Pedone, 2020 p.\n.","formattedCitation":"BURGORGUE-LARSEN Laurence, {\\i{}Les 3 cours r\\uc0\\u233{}gionales des droits de l\\uc0\\u8217{}homme in context}. La justice qui n'allait pas de soi, Paris, Pedone, 2020 p.\n.","plainCitation":"BURGORGUE-LARSEN Laurence, Les 3 cours régionales des droits de l’homme in context. La justice qui n'allait pas de soi, Paris, Pedone, 2020 p..","noteIndex":25},"citationItems":[{"id":3768,"uris":["http://zotero.org/users/10892933/items/BJEMWHAT"],"itemData":{"id":3768,"type":"book","call-number":"K3240.5 .B87 2020","event-place":"Paris","ISBN":"978-2-233-00955-5","number-of-pages":"588","publisher":"Pedone","publisher-place":"Paris","source":"Library of Congress ISBN","title":"Les 3 cours régionales des droits de l'homme in context. La justice qui n'allait pas de soi.","title-short":"Les 3 cours régionales des droits de l'homme, in context","author":[{"family":"Burgorgue-Larsen","given":"Laurence"}],"issued":{"date-parts":[["2020"]]}}}],"schema":"https://github.com/citation-style-language/schema/raw/master/csl-citation.json"} </w:instrText>
      </w:r>
      <w:r>
        <w:fldChar w:fldCharType="separate"/>
      </w:r>
      <w:r w:rsidRPr="001C1EC4">
        <w:rPr>
          <w:rFonts w:cs="Times New Roman"/>
        </w:rPr>
        <w:t xml:space="preserve">BURGORGUE-LARSEN Laurence, </w:t>
      </w:r>
      <w:r w:rsidRPr="001C1EC4">
        <w:rPr>
          <w:rFonts w:cs="Times New Roman"/>
          <w:i/>
          <w:iCs/>
        </w:rPr>
        <w:t>Les 3 cours régionales des droits de l’homme in context</w:t>
      </w:r>
      <w:r w:rsidRPr="001C1EC4">
        <w:rPr>
          <w:rFonts w:cs="Times New Roman"/>
        </w:rPr>
        <w:t>. La justice qui n'allait pas de soi, Paris, Pedone, 2020 p</w:t>
      </w:r>
      <w:r>
        <w:rPr>
          <w:rFonts w:cs="Times New Roman"/>
        </w:rPr>
        <w:t>. 297, note 52</w:t>
      </w:r>
      <w:r w:rsidRPr="001C1EC4">
        <w:rPr>
          <w:rFonts w:cs="Times New Roman"/>
        </w:rPr>
        <w:t>.</w:t>
      </w:r>
      <w:r>
        <w:fldChar w:fldCharType="end"/>
      </w:r>
    </w:p>
  </w:footnote>
  <w:footnote w:id="27">
    <w:p w14:paraId="2F135F36" w14:textId="68077019" w:rsidR="0074032B" w:rsidRDefault="0074032B">
      <w:pPr>
        <w:pStyle w:val="Notedebasdepage"/>
      </w:pPr>
      <w:r>
        <w:rPr>
          <w:rStyle w:val="Appelnotedebasdep"/>
        </w:rPr>
        <w:footnoteRef/>
      </w:r>
      <w:r>
        <w:t xml:space="preserve"> </w:t>
      </w:r>
      <w:r>
        <w:fldChar w:fldCharType="begin"/>
      </w:r>
      <w:r>
        <w:instrText xml:space="preserve"> ADDIN ZOTERO_ITEM CSL_CITATION {"citationID":"RhK8bmYn","properties":{"formattedCitation":"\\uc0\\u171{}\\uc0\\u160{}Protocole relatif \\uc0\\u224{} la Charte africaine des droits de l\\uc0\\u8217{}homme et des peuples portant cr\\uc0\\u233{}ation d\\uc0\\u8217{}une Cour africaine des droits de l\\uc0\\u8217{}homme et des peuples, 10 juin 1998, entr\\uc0\\u233{} en vigueur le 24 janvier 2004\\uc0\\u160{}\\uc0\\u187{}.","plainCitation":"« Protocole relatif à la Charte africaine des droits de l’homme et des peuples portant création d’une Cour africaine des droits de l’homme et des peuples, 10 juin 1998, entré en vigueur le 24 janvier 2004 ».","noteIndex":25},"citationItems":[{"id":3746,"uris":["http://zotero.org/users/10892933/items/TVEUUEDY"],"itemData":{"id":3746,"type":"legislation","title":"Protocole relatif à la Charte africaine des droits de l'homme et des peuples portant création d'une Cour africaine des droits de l'homme et des peuples, 10 juin 1998, entré en vigueur le 24 janvier 2004"}}],"schema":"https://github.com/citation-style-language/schema/raw/master/csl-citation.json"} </w:instrText>
      </w:r>
      <w:r>
        <w:fldChar w:fldCharType="separate"/>
      </w:r>
      <w:r w:rsidRPr="0074032B">
        <w:rPr>
          <w:rFonts w:cs="Times New Roman"/>
        </w:rPr>
        <w:t xml:space="preserve">Protocole relatif à la Charte africaine des droits de l’homme et des peuples portant création d’une Cour africaine des droits de l’homme et des peuples, </w:t>
      </w:r>
      <w:r>
        <w:rPr>
          <w:rFonts w:cs="Times New Roman"/>
        </w:rPr>
        <w:t>précité, article 27 §2</w:t>
      </w:r>
      <w:r w:rsidRPr="0074032B">
        <w:rPr>
          <w:rFonts w:cs="Times New Roman"/>
        </w:rPr>
        <w:t>.</w:t>
      </w:r>
      <w:r>
        <w:fldChar w:fldCharType="end"/>
      </w:r>
    </w:p>
  </w:footnote>
  <w:footnote w:id="28">
    <w:p w14:paraId="772DEF16" w14:textId="71A5239A" w:rsidR="00036713" w:rsidRDefault="00036713">
      <w:pPr>
        <w:pStyle w:val="Notedebasdepage"/>
      </w:pPr>
      <w:r>
        <w:rPr>
          <w:rStyle w:val="Appelnotedebasdep"/>
        </w:rPr>
        <w:footnoteRef/>
      </w:r>
      <w:r w:rsidR="009315A6">
        <w:t> </w:t>
      </w:r>
      <w:r>
        <w:t>S’appuyant sur le Règlement</w:t>
      </w:r>
      <w:r w:rsidRPr="00036713">
        <w:t xml:space="preserve"> (UE) n° 1215/2012 </w:t>
      </w:r>
      <w:r>
        <w:t>précité, la Cour de cassation française juge ainsi que « </w:t>
      </w:r>
      <w:r w:rsidRPr="00036713">
        <w:t>constituent des mesures provisoires ou conservatoires au sens de l'article 35 [...] les mesures destinées à maintenir une situation de fait ou de droit afin de sauvegarder des droits dont la reconnaissance est par ailleurs demandée au juge du fond, à l'exclusion de celles par lesquelles le demandeur cherche à évaluer l'opportunité d'une action éventuelle, à déterminer le fondement d'une telle action ou encore à apprécier la pertinence des moyens pouvant être invoqués dans ce cadre</w:t>
      </w:r>
      <w:r>
        <w:t xml:space="preserve"> » </w:t>
      </w:r>
      <w:r w:rsidRPr="00036713">
        <w:t xml:space="preserve">(Cass. </w:t>
      </w:r>
      <w:proofErr w:type="spellStart"/>
      <w:r w:rsidRPr="00036713">
        <w:t>Civ</w:t>
      </w:r>
      <w:proofErr w:type="spellEnd"/>
      <w:r w:rsidRPr="00036713">
        <w:t>. 1re, 30 janvier 2019, pourvoi n°17-28992).</w:t>
      </w:r>
    </w:p>
  </w:footnote>
  <w:footnote w:id="29">
    <w:p w14:paraId="20B0E6EC" w14:textId="5450DC9E" w:rsidR="0031602D" w:rsidRPr="00BB1B91" w:rsidRDefault="0031602D" w:rsidP="00BB1B91">
      <w:pPr>
        <w:pStyle w:val="Notedebasdepage"/>
      </w:pPr>
      <w:r w:rsidRPr="002138C1">
        <w:rPr>
          <w:rStyle w:val="Appelnotedebasdep"/>
        </w:rPr>
        <w:footnoteRef/>
      </w:r>
      <w:r w:rsidR="00014118">
        <w:t> </w:t>
      </w:r>
      <w:r w:rsidR="00866BC2">
        <w:fldChar w:fldCharType="begin"/>
      </w:r>
      <w:r w:rsidR="00DD3F04">
        <w:instrText xml:space="preserve"> ADDIN ZOTERO_ITEM CSL_CITATION {"citationID":"mAjSEHu4","properties":{"custom":"BLUMANN Claude, DUBOUIS Louis, {\\i{}Droit institutionnel de l\\uc0\\u8217{}Union europ\\uc0\\u233{}enne}, 5\\uc0\\u232{}me \\uc0\\u233{}d., Paris, LexisNexis, 2013, p. 777.","formattedCitation":"BLUMANN Claude, DUBOUIS Louis, {\\i{}Droit institutionnel de l\\uc0\\u8217{}Union europ\\uc0\\u233{}enne}, 5\\uc0\\u232{}me \\uc0\\u233{}d., Paris, LexisNexis, 2013, p. 777.","plainCitation":"BLUMANN Claude, DUBOUIS Louis, Droit institutionnel de l’Union européenne, 5ème éd., Paris, LexisNexis, 2013, p. 777.","dontUpdate":true,"noteIndex":28},"citationItems":[{"id":3757,"uris":["http://zotero.org/users/10892933/items/5VVVNLDE"],"itemData":{"id":3757,"type":"book","call-number":"341.242 2","collection-title":"Manuel","edition":"5ème éd.","event-place":"Paris","ISBN":"978-2-7110-1718-8","language":"fre","publisher":"LexisNexis","publisher-place":"Paris","source":"BnF ISBN","title":"Droit institutionnel de l'Union européenne","author":[{"family":"Blumann","given":"Claude"},{"family":"Dubouis","given":"Louis"}],"issued":{"date-parts":[["2013"]]}}}],"schema":"https://github.com/citation-style-language/schema/raw/master/csl-citation.json"} </w:instrText>
      </w:r>
      <w:r w:rsidR="00866BC2">
        <w:fldChar w:fldCharType="separate"/>
      </w:r>
      <w:r w:rsidR="00866BC2" w:rsidRPr="00CC0875">
        <w:rPr>
          <w:rFonts w:cs="Times New Roman"/>
        </w:rPr>
        <w:t xml:space="preserve">BLUMANN Claude, DUBOUIS Louis, </w:t>
      </w:r>
      <w:r w:rsidR="00866BC2" w:rsidRPr="00CC0875">
        <w:rPr>
          <w:rFonts w:cs="Times New Roman"/>
          <w:i/>
          <w:iCs/>
        </w:rPr>
        <w:t>Droit institutionnel de l’Union européenne</w:t>
      </w:r>
      <w:r w:rsidR="00866BC2" w:rsidRPr="00CC0875">
        <w:rPr>
          <w:rFonts w:cs="Times New Roman"/>
        </w:rPr>
        <w:t>,</w:t>
      </w:r>
      <w:r w:rsidR="00866BC2">
        <w:rPr>
          <w:rFonts w:cs="Times New Roman"/>
        </w:rPr>
        <w:t xml:space="preserve"> </w:t>
      </w:r>
      <w:r w:rsidR="00866BC2">
        <w:rPr>
          <w:rFonts w:cs="Times New Roman"/>
          <w:i/>
          <w:iCs/>
        </w:rPr>
        <w:t xml:space="preserve">op. </w:t>
      </w:r>
      <w:proofErr w:type="spellStart"/>
      <w:proofErr w:type="gramStart"/>
      <w:r w:rsidR="00866BC2">
        <w:rPr>
          <w:rFonts w:cs="Times New Roman"/>
          <w:i/>
          <w:iCs/>
        </w:rPr>
        <w:t>cit</w:t>
      </w:r>
      <w:proofErr w:type="spellEnd"/>
      <w:proofErr w:type="gramEnd"/>
      <w:r w:rsidR="00866BC2">
        <w:rPr>
          <w:rFonts w:cs="Times New Roman"/>
          <w:i/>
          <w:iCs/>
        </w:rPr>
        <w:t>.</w:t>
      </w:r>
      <w:r w:rsidR="00866BC2">
        <w:rPr>
          <w:rFonts w:cs="Times New Roman"/>
        </w:rPr>
        <w:t>,</w:t>
      </w:r>
      <w:r w:rsidR="00866BC2" w:rsidRPr="00CC0875">
        <w:rPr>
          <w:rFonts w:cs="Times New Roman"/>
        </w:rPr>
        <w:t xml:space="preserve"> p. 77</w:t>
      </w:r>
      <w:r w:rsidR="00866BC2">
        <w:rPr>
          <w:rFonts w:cs="Times New Roman"/>
        </w:rPr>
        <w:t>6</w:t>
      </w:r>
      <w:r w:rsidR="00866BC2" w:rsidRPr="00CC0875">
        <w:rPr>
          <w:rFonts w:cs="Times New Roman"/>
        </w:rPr>
        <w:t>.</w:t>
      </w:r>
      <w:r w:rsidR="00866BC2">
        <w:fldChar w:fldCharType="end"/>
      </w:r>
    </w:p>
  </w:footnote>
  <w:footnote w:id="30">
    <w:p w14:paraId="327B3486" w14:textId="6B072EDB" w:rsidR="00782BBB" w:rsidRDefault="00782BBB">
      <w:pPr>
        <w:pStyle w:val="Notedebasdepage"/>
      </w:pPr>
      <w:r>
        <w:rPr>
          <w:rStyle w:val="Appelnotedebasdep"/>
        </w:rPr>
        <w:footnoteRef/>
      </w:r>
      <w:r>
        <w:t> Le paragraphe qui suit reprend</w:t>
      </w:r>
      <w:r w:rsidR="00411F95">
        <w:t xml:space="preserve"> et approfondit </w:t>
      </w:r>
      <w:r>
        <w:t xml:space="preserve">des éléments développés dans </w:t>
      </w:r>
      <w:r w:rsidRPr="00A21A04">
        <w:rPr>
          <w:rFonts w:cs="Times New Roman"/>
        </w:rPr>
        <w:t>Cette idée a notamment été développée, s'agissant de la Cour internationale de justice, dans MAUREL Raphaël, « La contribution de l’ordonnance</w:t>
      </w:r>
      <w:r w:rsidRPr="00A21A04">
        <w:rPr>
          <w:rFonts w:cs="Times New Roman"/>
          <w:i/>
          <w:iCs/>
        </w:rPr>
        <w:t xml:space="preserve"> Gambie c. Myanmar</w:t>
      </w:r>
      <w:r w:rsidRPr="00A21A04">
        <w:rPr>
          <w:rFonts w:cs="Times New Roman"/>
        </w:rPr>
        <w:t xml:space="preserve"> à l’élaboration d’un droit des mesures conservatoires », </w:t>
      </w:r>
      <w:r>
        <w:rPr>
          <w:rFonts w:cs="Times New Roman"/>
          <w:i/>
          <w:iCs/>
        </w:rPr>
        <w:t xml:space="preserve">op. </w:t>
      </w:r>
      <w:proofErr w:type="spellStart"/>
      <w:proofErr w:type="gramStart"/>
      <w:r>
        <w:rPr>
          <w:rFonts w:cs="Times New Roman"/>
          <w:i/>
          <w:iCs/>
        </w:rPr>
        <w:t>cit</w:t>
      </w:r>
      <w:proofErr w:type="spellEnd"/>
      <w:proofErr w:type="gramEnd"/>
      <w:r>
        <w:rPr>
          <w:rFonts w:cs="Times New Roman"/>
          <w:i/>
          <w:iCs/>
        </w:rPr>
        <w:t>.</w:t>
      </w:r>
      <w:r>
        <w:rPr>
          <w:rFonts w:cs="Times New Roman"/>
        </w:rPr>
        <w:t>, p. 109.</w:t>
      </w:r>
    </w:p>
  </w:footnote>
  <w:footnote w:id="31">
    <w:p w14:paraId="75DF5E22" w14:textId="1F43B843" w:rsidR="00411F95" w:rsidRDefault="00411F95">
      <w:pPr>
        <w:pStyle w:val="Notedebasdepage"/>
      </w:pPr>
      <w:r>
        <w:rPr>
          <w:rStyle w:val="Appelnotedebasdep"/>
        </w:rPr>
        <w:footnoteRef/>
      </w:r>
      <w:r>
        <w:t xml:space="preserve"> </w:t>
      </w:r>
      <w:r w:rsidRPr="00411F95">
        <w:t xml:space="preserve">En fin d'ordonnance, la Cour considère que </w:t>
      </w:r>
      <w:r>
        <w:t>« </w:t>
      </w:r>
      <w:r w:rsidRPr="00411F95">
        <w:t>[c]</w:t>
      </w:r>
      <w:proofErr w:type="spellStart"/>
      <w:r w:rsidRPr="00411F95">
        <w:t>onsidérant</w:t>
      </w:r>
      <w:proofErr w:type="spellEnd"/>
      <w:r w:rsidRPr="00411F95">
        <w:t xml:space="preserve"> que la responsabilité internationale d'un </w:t>
      </w:r>
      <w:r>
        <w:t>É</w:t>
      </w:r>
      <w:r w:rsidRPr="00411F95">
        <w:t xml:space="preserve">tat est engagée par l'action des organes et autorités compétents agissant dans cet </w:t>
      </w:r>
      <w:r>
        <w:t>É</w:t>
      </w:r>
      <w:r w:rsidRPr="00411F95">
        <w:t xml:space="preserve">tat, quels qu'ils soient; que les Etats-Unis doivent prendre toutes les mesures dont ils disposent pour que M. Walter </w:t>
      </w:r>
      <w:proofErr w:type="spellStart"/>
      <w:r w:rsidRPr="00411F95">
        <w:t>LaGrand</w:t>
      </w:r>
      <w:proofErr w:type="spellEnd"/>
      <w:r w:rsidRPr="00411F95">
        <w:t xml:space="preserve"> ne soit pas exécuté tant que la décision définitive en la présente instance n'aura pas été rendue; que, selon les informations dont dispose la Cour, la mise en œuvre des mesures indiquées dans la présente ordonnance relève de la compétence du gouverneur de 1'</w:t>
      </w:r>
      <w:r>
        <w:t>É</w:t>
      </w:r>
      <w:r w:rsidRPr="00411F95">
        <w:t xml:space="preserve">tat de l'Arizona; que le Gouvernement des Etats-Unis est par suite dans l'obligation de transmettre la présente ordonnance audit gouverneur; et que le gouverneur de l'Arizona est dans l'obligation d'agir conformément aux engagements internationaux des </w:t>
      </w:r>
      <w:r>
        <w:t>É</w:t>
      </w:r>
      <w:r w:rsidRPr="00411F95">
        <w:t>tats-Unis</w:t>
      </w:r>
      <w:r>
        <w:t> »</w:t>
      </w:r>
      <w:r w:rsidRPr="00411F95">
        <w:t xml:space="preserve"> (CIJ, </w:t>
      </w:r>
      <w:proofErr w:type="spellStart"/>
      <w:r w:rsidRPr="00411F95">
        <w:rPr>
          <w:i/>
          <w:iCs/>
        </w:rPr>
        <w:t>LaGrand</w:t>
      </w:r>
      <w:proofErr w:type="spellEnd"/>
      <w:r w:rsidRPr="00411F95">
        <w:rPr>
          <w:i/>
          <w:iCs/>
        </w:rPr>
        <w:t xml:space="preserve"> (Allemagne c. États-Unis d'Amérique)</w:t>
      </w:r>
      <w:r w:rsidRPr="00411F95">
        <w:t xml:space="preserve">, mesures conservatoires, ordonnance du 3 mars 1999, </w:t>
      </w:r>
      <w:r w:rsidRPr="00411F95">
        <w:rPr>
          <w:i/>
          <w:iCs/>
        </w:rPr>
        <w:t>CIJ Rec.</w:t>
      </w:r>
      <w:r w:rsidRPr="00411F95">
        <w:t xml:space="preserve"> 1999, p. 9, §28).</w:t>
      </w:r>
    </w:p>
  </w:footnote>
  <w:footnote w:id="32">
    <w:p w14:paraId="3A7B2A82" w14:textId="48B0A239" w:rsidR="00DD3F04" w:rsidRDefault="00DD3F04">
      <w:pPr>
        <w:pStyle w:val="Notedebasdepage"/>
      </w:pPr>
      <w:r>
        <w:rPr>
          <w:rStyle w:val="Appelnotedebasdep"/>
        </w:rPr>
        <w:footnoteRef/>
      </w:r>
      <w:r>
        <w:t xml:space="preserve"> </w:t>
      </w:r>
      <w:r w:rsidRPr="00DD3F04">
        <w:t xml:space="preserve">CIJ, </w:t>
      </w:r>
      <w:proofErr w:type="spellStart"/>
      <w:r w:rsidRPr="00DD3F04">
        <w:rPr>
          <w:i/>
          <w:iCs/>
        </w:rPr>
        <w:t>LaGrand</w:t>
      </w:r>
      <w:proofErr w:type="spellEnd"/>
      <w:r w:rsidRPr="00DD3F04">
        <w:rPr>
          <w:i/>
          <w:iCs/>
        </w:rPr>
        <w:t xml:space="preserve"> (Allemagne c. États-Unis d'Amérique)</w:t>
      </w:r>
      <w:r w:rsidRPr="00DD3F04">
        <w:t xml:space="preserve">, arrêt du 27 juin 2001, </w:t>
      </w:r>
      <w:r w:rsidR="00411F95">
        <w:rPr>
          <w:i/>
          <w:iCs/>
        </w:rPr>
        <w:t>CIJ</w:t>
      </w:r>
      <w:r w:rsidRPr="00DD3F04">
        <w:rPr>
          <w:i/>
          <w:iCs/>
        </w:rPr>
        <w:t xml:space="preserve"> Rec. </w:t>
      </w:r>
      <w:r w:rsidRPr="00DD3F04">
        <w:t>2001, p. 466, §102.</w:t>
      </w:r>
    </w:p>
  </w:footnote>
  <w:footnote w:id="33">
    <w:p w14:paraId="046DBF59" w14:textId="117EE6F3" w:rsidR="001F19E4" w:rsidRDefault="001F19E4">
      <w:pPr>
        <w:pStyle w:val="Notedebasdepage"/>
      </w:pPr>
      <w:r>
        <w:rPr>
          <w:rStyle w:val="Appelnotedebasdep"/>
        </w:rPr>
        <w:footnoteRef/>
      </w:r>
      <w:r>
        <w:t xml:space="preserve"> </w:t>
      </w:r>
      <w:r w:rsidRPr="001F19E4">
        <w:t xml:space="preserve">CIJ, </w:t>
      </w:r>
      <w:r w:rsidRPr="001F19E4">
        <w:rPr>
          <w:i/>
          <w:iCs/>
        </w:rPr>
        <w:t>Activités armées sur le territoire du Congo (République démocratique du Congo c. Ouganda)</w:t>
      </w:r>
      <w:r w:rsidRPr="001F19E4">
        <w:t xml:space="preserve">, fond, arrêt du 19 décembre 2005, </w:t>
      </w:r>
      <w:r w:rsidRPr="001F19E4">
        <w:rPr>
          <w:i/>
          <w:iCs/>
        </w:rPr>
        <w:t>CIJ Rec.</w:t>
      </w:r>
      <w:r w:rsidRPr="001F19E4">
        <w:t xml:space="preserve"> 2005, p. 168</w:t>
      </w:r>
      <w:r>
        <w:t>, §345</w:t>
      </w:r>
    </w:p>
  </w:footnote>
  <w:footnote w:id="34">
    <w:p w14:paraId="741347A7" w14:textId="5B58499B" w:rsidR="00782BBB" w:rsidRDefault="00782BBB">
      <w:pPr>
        <w:pStyle w:val="Notedebasdepage"/>
      </w:pPr>
      <w:r>
        <w:rPr>
          <w:rStyle w:val="Appelnotedebasdep"/>
        </w:rPr>
        <w:footnoteRef/>
      </w:r>
      <w:r>
        <w:t xml:space="preserve"> </w:t>
      </w:r>
      <w:r w:rsidRPr="00782BBB">
        <w:t xml:space="preserve">CIJ, </w:t>
      </w:r>
      <w:r w:rsidRPr="00782BBB">
        <w:rPr>
          <w:i/>
          <w:iCs/>
        </w:rPr>
        <w:t>Application de la convention pour la prévention et la répression du crime de génocide (Bosnie-Herzégovine c. Serbie-et-Monténégro)</w:t>
      </w:r>
      <w:r w:rsidRPr="00782BBB">
        <w:t xml:space="preserve">, fond, arrêt du 26 février 2007, </w:t>
      </w:r>
      <w:r w:rsidRPr="00782BBB">
        <w:rPr>
          <w:i/>
          <w:iCs/>
        </w:rPr>
        <w:t>CIJ Rec.</w:t>
      </w:r>
      <w:r w:rsidRPr="00782BBB">
        <w:t xml:space="preserve"> 2007, §458 et §469.</w:t>
      </w:r>
      <w:r>
        <w:t> La Cour considère notamment, §458, que « </w:t>
      </w:r>
      <w:r w:rsidRPr="00782BBB">
        <w:t>[e]n ce qui concerne la demande tendant à ce que la Cour décide que le défendeur est tenu de verser au demandeur, à raison de la violation constatée, une indemnisation symbolique dont elle est priée de déterminer le montant, la Cour constate que la question de la réparation du dommage subi par le demandeur du fait de la violation par le défendeur d’une partie des ordonnances en indication de mesures conservatoires se confond avec celle de la réparation du dommage subi du fait de la violation des obligations correspondantes résultant de la convention sur le génocide</w:t>
      </w:r>
      <w:r>
        <w:t> ».</w:t>
      </w:r>
    </w:p>
  </w:footnote>
  <w:footnote w:id="35">
    <w:p w14:paraId="086D8A97" w14:textId="649DB4B5" w:rsidR="00392D96" w:rsidRDefault="00392D96">
      <w:pPr>
        <w:pStyle w:val="Notedebasdepage"/>
      </w:pPr>
      <w:r>
        <w:rPr>
          <w:rStyle w:val="Appelnotedebasdep"/>
        </w:rPr>
        <w:footnoteRef/>
      </w:r>
      <w:r w:rsidR="005D3FFE">
        <w:t> </w:t>
      </w:r>
      <w:r w:rsidR="005D3FFE" w:rsidRPr="005D3FFE">
        <w:t xml:space="preserve">CEDH, Gde </w:t>
      </w:r>
      <w:proofErr w:type="spellStart"/>
      <w:r w:rsidR="005D3FFE" w:rsidRPr="005D3FFE">
        <w:t>ch</w:t>
      </w:r>
      <w:proofErr w:type="spellEnd"/>
      <w:r w:rsidR="005D3FFE" w:rsidRPr="005D3FFE">
        <w:t xml:space="preserve">, 4 février 2005, </w:t>
      </w:r>
      <w:proofErr w:type="spellStart"/>
      <w:r w:rsidR="005D3FFE" w:rsidRPr="005D3FFE">
        <w:rPr>
          <w:i/>
          <w:iCs/>
        </w:rPr>
        <w:t>Mamatkulov</w:t>
      </w:r>
      <w:proofErr w:type="spellEnd"/>
      <w:r w:rsidR="005D3FFE" w:rsidRPr="005D3FFE">
        <w:rPr>
          <w:i/>
          <w:iCs/>
        </w:rPr>
        <w:t xml:space="preserve"> et </w:t>
      </w:r>
      <w:proofErr w:type="spellStart"/>
      <w:r w:rsidR="005D3FFE" w:rsidRPr="005D3FFE">
        <w:rPr>
          <w:i/>
          <w:iCs/>
        </w:rPr>
        <w:t>Askarov</w:t>
      </w:r>
      <w:proofErr w:type="spellEnd"/>
      <w:r w:rsidR="005D3FFE" w:rsidRPr="005D3FFE">
        <w:rPr>
          <w:i/>
          <w:iCs/>
        </w:rPr>
        <w:t xml:space="preserve"> c. Turquie</w:t>
      </w:r>
      <w:r w:rsidR="005D3FFE" w:rsidRPr="005D3FFE">
        <w:t xml:space="preserve">, </w:t>
      </w:r>
      <w:proofErr w:type="spellStart"/>
      <w:r w:rsidR="005D3FFE" w:rsidRPr="005D3FFE">
        <w:t>n°s</w:t>
      </w:r>
      <w:proofErr w:type="spellEnd"/>
      <w:r w:rsidR="005D3FFE" w:rsidRPr="005D3FFE">
        <w:t xml:space="preserve"> 46827/99 et 46951/99</w:t>
      </w:r>
      <w:r w:rsidR="005D3FFE">
        <w:t>, §97. La CEDH évoque « </w:t>
      </w:r>
      <w:r w:rsidR="005D3FFE" w:rsidRPr="005D3FFE">
        <w:t xml:space="preserve">« la polémique quant à l’interprétation strictement linguistique des locutions « pouvoir indiquer » (dans la version anglaise « </w:t>
      </w:r>
      <w:r w:rsidR="005D3FFE" w:rsidRPr="005D3FFE">
        <w:rPr>
          <w:i/>
          <w:iCs/>
        </w:rPr>
        <w:t xml:space="preserve">power to </w:t>
      </w:r>
      <w:proofErr w:type="spellStart"/>
      <w:r w:rsidR="005D3FFE" w:rsidRPr="005D3FFE">
        <w:rPr>
          <w:i/>
          <w:iCs/>
        </w:rPr>
        <w:t>indicate</w:t>
      </w:r>
      <w:proofErr w:type="spellEnd"/>
      <w:r w:rsidR="005D3FFE" w:rsidRPr="005D3FFE">
        <w:t xml:space="preserve"> ») du premier paragraphe de l’article 41, et « indication » (dans la version anglaise « </w:t>
      </w:r>
      <w:proofErr w:type="spellStart"/>
      <w:r w:rsidR="005D3FFE" w:rsidRPr="005D3FFE">
        <w:rPr>
          <w:i/>
          <w:iCs/>
        </w:rPr>
        <w:t>measures</w:t>
      </w:r>
      <w:proofErr w:type="spellEnd"/>
      <w:r w:rsidR="005D3FFE" w:rsidRPr="005D3FFE">
        <w:rPr>
          <w:i/>
          <w:iCs/>
        </w:rPr>
        <w:t xml:space="preserve"> </w:t>
      </w:r>
      <w:proofErr w:type="spellStart"/>
      <w:r w:rsidR="005D3FFE" w:rsidRPr="005D3FFE">
        <w:rPr>
          <w:i/>
          <w:iCs/>
        </w:rPr>
        <w:t>suggested</w:t>
      </w:r>
      <w:proofErr w:type="spellEnd"/>
      <w:r w:rsidR="005D3FFE" w:rsidRPr="005D3FFE">
        <w:t xml:space="preserve"> ») du second paragraphe</w:t>
      </w:r>
      <w:r w:rsidR="005D3FFE">
        <w:t xml:space="preserve"> ». </w:t>
      </w:r>
    </w:p>
  </w:footnote>
  <w:footnote w:id="36">
    <w:p w14:paraId="506DEF0F" w14:textId="0E0ED335" w:rsidR="00F82BB7" w:rsidRPr="00BB1B91" w:rsidRDefault="00F82BB7" w:rsidP="005D3FFE">
      <w:pPr>
        <w:pStyle w:val="Notedebasdepage"/>
      </w:pPr>
      <w:r w:rsidRPr="002138C1">
        <w:rPr>
          <w:rStyle w:val="Appelnotedebasdep"/>
        </w:rPr>
        <w:footnoteRef/>
      </w:r>
      <w:r w:rsidRPr="00BB1B91">
        <w:t xml:space="preserve"> </w:t>
      </w:r>
      <w:r w:rsidR="005D3FFE">
        <w:t>Voir le §108 : « </w:t>
      </w:r>
      <w:r w:rsidR="005D3FFE">
        <w:t xml:space="preserve">L'inobservation de mesures provisoires par un </w:t>
      </w:r>
      <w:r w:rsidR="005D3FFE">
        <w:t>État</w:t>
      </w:r>
      <w:r w:rsidR="005D3FFE">
        <w:t xml:space="preserve"> contractant doit être considérée comme empêchant la Cour d'examiner efficacement le</w:t>
      </w:r>
      <w:r w:rsidR="005D3FFE">
        <w:t xml:space="preserve"> </w:t>
      </w:r>
      <w:r w:rsidR="005D3FFE">
        <w:t>grief du requérant et entravant l'exercice efficace de son droit et, partant, comme une violation de l'article 34</w:t>
      </w:r>
      <w:r w:rsidR="005D3FFE">
        <w:t xml:space="preserve"> ». Sur ce point, voir également </w:t>
      </w:r>
      <w:r w:rsidR="005D3FFE" w:rsidRPr="00017B72">
        <w:rPr>
          <w:rFonts w:cs="Times New Roman"/>
        </w:rPr>
        <w:t xml:space="preserve">HENNEBEL Ludovic et TIGROUDJA Hélène, </w:t>
      </w:r>
      <w:r w:rsidR="005D3FFE" w:rsidRPr="00017B72">
        <w:rPr>
          <w:rFonts w:cs="Times New Roman"/>
          <w:i/>
          <w:iCs/>
        </w:rPr>
        <w:t>Traité de droit international des droits de l’homme</w:t>
      </w:r>
      <w:r w:rsidR="005D3FFE" w:rsidRPr="00017B72">
        <w:rPr>
          <w:rFonts w:cs="Times New Roman"/>
        </w:rPr>
        <w:t xml:space="preserve">, </w:t>
      </w:r>
      <w:r w:rsidR="005D3FFE">
        <w:rPr>
          <w:rFonts w:cs="Times New Roman"/>
          <w:i/>
          <w:iCs/>
        </w:rPr>
        <w:t xml:space="preserve">op. </w:t>
      </w:r>
      <w:proofErr w:type="spellStart"/>
      <w:proofErr w:type="gramStart"/>
      <w:r w:rsidR="005D3FFE">
        <w:rPr>
          <w:rFonts w:cs="Times New Roman"/>
          <w:i/>
          <w:iCs/>
        </w:rPr>
        <w:t>cit</w:t>
      </w:r>
      <w:proofErr w:type="spellEnd"/>
      <w:proofErr w:type="gramEnd"/>
      <w:r w:rsidR="005D3FFE">
        <w:rPr>
          <w:rFonts w:cs="Times New Roman"/>
          <w:i/>
          <w:iCs/>
        </w:rPr>
        <w:t>.</w:t>
      </w:r>
      <w:r w:rsidR="005D3FFE">
        <w:rPr>
          <w:rFonts w:cs="Times New Roman"/>
        </w:rPr>
        <w:t xml:space="preserve">, p. </w:t>
      </w:r>
      <w:r w:rsidRPr="00BB1B91">
        <w:t>574.</w:t>
      </w:r>
    </w:p>
  </w:footnote>
  <w:footnote w:id="37">
    <w:p w14:paraId="46CDA5A5" w14:textId="031EEAC2" w:rsidR="00556204" w:rsidRDefault="00556204">
      <w:pPr>
        <w:pStyle w:val="Notedebasdepage"/>
      </w:pPr>
      <w:r>
        <w:rPr>
          <w:rStyle w:val="Appelnotedebasdep"/>
        </w:rPr>
        <w:footnoteRef/>
      </w:r>
      <w:r>
        <w:t xml:space="preserve"> </w:t>
      </w:r>
      <w:r w:rsidRPr="005D3FFE">
        <w:t xml:space="preserve">CEDH, Gde </w:t>
      </w:r>
      <w:proofErr w:type="spellStart"/>
      <w:r w:rsidRPr="005D3FFE">
        <w:t>ch</w:t>
      </w:r>
      <w:proofErr w:type="spellEnd"/>
      <w:r w:rsidRPr="005D3FFE">
        <w:t xml:space="preserve">, 4 février 2005, </w:t>
      </w:r>
      <w:proofErr w:type="spellStart"/>
      <w:r w:rsidRPr="005D3FFE">
        <w:rPr>
          <w:i/>
          <w:iCs/>
        </w:rPr>
        <w:t>Mamatkulov</w:t>
      </w:r>
      <w:proofErr w:type="spellEnd"/>
      <w:r w:rsidRPr="005D3FFE">
        <w:rPr>
          <w:i/>
          <w:iCs/>
        </w:rPr>
        <w:t xml:space="preserve"> et </w:t>
      </w:r>
      <w:proofErr w:type="spellStart"/>
      <w:r w:rsidRPr="005D3FFE">
        <w:rPr>
          <w:i/>
          <w:iCs/>
        </w:rPr>
        <w:t>Askarov</w:t>
      </w:r>
      <w:proofErr w:type="spellEnd"/>
      <w:r w:rsidRPr="005D3FFE">
        <w:rPr>
          <w:i/>
          <w:iCs/>
        </w:rPr>
        <w:t xml:space="preserve"> c. Turquie</w:t>
      </w:r>
      <w:r w:rsidRPr="005D3FFE">
        <w:t>,</w:t>
      </w:r>
      <w:r>
        <w:t xml:space="preserve"> précité, §104.</w:t>
      </w:r>
    </w:p>
  </w:footnote>
  <w:footnote w:id="38">
    <w:p w14:paraId="098FF574" w14:textId="1F69D6D7" w:rsidR="0066320E" w:rsidRPr="00BB1B91" w:rsidRDefault="0066320E" w:rsidP="00BB1B91">
      <w:pPr>
        <w:pStyle w:val="Notedebasdepage"/>
      </w:pPr>
      <w:r w:rsidRPr="002138C1">
        <w:rPr>
          <w:rStyle w:val="Appelnotedebasdep"/>
        </w:rPr>
        <w:footnoteRef/>
      </w:r>
      <w:r w:rsidRPr="00BB1B91">
        <w:t xml:space="preserve"> Article 185 TCE, devenu</w:t>
      </w:r>
      <w:r w:rsidR="005D487E">
        <w:t xml:space="preserve"> article</w:t>
      </w:r>
      <w:r w:rsidRPr="00BB1B91">
        <w:t xml:space="preserve"> 243 dans la version consolidée de 1997.</w:t>
      </w:r>
    </w:p>
  </w:footnote>
  <w:footnote w:id="39">
    <w:p w14:paraId="3A24E52D" w14:textId="303E874B" w:rsidR="00411F95" w:rsidRDefault="00411F95">
      <w:pPr>
        <w:pStyle w:val="Notedebasdepage"/>
      </w:pPr>
      <w:r>
        <w:rPr>
          <w:rStyle w:val="Appelnotedebasdep"/>
        </w:rPr>
        <w:footnoteRef/>
      </w:r>
      <w:r>
        <w:t xml:space="preserve"> </w:t>
      </w:r>
      <w:r w:rsidRPr="00411F95">
        <w:t xml:space="preserve">B. BERTRAND, </w:t>
      </w:r>
      <w:r>
        <w:t>« </w:t>
      </w:r>
      <w:r w:rsidRPr="00411F95">
        <w:t>Le tropisme juridique du droit de l’Union</w:t>
      </w:r>
      <w:r>
        <w:t> »</w:t>
      </w:r>
      <w:r w:rsidRPr="00411F95">
        <w:t xml:space="preserve">, </w:t>
      </w:r>
      <w:r w:rsidRPr="00411F95">
        <w:rPr>
          <w:i/>
          <w:iCs/>
        </w:rPr>
        <w:t>Revue de l’Union européenne</w:t>
      </w:r>
      <w:r w:rsidRPr="00411F95">
        <w:t>, 2018,</w:t>
      </w:r>
      <w:r>
        <w:t xml:space="preserve"> n°615,</w:t>
      </w:r>
      <w:r w:rsidRPr="00411F95">
        <w:t xml:space="preserve"> p. 103.</w:t>
      </w:r>
    </w:p>
  </w:footnote>
  <w:footnote w:id="40">
    <w:p w14:paraId="224785C1" w14:textId="1A298A14" w:rsidR="008765C2" w:rsidRPr="00BB1B91" w:rsidRDefault="008765C2" w:rsidP="00BB1B91">
      <w:pPr>
        <w:pStyle w:val="Notedebasdepage"/>
      </w:pPr>
      <w:r w:rsidRPr="002138C1">
        <w:rPr>
          <w:rStyle w:val="Appelnotedebasdep"/>
        </w:rPr>
        <w:footnoteRef/>
      </w:r>
      <w:r w:rsidRPr="00BB1B91">
        <w:t xml:space="preserve"> </w:t>
      </w:r>
      <w:r w:rsidR="00C86B31" w:rsidRPr="00C86B31">
        <w:t xml:space="preserve">CIRDI, </w:t>
      </w:r>
      <w:r w:rsidR="00C86B31" w:rsidRPr="00C86B31">
        <w:rPr>
          <w:i/>
          <w:iCs/>
        </w:rPr>
        <w:t xml:space="preserve">Emilio Agustín </w:t>
      </w:r>
      <w:proofErr w:type="spellStart"/>
      <w:r w:rsidR="00C86B31" w:rsidRPr="00C86B31">
        <w:rPr>
          <w:i/>
          <w:iCs/>
        </w:rPr>
        <w:t>Maffezini</w:t>
      </w:r>
      <w:proofErr w:type="spellEnd"/>
      <w:r w:rsidR="00C86B31" w:rsidRPr="00C86B31">
        <w:rPr>
          <w:i/>
          <w:iCs/>
        </w:rPr>
        <w:t xml:space="preserve"> c. Royaume d’Espagne</w:t>
      </w:r>
      <w:r w:rsidR="00C86B31" w:rsidRPr="00C86B31">
        <w:t xml:space="preserve">, affaire </w:t>
      </w:r>
      <w:proofErr w:type="spellStart"/>
      <w:r w:rsidR="00C86B31" w:rsidRPr="00C86B31">
        <w:t>n°ARB</w:t>
      </w:r>
      <w:proofErr w:type="spellEnd"/>
      <w:r w:rsidR="00C86B31" w:rsidRPr="00C86B31">
        <w:t xml:space="preserve">/97/7, </w:t>
      </w:r>
      <w:proofErr w:type="spellStart"/>
      <w:r w:rsidR="00C86B31" w:rsidRPr="00C86B31">
        <w:t>Procedural</w:t>
      </w:r>
      <w:proofErr w:type="spellEnd"/>
      <w:r w:rsidR="00C86B31" w:rsidRPr="00C86B31">
        <w:t xml:space="preserve"> </w:t>
      </w:r>
      <w:proofErr w:type="spellStart"/>
      <w:r w:rsidR="00C86B31" w:rsidRPr="00C86B31">
        <w:t>Order</w:t>
      </w:r>
      <w:proofErr w:type="spellEnd"/>
      <w:r w:rsidR="00C86B31" w:rsidRPr="00C86B31">
        <w:t xml:space="preserve"> No. 2 (</w:t>
      </w:r>
      <w:proofErr w:type="spellStart"/>
      <w:r w:rsidR="00C86B31" w:rsidRPr="00C86B31">
        <w:t>Decision</w:t>
      </w:r>
      <w:proofErr w:type="spellEnd"/>
      <w:r w:rsidR="00C86B31" w:rsidRPr="00C86B31">
        <w:t xml:space="preserve"> on </w:t>
      </w:r>
      <w:proofErr w:type="spellStart"/>
      <w:r w:rsidR="00C86B31" w:rsidRPr="00C86B31">
        <w:t>Request</w:t>
      </w:r>
      <w:proofErr w:type="spellEnd"/>
      <w:r w:rsidR="00C86B31" w:rsidRPr="00C86B31">
        <w:t xml:space="preserve"> for </w:t>
      </w:r>
      <w:proofErr w:type="spellStart"/>
      <w:r w:rsidR="00C86B31" w:rsidRPr="00C86B31">
        <w:t>Provisional</w:t>
      </w:r>
      <w:proofErr w:type="spellEnd"/>
      <w:r w:rsidR="00C86B31" w:rsidRPr="00C86B31">
        <w:t xml:space="preserve"> </w:t>
      </w:r>
      <w:proofErr w:type="spellStart"/>
      <w:r w:rsidR="00C86B31" w:rsidRPr="00C86B31">
        <w:t>Measures</w:t>
      </w:r>
      <w:proofErr w:type="spellEnd"/>
      <w:r w:rsidR="00C86B31" w:rsidRPr="00C86B31">
        <w:t>), 28 octobre 1999</w:t>
      </w:r>
      <w:r w:rsidR="00C86B31">
        <w:t>.</w:t>
      </w:r>
    </w:p>
  </w:footnote>
  <w:footnote w:id="41">
    <w:p w14:paraId="2C4D7D61" w14:textId="45B6A0A7" w:rsidR="00EC17ED" w:rsidRPr="00BB1B91" w:rsidRDefault="00EC17ED" w:rsidP="00BB1B91">
      <w:pPr>
        <w:pStyle w:val="Notedebasdepage"/>
      </w:pPr>
      <w:r w:rsidRPr="002138C1">
        <w:rPr>
          <w:rStyle w:val="Appelnotedebasdep"/>
        </w:rPr>
        <w:footnoteRef/>
      </w:r>
      <w:r w:rsidRPr="00BB1B91">
        <w:t xml:space="preserve"> </w:t>
      </w:r>
      <w:r w:rsidR="00C86B31">
        <w:t xml:space="preserve">Voir le §9 du </w:t>
      </w:r>
      <w:proofErr w:type="spellStart"/>
      <w:r w:rsidR="00C86B31">
        <w:t>Procedural</w:t>
      </w:r>
      <w:proofErr w:type="spellEnd"/>
      <w:r w:rsidR="00C86B31">
        <w:t xml:space="preserve"> </w:t>
      </w:r>
      <w:proofErr w:type="spellStart"/>
      <w:r w:rsidR="00C86B31">
        <w:t>Order</w:t>
      </w:r>
      <w:proofErr w:type="spellEnd"/>
      <w:r w:rsidR="00C86B31">
        <w:t> : « </w:t>
      </w:r>
      <w:r w:rsidR="00C86B31" w:rsidRPr="00C86B31">
        <w:t xml:space="preserve">[w]hile </w:t>
      </w:r>
      <w:proofErr w:type="spellStart"/>
      <w:r w:rsidR="00C86B31" w:rsidRPr="00C86B31">
        <w:t>there</w:t>
      </w:r>
      <w:proofErr w:type="spellEnd"/>
      <w:r w:rsidR="00C86B31" w:rsidRPr="00C86B31">
        <w:t xml:space="preserve"> </w:t>
      </w:r>
      <w:proofErr w:type="spellStart"/>
      <w:r w:rsidR="00C86B31" w:rsidRPr="00C86B31">
        <w:t>is</w:t>
      </w:r>
      <w:proofErr w:type="spellEnd"/>
      <w:r w:rsidR="00C86B31" w:rsidRPr="00C86B31">
        <w:t xml:space="preserve"> a </w:t>
      </w:r>
      <w:proofErr w:type="spellStart"/>
      <w:r w:rsidR="00C86B31" w:rsidRPr="00C86B31">
        <w:t>semantic</w:t>
      </w:r>
      <w:proofErr w:type="spellEnd"/>
      <w:r w:rsidR="00C86B31" w:rsidRPr="00C86B31">
        <w:t xml:space="preserve"> </w:t>
      </w:r>
      <w:proofErr w:type="spellStart"/>
      <w:r w:rsidR="00C86B31" w:rsidRPr="00C86B31">
        <w:t>difference</w:t>
      </w:r>
      <w:proofErr w:type="spellEnd"/>
      <w:r w:rsidR="00C86B31" w:rsidRPr="00C86B31">
        <w:t xml:space="preserve"> </w:t>
      </w:r>
      <w:proofErr w:type="spellStart"/>
      <w:r w:rsidR="00C86B31" w:rsidRPr="00C86B31">
        <w:t>between</w:t>
      </w:r>
      <w:proofErr w:type="spellEnd"/>
      <w:r w:rsidR="00C86B31" w:rsidRPr="00C86B31">
        <w:t xml:space="preserve"> the </w:t>
      </w:r>
      <w:proofErr w:type="spellStart"/>
      <w:r w:rsidR="00C86B31" w:rsidRPr="00C86B31">
        <w:t>word</w:t>
      </w:r>
      <w:proofErr w:type="spellEnd"/>
      <w:r w:rsidR="00C86B31" w:rsidRPr="00C86B31">
        <w:t xml:space="preserve"> </w:t>
      </w:r>
      <w:r w:rsidR="00C86B31">
        <w:t>‘</w:t>
      </w:r>
      <w:proofErr w:type="spellStart"/>
      <w:r w:rsidR="00C86B31" w:rsidRPr="00C86B31">
        <w:t>recommend</w:t>
      </w:r>
      <w:proofErr w:type="spellEnd"/>
      <w:r w:rsidR="00C86B31">
        <w:t>’</w:t>
      </w:r>
      <w:r w:rsidR="00C86B31" w:rsidRPr="00C86B31">
        <w:t xml:space="preserve"> as </w:t>
      </w:r>
      <w:proofErr w:type="spellStart"/>
      <w:r w:rsidR="00C86B31" w:rsidRPr="00C86B31">
        <w:t>used</w:t>
      </w:r>
      <w:proofErr w:type="spellEnd"/>
      <w:r w:rsidR="00C86B31" w:rsidRPr="00C86B31">
        <w:t xml:space="preserve"> in Rule 39 and the </w:t>
      </w:r>
      <w:proofErr w:type="spellStart"/>
      <w:r w:rsidR="00C86B31" w:rsidRPr="00C86B31">
        <w:t>word</w:t>
      </w:r>
      <w:proofErr w:type="spellEnd"/>
      <w:r w:rsidR="00C86B31" w:rsidRPr="00C86B31">
        <w:t xml:space="preserve"> </w:t>
      </w:r>
      <w:r w:rsidR="00C86B31">
        <w:t>‘</w:t>
      </w:r>
      <w:proofErr w:type="spellStart"/>
      <w:r w:rsidR="00C86B31" w:rsidRPr="00C86B31">
        <w:t>order</w:t>
      </w:r>
      <w:proofErr w:type="spellEnd"/>
      <w:r w:rsidR="00C86B31">
        <w:t>’</w:t>
      </w:r>
      <w:r w:rsidR="00C86B31" w:rsidRPr="00C86B31">
        <w:t xml:space="preserve"> as </w:t>
      </w:r>
      <w:proofErr w:type="spellStart"/>
      <w:r w:rsidR="00C86B31" w:rsidRPr="00C86B31">
        <w:t>used</w:t>
      </w:r>
      <w:proofErr w:type="spellEnd"/>
      <w:r w:rsidR="00C86B31" w:rsidRPr="00C86B31">
        <w:t xml:space="preserve"> </w:t>
      </w:r>
      <w:proofErr w:type="spellStart"/>
      <w:r w:rsidR="00C86B31" w:rsidRPr="00C86B31">
        <w:t>elsewhere</w:t>
      </w:r>
      <w:proofErr w:type="spellEnd"/>
      <w:r w:rsidR="00C86B31" w:rsidRPr="00C86B31">
        <w:t xml:space="preserve"> in the Rules to </w:t>
      </w:r>
      <w:proofErr w:type="spellStart"/>
      <w:r w:rsidR="00C86B31" w:rsidRPr="00C86B31">
        <w:t>describe</w:t>
      </w:r>
      <w:proofErr w:type="spellEnd"/>
      <w:r w:rsidR="00C86B31" w:rsidRPr="00C86B31">
        <w:t xml:space="preserve"> the </w:t>
      </w:r>
      <w:proofErr w:type="spellStart"/>
      <w:r w:rsidR="00C86B31" w:rsidRPr="00C86B31">
        <w:t>Tribunal's</w:t>
      </w:r>
      <w:proofErr w:type="spellEnd"/>
      <w:r w:rsidR="00C86B31" w:rsidRPr="00C86B31">
        <w:t xml:space="preserve"> </w:t>
      </w:r>
      <w:proofErr w:type="spellStart"/>
      <w:r w:rsidR="00C86B31" w:rsidRPr="00C86B31">
        <w:t>ability</w:t>
      </w:r>
      <w:proofErr w:type="spellEnd"/>
      <w:r w:rsidR="00C86B31" w:rsidRPr="00C86B31">
        <w:t xml:space="preserve"> to </w:t>
      </w:r>
      <w:proofErr w:type="spellStart"/>
      <w:r w:rsidR="00C86B31" w:rsidRPr="00C86B31">
        <w:t>require</w:t>
      </w:r>
      <w:proofErr w:type="spellEnd"/>
      <w:r w:rsidR="00C86B31" w:rsidRPr="00C86B31">
        <w:t xml:space="preserve"> a party to </w:t>
      </w:r>
      <w:proofErr w:type="spellStart"/>
      <w:r w:rsidR="00C86B31" w:rsidRPr="00C86B31">
        <w:t>take</w:t>
      </w:r>
      <w:proofErr w:type="spellEnd"/>
      <w:r w:rsidR="00C86B31" w:rsidRPr="00C86B31">
        <w:t xml:space="preserve"> a certain action, the </w:t>
      </w:r>
      <w:proofErr w:type="spellStart"/>
      <w:r w:rsidR="00C86B31" w:rsidRPr="00C86B31">
        <w:t>difference</w:t>
      </w:r>
      <w:proofErr w:type="spellEnd"/>
      <w:r w:rsidR="00C86B31" w:rsidRPr="00C86B31">
        <w:t xml:space="preserve"> </w:t>
      </w:r>
      <w:proofErr w:type="spellStart"/>
      <w:r w:rsidR="00C86B31" w:rsidRPr="00C86B31">
        <w:t>is</w:t>
      </w:r>
      <w:proofErr w:type="spellEnd"/>
      <w:r w:rsidR="00C86B31" w:rsidRPr="00C86B31">
        <w:t xml:space="preserve"> more apparent </w:t>
      </w:r>
      <w:proofErr w:type="spellStart"/>
      <w:r w:rsidR="00C86B31" w:rsidRPr="00C86B31">
        <w:t>than</w:t>
      </w:r>
      <w:proofErr w:type="spellEnd"/>
      <w:r w:rsidR="00C86B31" w:rsidRPr="00C86B31">
        <w:t xml:space="preserve"> real. It </w:t>
      </w:r>
      <w:proofErr w:type="spellStart"/>
      <w:r w:rsidR="00C86B31" w:rsidRPr="00C86B31">
        <w:t>should</w:t>
      </w:r>
      <w:proofErr w:type="spellEnd"/>
      <w:r w:rsidR="00C86B31" w:rsidRPr="00C86B31">
        <w:t xml:space="preserve"> </w:t>
      </w:r>
      <w:proofErr w:type="spellStart"/>
      <w:r w:rsidR="00C86B31" w:rsidRPr="00C86B31">
        <w:t>be</w:t>
      </w:r>
      <w:proofErr w:type="spellEnd"/>
      <w:r w:rsidR="00C86B31" w:rsidRPr="00C86B31">
        <w:t xml:space="preserve"> </w:t>
      </w:r>
      <w:proofErr w:type="spellStart"/>
      <w:r w:rsidR="00C86B31" w:rsidRPr="00C86B31">
        <w:t>noted</w:t>
      </w:r>
      <w:proofErr w:type="spellEnd"/>
      <w:r w:rsidR="00C86B31" w:rsidRPr="00C86B31">
        <w:t xml:space="preserve"> </w:t>
      </w:r>
      <w:proofErr w:type="spellStart"/>
      <w:r w:rsidR="00C86B31" w:rsidRPr="00C86B31">
        <w:t>that</w:t>
      </w:r>
      <w:proofErr w:type="spellEnd"/>
      <w:r w:rsidR="00C86B31" w:rsidRPr="00C86B31">
        <w:t xml:space="preserve"> the </w:t>
      </w:r>
      <w:proofErr w:type="spellStart"/>
      <w:r w:rsidR="00C86B31" w:rsidRPr="00C86B31">
        <w:t>Spanish</w:t>
      </w:r>
      <w:proofErr w:type="spellEnd"/>
      <w:r w:rsidR="00C86B31" w:rsidRPr="00C86B31">
        <w:t xml:space="preserve"> </w:t>
      </w:r>
      <w:proofErr w:type="spellStart"/>
      <w:r w:rsidR="00C86B31" w:rsidRPr="00C86B31">
        <w:t>text</w:t>
      </w:r>
      <w:proofErr w:type="spellEnd"/>
      <w:r w:rsidR="00C86B31" w:rsidRPr="00C86B31">
        <w:t xml:space="preserve"> of </w:t>
      </w:r>
      <w:proofErr w:type="spellStart"/>
      <w:r w:rsidR="00C86B31" w:rsidRPr="00C86B31">
        <w:t>that</w:t>
      </w:r>
      <w:proofErr w:type="spellEnd"/>
      <w:r w:rsidR="00C86B31" w:rsidRPr="00C86B31">
        <w:t xml:space="preserve"> Rule uses </w:t>
      </w:r>
      <w:proofErr w:type="spellStart"/>
      <w:r w:rsidR="00C86B31" w:rsidRPr="00C86B31">
        <w:t>also</w:t>
      </w:r>
      <w:proofErr w:type="spellEnd"/>
      <w:r w:rsidR="00C86B31" w:rsidRPr="00C86B31">
        <w:t xml:space="preserve"> the </w:t>
      </w:r>
      <w:proofErr w:type="spellStart"/>
      <w:r w:rsidR="00C86B31" w:rsidRPr="00C86B31">
        <w:t>word</w:t>
      </w:r>
      <w:proofErr w:type="spellEnd"/>
      <w:r w:rsidR="00C86B31" w:rsidRPr="00C86B31">
        <w:t xml:space="preserve"> </w:t>
      </w:r>
      <w:r w:rsidR="00C86B31">
        <w:t>‘</w:t>
      </w:r>
      <w:proofErr w:type="spellStart"/>
      <w:r w:rsidR="00C86B31" w:rsidRPr="00C86B31">
        <w:t>dictación</w:t>
      </w:r>
      <w:proofErr w:type="spellEnd"/>
      <w:r w:rsidR="00C86B31">
        <w:t>’</w:t>
      </w:r>
      <w:r w:rsidR="00C86B31" w:rsidRPr="00C86B31">
        <w:t xml:space="preserve">. The Tribunal </w:t>
      </w:r>
      <w:proofErr w:type="spellStart"/>
      <w:r w:rsidR="00C86B31" w:rsidRPr="00C86B31">
        <w:t>does</w:t>
      </w:r>
      <w:proofErr w:type="spellEnd"/>
      <w:r w:rsidR="00C86B31" w:rsidRPr="00C86B31">
        <w:t xml:space="preserve"> not </w:t>
      </w:r>
      <w:proofErr w:type="spellStart"/>
      <w:r w:rsidR="00C86B31" w:rsidRPr="00C86B31">
        <w:t>believe</w:t>
      </w:r>
      <w:proofErr w:type="spellEnd"/>
      <w:r w:rsidR="00C86B31" w:rsidRPr="00C86B31">
        <w:t xml:space="preserve"> </w:t>
      </w:r>
      <w:proofErr w:type="spellStart"/>
      <w:r w:rsidR="00C86B31" w:rsidRPr="00C86B31">
        <w:t>that</w:t>
      </w:r>
      <w:proofErr w:type="spellEnd"/>
      <w:r w:rsidR="00C86B31" w:rsidRPr="00C86B31">
        <w:t xml:space="preserve"> the parties to the Convention </w:t>
      </w:r>
      <w:proofErr w:type="spellStart"/>
      <w:r w:rsidR="00C86B31" w:rsidRPr="00C86B31">
        <w:t>meant</w:t>
      </w:r>
      <w:proofErr w:type="spellEnd"/>
      <w:r w:rsidR="00C86B31" w:rsidRPr="00C86B31">
        <w:t xml:space="preserve"> to </w:t>
      </w:r>
      <w:proofErr w:type="spellStart"/>
      <w:r w:rsidR="00C86B31" w:rsidRPr="00C86B31">
        <w:t>create</w:t>
      </w:r>
      <w:proofErr w:type="spellEnd"/>
      <w:r w:rsidR="00C86B31" w:rsidRPr="00C86B31">
        <w:t xml:space="preserve"> a </w:t>
      </w:r>
      <w:proofErr w:type="spellStart"/>
      <w:r w:rsidR="00C86B31" w:rsidRPr="00C86B31">
        <w:t>substantial</w:t>
      </w:r>
      <w:proofErr w:type="spellEnd"/>
      <w:r w:rsidR="00C86B31" w:rsidRPr="00C86B31">
        <w:t xml:space="preserve"> </w:t>
      </w:r>
      <w:proofErr w:type="spellStart"/>
      <w:r w:rsidR="00C86B31" w:rsidRPr="00C86B31">
        <w:t>difference</w:t>
      </w:r>
      <w:proofErr w:type="spellEnd"/>
      <w:r w:rsidR="00C86B31" w:rsidRPr="00C86B31">
        <w:t xml:space="preserve"> in the </w:t>
      </w:r>
      <w:proofErr w:type="spellStart"/>
      <w:r w:rsidR="00C86B31" w:rsidRPr="00C86B31">
        <w:t>effect</w:t>
      </w:r>
      <w:proofErr w:type="spellEnd"/>
      <w:r w:rsidR="00C86B31" w:rsidRPr="00C86B31">
        <w:t xml:space="preserve"> of </w:t>
      </w:r>
      <w:proofErr w:type="spellStart"/>
      <w:r w:rsidR="00C86B31" w:rsidRPr="00C86B31">
        <w:t>these</w:t>
      </w:r>
      <w:proofErr w:type="spellEnd"/>
      <w:r w:rsidR="00C86B31" w:rsidRPr="00C86B31">
        <w:t xml:space="preserve"> </w:t>
      </w:r>
      <w:proofErr w:type="spellStart"/>
      <w:r w:rsidR="00C86B31" w:rsidRPr="00C86B31">
        <w:t>two</w:t>
      </w:r>
      <w:proofErr w:type="spellEnd"/>
      <w:r w:rsidR="00C86B31" w:rsidRPr="00C86B31">
        <w:t xml:space="preserve"> </w:t>
      </w:r>
      <w:proofErr w:type="spellStart"/>
      <w:r w:rsidR="00C86B31" w:rsidRPr="00C86B31">
        <w:t>words</w:t>
      </w:r>
      <w:proofErr w:type="spellEnd"/>
      <w:r w:rsidR="00C86B31" w:rsidRPr="00C86B31">
        <w:t xml:space="preserve">. The </w:t>
      </w:r>
      <w:proofErr w:type="spellStart"/>
      <w:r w:rsidR="00C86B31" w:rsidRPr="00C86B31">
        <w:t>Tribunal's</w:t>
      </w:r>
      <w:proofErr w:type="spellEnd"/>
      <w:r w:rsidR="00C86B31" w:rsidRPr="00C86B31">
        <w:t xml:space="preserve"> </w:t>
      </w:r>
      <w:proofErr w:type="spellStart"/>
      <w:r w:rsidR="00C86B31" w:rsidRPr="00C86B31">
        <w:t>authority</w:t>
      </w:r>
      <w:proofErr w:type="spellEnd"/>
      <w:r w:rsidR="00C86B31" w:rsidRPr="00C86B31">
        <w:t xml:space="preserve"> to </w:t>
      </w:r>
      <w:proofErr w:type="spellStart"/>
      <w:r w:rsidR="00C86B31" w:rsidRPr="00C86B31">
        <w:t>rule</w:t>
      </w:r>
      <w:proofErr w:type="spellEnd"/>
      <w:r w:rsidR="00C86B31" w:rsidRPr="00C86B31">
        <w:t xml:space="preserve"> on </w:t>
      </w:r>
      <w:proofErr w:type="spellStart"/>
      <w:r w:rsidR="00C86B31" w:rsidRPr="00C86B31">
        <w:t>provisional</w:t>
      </w:r>
      <w:proofErr w:type="spellEnd"/>
      <w:r w:rsidR="00C86B31" w:rsidRPr="00C86B31">
        <w:t xml:space="preserve"> </w:t>
      </w:r>
      <w:proofErr w:type="spellStart"/>
      <w:r w:rsidR="00C86B31" w:rsidRPr="00C86B31">
        <w:t>measures</w:t>
      </w:r>
      <w:proofErr w:type="spellEnd"/>
      <w:r w:rsidR="00C86B31" w:rsidRPr="00C86B31">
        <w:t xml:space="preserve"> </w:t>
      </w:r>
      <w:proofErr w:type="spellStart"/>
      <w:r w:rsidR="00C86B31" w:rsidRPr="00C86B31">
        <w:t>is</w:t>
      </w:r>
      <w:proofErr w:type="spellEnd"/>
      <w:r w:rsidR="00C86B31" w:rsidRPr="00C86B31">
        <w:t xml:space="preserve"> no </w:t>
      </w:r>
      <w:proofErr w:type="spellStart"/>
      <w:r w:rsidR="00C86B31" w:rsidRPr="00C86B31">
        <w:t>less</w:t>
      </w:r>
      <w:proofErr w:type="spellEnd"/>
      <w:r w:rsidR="00C86B31" w:rsidRPr="00C86B31">
        <w:t xml:space="preserve"> binding </w:t>
      </w:r>
      <w:proofErr w:type="spellStart"/>
      <w:r w:rsidR="00C86B31" w:rsidRPr="00C86B31">
        <w:t>than</w:t>
      </w:r>
      <w:proofErr w:type="spellEnd"/>
      <w:r w:rsidR="00C86B31" w:rsidRPr="00C86B31">
        <w:t xml:space="preserve"> </w:t>
      </w:r>
      <w:proofErr w:type="spellStart"/>
      <w:r w:rsidR="00C86B31" w:rsidRPr="00C86B31">
        <w:t>that</w:t>
      </w:r>
      <w:proofErr w:type="spellEnd"/>
      <w:r w:rsidR="00C86B31" w:rsidRPr="00C86B31">
        <w:t xml:space="preserve"> of a final </w:t>
      </w:r>
      <w:proofErr w:type="spellStart"/>
      <w:r w:rsidR="00C86B31" w:rsidRPr="00C86B31">
        <w:t>award</w:t>
      </w:r>
      <w:proofErr w:type="spellEnd"/>
      <w:r w:rsidR="00C86B31" w:rsidRPr="00C86B31">
        <w:t xml:space="preserve">. </w:t>
      </w:r>
      <w:proofErr w:type="spellStart"/>
      <w:r w:rsidR="00C86B31" w:rsidRPr="00C86B31">
        <w:t>Accordingly</w:t>
      </w:r>
      <w:proofErr w:type="spellEnd"/>
      <w:r w:rsidR="00C86B31" w:rsidRPr="00C86B31">
        <w:t xml:space="preserve">, for the </w:t>
      </w:r>
      <w:proofErr w:type="spellStart"/>
      <w:r w:rsidR="00C86B31" w:rsidRPr="00C86B31">
        <w:t>purposes</w:t>
      </w:r>
      <w:proofErr w:type="spellEnd"/>
      <w:r w:rsidR="00C86B31" w:rsidRPr="00C86B31">
        <w:t xml:space="preserve"> of </w:t>
      </w:r>
      <w:proofErr w:type="spellStart"/>
      <w:r w:rsidR="00C86B31" w:rsidRPr="00C86B31">
        <w:t>this</w:t>
      </w:r>
      <w:proofErr w:type="spellEnd"/>
      <w:r w:rsidR="00C86B31" w:rsidRPr="00C86B31">
        <w:t xml:space="preserve"> </w:t>
      </w:r>
      <w:proofErr w:type="spellStart"/>
      <w:r w:rsidR="00C86B31" w:rsidRPr="00C86B31">
        <w:t>Order</w:t>
      </w:r>
      <w:proofErr w:type="spellEnd"/>
      <w:r w:rsidR="00C86B31" w:rsidRPr="00C86B31">
        <w:t xml:space="preserve">, the Tribunal </w:t>
      </w:r>
      <w:proofErr w:type="spellStart"/>
      <w:r w:rsidR="00C86B31" w:rsidRPr="00C86B31">
        <w:t>deems</w:t>
      </w:r>
      <w:proofErr w:type="spellEnd"/>
      <w:r w:rsidR="00C86B31" w:rsidRPr="00C86B31">
        <w:t xml:space="preserve"> the </w:t>
      </w:r>
      <w:proofErr w:type="spellStart"/>
      <w:r w:rsidR="00C86B31" w:rsidRPr="00C86B31">
        <w:t>word</w:t>
      </w:r>
      <w:proofErr w:type="spellEnd"/>
      <w:r w:rsidR="00C86B31" w:rsidRPr="00C86B31">
        <w:t xml:space="preserve"> </w:t>
      </w:r>
      <w:r w:rsidR="00C86B31">
        <w:t>‘</w:t>
      </w:r>
      <w:proofErr w:type="spellStart"/>
      <w:r w:rsidR="00C86B31" w:rsidRPr="00C86B31">
        <w:t>recommend</w:t>
      </w:r>
      <w:proofErr w:type="spellEnd"/>
      <w:r w:rsidR="00C86B31">
        <w:t>’</w:t>
      </w:r>
      <w:r w:rsidR="00C86B31" w:rsidRPr="00C86B31">
        <w:t xml:space="preserve"> to </w:t>
      </w:r>
      <w:proofErr w:type="spellStart"/>
      <w:r w:rsidR="00C86B31" w:rsidRPr="00C86B31">
        <w:t>be</w:t>
      </w:r>
      <w:proofErr w:type="spellEnd"/>
      <w:r w:rsidR="00C86B31" w:rsidRPr="00C86B31">
        <w:t xml:space="preserve"> of </w:t>
      </w:r>
      <w:proofErr w:type="spellStart"/>
      <w:r w:rsidR="00C86B31" w:rsidRPr="00C86B31">
        <w:t>equivalent</w:t>
      </w:r>
      <w:proofErr w:type="spellEnd"/>
      <w:r w:rsidR="00C86B31" w:rsidRPr="00C86B31">
        <w:t xml:space="preserve"> value as the </w:t>
      </w:r>
      <w:proofErr w:type="spellStart"/>
      <w:r w:rsidR="00C86B31" w:rsidRPr="00C86B31">
        <w:t>word</w:t>
      </w:r>
      <w:proofErr w:type="spellEnd"/>
      <w:r w:rsidR="00C86B31" w:rsidRPr="00C86B31">
        <w:t xml:space="preserve"> </w:t>
      </w:r>
      <w:r w:rsidR="00C86B31">
        <w:t>‘</w:t>
      </w:r>
      <w:proofErr w:type="spellStart"/>
      <w:r w:rsidR="00C86B31" w:rsidRPr="00C86B31">
        <w:t>order</w:t>
      </w:r>
      <w:proofErr w:type="spellEnd"/>
      <w:r w:rsidR="00C86B31">
        <w:t xml:space="preserve">’ ». Il est à noter que la demande espagnole étant rejetée, cette interprétation n’a pas d’effet concret dans </w:t>
      </w:r>
      <w:proofErr w:type="gramStart"/>
      <w:r w:rsidR="00C86B31">
        <w:t>cet affaire</w:t>
      </w:r>
      <w:proofErr w:type="gramEnd"/>
      <w:r w:rsidR="00C86B31">
        <w:t>.</w:t>
      </w:r>
    </w:p>
  </w:footnote>
  <w:footnote w:id="42">
    <w:p w14:paraId="2A71D2FC" w14:textId="359FF7E7" w:rsidR="00C86B31" w:rsidRDefault="00C86B31">
      <w:pPr>
        <w:pStyle w:val="Notedebasdepage"/>
      </w:pPr>
      <w:r>
        <w:rPr>
          <w:rStyle w:val="Appelnotedebasdep"/>
        </w:rPr>
        <w:footnoteRef/>
      </w:r>
      <w:r>
        <w:t xml:space="preserve"> Voir pour des éléments de démonstration </w:t>
      </w:r>
      <w:r w:rsidRPr="00A21A04">
        <w:rPr>
          <w:rFonts w:cs="Times New Roman"/>
        </w:rPr>
        <w:t>MAUREL Raphaël, « La contribution de l’ordonnance</w:t>
      </w:r>
      <w:r w:rsidRPr="00A21A04">
        <w:rPr>
          <w:rFonts w:cs="Times New Roman"/>
          <w:i/>
          <w:iCs/>
        </w:rPr>
        <w:t xml:space="preserve"> Gambie c. Myanmar</w:t>
      </w:r>
      <w:r w:rsidRPr="00A21A04">
        <w:rPr>
          <w:rFonts w:cs="Times New Roman"/>
        </w:rPr>
        <w:t xml:space="preserve"> à l’élaboration d’un droit des mesures conservatoires », </w:t>
      </w:r>
      <w:r>
        <w:rPr>
          <w:rFonts w:cs="Times New Roman"/>
          <w:i/>
          <w:iCs/>
        </w:rPr>
        <w:t xml:space="preserve">op. </w:t>
      </w:r>
      <w:proofErr w:type="spellStart"/>
      <w:proofErr w:type="gramStart"/>
      <w:r>
        <w:rPr>
          <w:rFonts w:cs="Times New Roman"/>
          <w:i/>
          <w:iCs/>
        </w:rPr>
        <w:t>cit</w:t>
      </w:r>
      <w:proofErr w:type="spellEnd"/>
      <w:proofErr w:type="gramEnd"/>
      <w:r>
        <w:rPr>
          <w:rFonts w:cs="Times New Roman"/>
          <w:i/>
          <w:iCs/>
        </w:rPr>
        <w:t>.</w:t>
      </w:r>
    </w:p>
  </w:footnote>
  <w:footnote w:id="43">
    <w:p w14:paraId="20406252" w14:textId="02A4A2B9" w:rsidR="009E7DB6" w:rsidRDefault="009E7DB6">
      <w:pPr>
        <w:pStyle w:val="Notedebasdepage"/>
      </w:pPr>
      <w:r>
        <w:rPr>
          <w:rStyle w:val="Appelnotedebasdep"/>
        </w:rPr>
        <w:footnoteRef/>
      </w:r>
      <w:r>
        <w:t xml:space="preserve"> Depuis 2018, toutes les nouvelles affaires introduites, exceptées celles concernant les appels </w:t>
      </w:r>
      <w:r w:rsidR="00B13887">
        <w:t>relatifs à la compétence du conseil de l’OACI (</w:t>
      </w:r>
      <w:r w:rsidR="00B13887" w:rsidRPr="00B13887">
        <w:rPr>
          <w:i/>
          <w:iCs/>
        </w:rPr>
        <w:t xml:space="preserve">Appel concernant la compétence du Conseil de l’OACI en vertu de l’article II, section 2, de l’accord de 1944 relatif au transit des services aériens internationaux (Bahreïn, </w:t>
      </w:r>
      <w:r w:rsidR="00B13887" w:rsidRPr="00B13887">
        <w:rPr>
          <w:i/>
          <w:iCs/>
        </w:rPr>
        <w:t>Égypte</w:t>
      </w:r>
      <w:r w:rsidR="00B13887" w:rsidRPr="00B13887">
        <w:rPr>
          <w:i/>
          <w:iCs/>
        </w:rPr>
        <w:t xml:space="preserve"> et </w:t>
      </w:r>
      <w:r w:rsidR="00B13887" w:rsidRPr="00B13887">
        <w:rPr>
          <w:i/>
          <w:iCs/>
        </w:rPr>
        <w:t>Émirats</w:t>
      </w:r>
      <w:r w:rsidR="00B13887" w:rsidRPr="00B13887">
        <w:rPr>
          <w:i/>
          <w:iCs/>
        </w:rPr>
        <w:t xml:space="preserve"> arabes unis c. Qatar)</w:t>
      </w:r>
      <w:r w:rsidR="00B13887" w:rsidRPr="00B13887">
        <w:t xml:space="preserve"> ; </w:t>
      </w:r>
      <w:r w:rsidR="00B13887" w:rsidRPr="00B13887">
        <w:rPr>
          <w:i/>
          <w:iCs/>
        </w:rPr>
        <w:t xml:space="preserve">Appel concernant la compétence du Conseil de l’OACI en vertu de l’article 84 de la convention relative à l’aviation civile internationale (Arabie saoudite, Bahreïn, </w:t>
      </w:r>
      <w:r w:rsidR="00B13887" w:rsidRPr="00B13887">
        <w:rPr>
          <w:i/>
          <w:iCs/>
        </w:rPr>
        <w:t>Égypte</w:t>
      </w:r>
      <w:r w:rsidR="00B13887" w:rsidRPr="00B13887">
        <w:rPr>
          <w:i/>
          <w:iCs/>
        </w:rPr>
        <w:t xml:space="preserve"> et </w:t>
      </w:r>
      <w:r w:rsidR="00B13887" w:rsidRPr="00B13887">
        <w:rPr>
          <w:i/>
          <w:iCs/>
        </w:rPr>
        <w:t>Émirats</w:t>
      </w:r>
      <w:r w:rsidR="00B13887" w:rsidRPr="00B13887">
        <w:rPr>
          <w:i/>
          <w:iCs/>
        </w:rPr>
        <w:t xml:space="preserve"> arabes unis c. Qatar)</w:t>
      </w:r>
      <w:r w:rsidR="00B13887">
        <w:t xml:space="preserve">), ont été accompagnées d’une voire plusieurs demandes d’indication de mesures conservatoires. </w:t>
      </w:r>
    </w:p>
  </w:footnote>
  <w:footnote w:id="44">
    <w:p w14:paraId="39D47BF0" w14:textId="1AD34ED5" w:rsidR="009B634A" w:rsidRPr="00BB1B91" w:rsidRDefault="009B634A" w:rsidP="00BB1B91">
      <w:pPr>
        <w:pStyle w:val="Notedebasdepage"/>
      </w:pPr>
      <w:r w:rsidRPr="002138C1">
        <w:rPr>
          <w:rStyle w:val="Appelnotedebasdep"/>
        </w:rPr>
        <w:footnoteRef/>
      </w:r>
      <w:r w:rsidRPr="00BB1B91">
        <w:t xml:space="preserve"> </w:t>
      </w:r>
      <w:r w:rsidR="00E04254" w:rsidRPr="0005217C">
        <w:t xml:space="preserve">CIJ, </w:t>
      </w:r>
      <w:r w:rsidR="00E04254" w:rsidRPr="0005217C">
        <w:rPr>
          <w:i/>
          <w:iCs/>
        </w:rPr>
        <w:t>Application de la convention internationale sur l’élimination de toutes les formes de discrimination raciale (Qatar c. Émirats arabes unis)</w:t>
      </w:r>
      <w:r w:rsidR="00E04254" w:rsidRPr="0005217C">
        <w:t>, exceptions préliminaires, arrêt du 4 février 2021,</w:t>
      </w:r>
      <w:r w:rsidR="00E04254">
        <w:t xml:space="preserve"> précité.</w:t>
      </w:r>
    </w:p>
  </w:footnote>
  <w:footnote w:id="45">
    <w:p w14:paraId="2F3CB90E" w14:textId="196D8904" w:rsidR="00410C12" w:rsidRPr="00BB1B91" w:rsidRDefault="00410C12" w:rsidP="00BB1B91">
      <w:pPr>
        <w:pStyle w:val="Notedebasdepage"/>
      </w:pPr>
      <w:r w:rsidRPr="002138C1">
        <w:rPr>
          <w:rStyle w:val="Appelnotedebasdep"/>
        </w:rPr>
        <w:footnoteRef/>
      </w:r>
      <w:r w:rsidRPr="00BB1B91">
        <w:t xml:space="preserve"> </w:t>
      </w:r>
      <w:r w:rsidR="008300F4">
        <w:t xml:space="preserve">On pense par exemple au </w:t>
      </w:r>
      <w:r w:rsidR="008300F4" w:rsidRPr="00641B73">
        <w:rPr>
          <w:rFonts w:cs="Times New Roman"/>
          <w:szCs w:val="24"/>
        </w:rPr>
        <w:t xml:space="preserve">critère de la plausibilité des droits allégués, </w:t>
      </w:r>
      <w:r w:rsidR="008300F4">
        <w:rPr>
          <w:rFonts w:cs="Times New Roman"/>
          <w:szCs w:val="24"/>
        </w:rPr>
        <w:t>adopté</w:t>
      </w:r>
      <w:r w:rsidR="008300F4" w:rsidRPr="00641B73">
        <w:rPr>
          <w:rFonts w:cs="Times New Roman"/>
          <w:szCs w:val="24"/>
        </w:rPr>
        <w:t xml:space="preserve"> </w:t>
      </w:r>
      <w:r w:rsidR="008300F4">
        <w:rPr>
          <w:rFonts w:cs="Times New Roman"/>
          <w:szCs w:val="24"/>
        </w:rPr>
        <w:t>par le</w:t>
      </w:r>
      <w:r w:rsidR="008300F4" w:rsidRPr="00641B73">
        <w:rPr>
          <w:rFonts w:cs="Times New Roman"/>
          <w:szCs w:val="24"/>
        </w:rPr>
        <w:t xml:space="preserve"> TIDM en 2015</w:t>
      </w:r>
      <w:r w:rsidR="008300F4">
        <w:rPr>
          <w:rFonts w:cs="Times New Roman"/>
          <w:szCs w:val="24"/>
        </w:rPr>
        <w:t xml:space="preserve">, quelques années après son introduction prétorienne à la Cour internationale de justice. Voir par exemple </w:t>
      </w:r>
      <w:r w:rsidR="008300F4" w:rsidRPr="005E0FC1">
        <w:rPr>
          <w:rFonts w:cs="Times New Roman"/>
        </w:rPr>
        <w:t xml:space="preserve">BORÉ-EVENO Valérie, « Les mesures conservatoires dans l’affaire du Différend relatif à la délimitation de la frontière maritime entre le Ghana et la Côte d’Ivoire. TIDM (Chambre spéciale), ordonnance du 25 avril 2015 », </w:t>
      </w:r>
      <w:r w:rsidR="008300F4">
        <w:rPr>
          <w:rFonts w:cs="Times New Roman"/>
          <w:i/>
          <w:iCs/>
        </w:rPr>
        <w:t xml:space="preserve">op. </w:t>
      </w:r>
      <w:proofErr w:type="spellStart"/>
      <w:proofErr w:type="gramStart"/>
      <w:r w:rsidR="008300F4">
        <w:rPr>
          <w:rFonts w:cs="Times New Roman"/>
          <w:i/>
          <w:iCs/>
        </w:rPr>
        <w:t>cit</w:t>
      </w:r>
      <w:proofErr w:type="spellEnd"/>
      <w:proofErr w:type="gramEnd"/>
      <w:r w:rsidR="008300F4">
        <w:rPr>
          <w:rFonts w:cs="Times New Roman"/>
          <w:i/>
          <w:iCs/>
        </w:rPr>
        <w:t>.</w:t>
      </w:r>
      <w:r w:rsidR="008300F4">
        <w:rPr>
          <w:rFonts w:cs="Times New Roman"/>
        </w:rPr>
        <w:t>,</w:t>
      </w:r>
      <w:r w:rsidR="008300F4" w:rsidRPr="005E0FC1">
        <w:rPr>
          <w:rFonts w:cs="Times New Roman"/>
        </w:rPr>
        <w:t xml:space="preserve"> pp. 699-724.</w:t>
      </w:r>
      <w:r w:rsidRPr="00BB1B91">
        <w:t xml:space="preserve"> </w:t>
      </w:r>
    </w:p>
  </w:footnote>
  <w:footnote w:id="46">
    <w:p w14:paraId="43DFBDE6" w14:textId="1BA54ADA" w:rsidR="00D424E3" w:rsidRPr="00D424E3" w:rsidRDefault="00D424E3">
      <w:pPr>
        <w:pStyle w:val="Notedebasdepage"/>
      </w:pPr>
      <w:r>
        <w:rPr>
          <w:rStyle w:val="Appelnotedebasdep"/>
        </w:rPr>
        <w:footnoteRef/>
      </w:r>
      <w:r>
        <w:t xml:space="preserve"> On se permet de renvoyer sur ce point à </w:t>
      </w:r>
      <w:r>
        <w:t>MAUREL Raphaël, « </w:t>
      </w:r>
      <w:r w:rsidRPr="005E0FC1">
        <w:t>La confirmation des évolutions récentes du droit des mesures conservatoires par et devant la Cour internationale de Justice</w:t>
      </w:r>
      <w:r>
        <w:t> :</w:t>
      </w:r>
      <w:r w:rsidRPr="005E0FC1">
        <w:t xml:space="preserve"> remarques sur les ordonnances en indication de mesures conservatoires du 7 décembre 2021 dans les affaires relatives à l’Application de la convention internationale sur l’élimination de toutes les formes de discrimination raciale (</w:t>
      </w:r>
      <w:r w:rsidRPr="005E0FC1">
        <w:rPr>
          <w:i/>
          <w:iCs/>
        </w:rPr>
        <w:t>Arménie c. Azerbaïdjan</w:t>
      </w:r>
      <w:r w:rsidRPr="005E0FC1">
        <w:t xml:space="preserve"> et </w:t>
      </w:r>
      <w:r w:rsidRPr="005E0FC1">
        <w:rPr>
          <w:i/>
          <w:iCs/>
        </w:rPr>
        <w:t>Azerbaïdjan c. Arménie</w:t>
      </w:r>
      <w:r w:rsidRPr="005E0FC1">
        <w:t>)</w:t>
      </w:r>
      <w:r>
        <w:t> »</w:t>
      </w:r>
      <w:r w:rsidRPr="005E0FC1">
        <w:t>,</w:t>
      </w:r>
      <w:r>
        <w:t xml:space="preserve"> </w:t>
      </w:r>
      <w:r>
        <w:rPr>
          <w:i/>
          <w:iCs/>
        </w:rPr>
        <w:t xml:space="preserve">op. </w:t>
      </w:r>
      <w:proofErr w:type="spellStart"/>
      <w:proofErr w:type="gramStart"/>
      <w:r>
        <w:rPr>
          <w:i/>
          <w:iCs/>
        </w:rPr>
        <w:t>cit</w:t>
      </w:r>
      <w:proofErr w:type="spellEnd"/>
      <w:proofErr w:type="gramEnd"/>
      <w:r>
        <w:rPr>
          <w:i/>
          <w:iCs/>
        </w:rPr>
        <w:t>.</w:t>
      </w:r>
    </w:p>
  </w:footnote>
  <w:footnote w:id="47">
    <w:p w14:paraId="10021115" w14:textId="3EC7EE0A" w:rsidR="005B76E9" w:rsidRPr="00BB1B91" w:rsidRDefault="005B76E9" w:rsidP="00BB1B91">
      <w:pPr>
        <w:pStyle w:val="Notedebasdepage"/>
      </w:pPr>
      <w:r w:rsidRPr="002138C1">
        <w:rPr>
          <w:rStyle w:val="Appelnotedebasdep"/>
        </w:rPr>
        <w:footnoteRef/>
      </w:r>
      <w:r w:rsidRPr="00BB1B91">
        <w:t xml:space="preserve"> CEDH, mesures provisoires,14 avr</w:t>
      </w:r>
      <w:r w:rsidR="00A20474">
        <w:t>il</w:t>
      </w:r>
      <w:r w:rsidRPr="00BB1B91">
        <w:t xml:space="preserve"> 2022, </w:t>
      </w:r>
      <w:proofErr w:type="spellStart"/>
      <w:r w:rsidRPr="00A20474">
        <w:rPr>
          <w:i/>
          <w:iCs/>
        </w:rPr>
        <w:t>Stępka</w:t>
      </w:r>
      <w:proofErr w:type="spellEnd"/>
      <w:r w:rsidRPr="00A20474">
        <w:rPr>
          <w:i/>
          <w:iCs/>
        </w:rPr>
        <w:t xml:space="preserve"> c</w:t>
      </w:r>
      <w:r w:rsidR="00A20474">
        <w:rPr>
          <w:i/>
          <w:iCs/>
        </w:rPr>
        <w:t>.</w:t>
      </w:r>
      <w:r w:rsidRPr="00A20474">
        <w:rPr>
          <w:i/>
          <w:iCs/>
        </w:rPr>
        <w:t xml:space="preserve"> Pologne</w:t>
      </w:r>
      <w:r w:rsidRPr="00BB1B91">
        <w:t>, n°18001/22</w:t>
      </w:r>
      <w:r w:rsidR="00496A21">
        <w:t xml:space="preserve"> ; voir le </w:t>
      </w:r>
      <w:r w:rsidR="00496A21" w:rsidRPr="00496A21">
        <w:t>Communiqué de presse de la Greffière de la Cour n°</w:t>
      </w:r>
      <w:r w:rsidR="00496A21">
        <w:t> </w:t>
      </w:r>
      <w:r w:rsidR="00496A21" w:rsidRPr="00496A21">
        <w:t xml:space="preserve">CEDH 131 (2022) du 14 avril 2022, </w:t>
      </w:r>
      <w:r w:rsidR="00496A21">
        <w:t>« </w:t>
      </w:r>
      <w:r w:rsidR="00496A21" w:rsidRPr="00496A21">
        <w:t>Mesures provisoires dans une nouvelle affaire concernant l’immunité d’un juge à la Cour suprême polonaise</w:t>
      </w:r>
      <w:r w:rsidR="00496A21">
        <w:t> »</w:t>
      </w:r>
      <w:r w:rsidR="00496A21" w:rsidRPr="00496A2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C4D26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354D20"/>
    <w:multiLevelType w:val="hybridMultilevel"/>
    <w:tmpl w:val="DC66D740"/>
    <w:lvl w:ilvl="0" w:tplc="333AB46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9E261C6"/>
    <w:multiLevelType w:val="hybridMultilevel"/>
    <w:tmpl w:val="76144C6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A465A29"/>
    <w:multiLevelType w:val="hybridMultilevel"/>
    <w:tmpl w:val="27A2F378"/>
    <w:lvl w:ilvl="0" w:tplc="BDE8FD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B1F5E"/>
    <w:multiLevelType w:val="hybridMultilevel"/>
    <w:tmpl w:val="6EC4EA9C"/>
    <w:lvl w:ilvl="0" w:tplc="8A369A92">
      <w:start w:val="1"/>
      <w:numFmt w:val="bullet"/>
      <w:pStyle w:val="Index1"/>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E434C"/>
    <w:multiLevelType w:val="hybridMultilevel"/>
    <w:tmpl w:val="8C8E9314"/>
    <w:lvl w:ilvl="0" w:tplc="9BCC6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424F29"/>
    <w:multiLevelType w:val="hybridMultilevel"/>
    <w:tmpl w:val="A3B24B1C"/>
    <w:lvl w:ilvl="0" w:tplc="67F2078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28877EBD"/>
    <w:multiLevelType w:val="hybridMultilevel"/>
    <w:tmpl w:val="807EC882"/>
    <w:lvl w:ilvl="0" w:tplc="FE9EB9DA">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C033E"/>
    <w:multiLevelType w:val="hybridMultilevel"/>
    <w:tmpl w:val="54804A3C"/>
    <w:lvl w:ilvl="0" w:tplc="981E35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46758A"/>
    <w:multiLevelType w:val="hybridMultilevel"/>
    <w:tmpl w:val="62EA2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46739E"/>
    <w:multiLevelType w:val="hybridMultilevel"/>
    <w:tmpl w:val="172C6E82"/>
    <w:lvl w:ilvl="0" w:tplc="159A3600">
      <w:start w:val="45"/>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68C7DE9"/>
    <w:multiLevelType w:val="hybridMultilevel"/>
    <w:tmpl w:val="2CD8A726"/>
    <w:lvl w:ilvl="0" w:tplc="515EFD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283D48"/>
    <w:multiLevelType w:val="hybridMultilevel"/>
    <w:tmpl w:val="DB2E1DF2"/>
    <w:lvl w:ilvl="0" w:tplc="635C32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9D393D"/>
    <w:multiLevelType w:val="hybridMultilevel"/>
    <w:tmpl w:val="EFFEAC2E"/>
    <w:lvl w:ilvl="0" w:tplc="779E5DF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5B4531A9"/>
    <w:multiLevelType w:val="hybridMultilevel"/>
    <w:tmpl w:val="76144C6C"/>
    <w:lvl w:ilvl="0" w:tplc="831AE4C8">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5" w15:restartNumberingAfterBreak="0">
    <w:nsid w:val="64056DF0"/>
    <w:multiLevelType w:val="hybridMultilevel"/>
    <w:tmpl w:val="76144C6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641B37C5"/>
    <w:multiLevelType w:val="hybridMultilevel"/>
    <w:tmpl w:val="9E2A3C7A"/>
    <w:lvl w:ilvl="0" w:tplc="9B5EF724">
      <w:start w:val="1"/>
      <w:numFmt w:val="decimal"/>
      <w:pStyle w:val="Normal"/>
      <w:lvlText w:val="%1."/>
      <w:lvlJc w:val="left"/>
      <w:pPr>
        <w:ind w:left="6162" w:hanging="360"/>
      </w:pPr>
      <w:rPr>
        <w:b w:val="0"/>
        <w:bCs w:val="0"/>
        <w:i w:val="0"/>
      </w:rPr>
    </w:lvl>
    <w:lvl w:ilvl="1" w:tplc="040C0019">
      <w:start w:val="1"/>
      <w:numFmt w:val="lowerLetter"/>
      <w:lvlText w:val="%2."/>
      <w:lvlJc w:val="left"/>
      <w:pPr>
        <w:ind w:left="6532" w:hanging="360"/>
      </w:pPr>
    </w:lvl>
    <w:lvl w:ilvl="2" w:tplc="040C001B" w:tentative="1">
      <w:start w:val="1"/>
      <w:numFmt w:val="lowerRoman"/>
      <w:lvlText w:val="%3."/>
      <w:lvlJc w:val="right"/>
      <w:pPr>
        <w:ind w:left="7252" w:hanging="180"/>
      </w:pPr>
    </w:lvl>
    <w:lvl w:ilvl="3" w:tplc="040C000F" w:tentative="1">
      <w:start w:val="1"/>
      <w:numFmt w:val="decimal"/>
      <w:lvlText w:val="%4."/>
      <w:lvlJc w:val="left"/>
      <w:pPr>
        <w:ind w:left="7972" w:hanging="360"/>
      </w:pPr>
    </w:lvl>
    <w:lvl w:ilvl="4" w:tplc="040C0019" w:tentative="1">
      <w:start w:val="1"/>
      <w:numFmt w:val="lowerLetter"/>
      <w:lvlText w:val="%5."/>
      <w:lvlJc w:val="left"/>
      <w:pPr>
        <w:ind w:left="8692" w:hanging="360"/>
      </w:pPr>
    </w:lvl>
    <w:lvl w:ilvl="5" w:tplc="040C001B" w:tentative="1">
      <w:start w:val="1"/>
      <w:numFmt w:val="lowerRoman"/>
      <w:lvlText w:val="%6."/>
      <w:lvlJc w:val="right"/>
      <w:pPr>
        <w:ind w:left="9412" w:hanging="180"/>
      </w:pPr>
    </w:lvl>
    <w:lvl w:ilvl="6" w:tplc="040C000F" w:tentative="1">
      <w:start w:val="1"/>
      <w:numFmt w:val="decimal"/>
      <w:lvlText w:val="%7."/>
      <w:lvlJc w:val="left"/>
      <w:pPr>
        <w:ind w:left="10132" w:hanging="360"/>
      </w:pPr>
    </w:lvl>
    <w:lvl w:ilvl="7" w:tplc="040C0019" w:tentative="1">
      <w:start w:val="1"/>
      <w:numFmt w:val="lowerLetter"/>
      <w:lvlText w:val="%8."/>
      <w:lvlJc w:val="left"/>
      <w:pPr>
        <w:ind w:left="10852" w:hanging="360"/>
      </w:pPr>
    </w:lvl>
    <w:lvl w:ilvl="8" w:tplc="040C001B" w:tentative="1">
      <w:start w:val="1"/>
      <w:numFmt w:val="lowerRoman"/>
      <w:lvlText w:val="%9."/>
      <w:lvlJc w:val="right"/>
      <w:pPr>
        <w:ind w:left="11572" w:hanging="180"/>
      </w:pPr>
    </w:lvl>
  </w:abstractNum>
  <w:abstractNum w:abstractNumId="17" w15:restartNumberingAfterBreak="0">
    <w:nsid w:val="65C20852"/>
    <w:multiLevelType w:val="hybridMultilevel"/>
    <w:tmpl w:val="95C67500"/>
    <w:lvl w:ilvl="0" w:tplc="99C0FBE8">
      <w:start w:val="1"/>
      <w:numFmt w:val="upp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8" w15:restartNumberingAfterBreak="0">
    <w:nsid w:val="73B64BAE"/>
    <w:multiLevelType w:val="hybridMultilevel"/>
    <w:tmpl w:val="069E146C"/>
    <w:lvl w:ilvl="0" w:tplc="CC708176">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9" w15:restartNumberingAfterBreak="0">
    <w:nsid w:val="78871F9F"/>
    <w:multiLevelType w:val="hybridMultilevel"/>
    <w:tmpl w:val="527E0BDC"/>
    <w:lvl w:ilvl="0" w:tplc="B7B2BF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C874D9"/>
    <w:multiLevelType w:val="hybridMultilevel"/>
    <w:tmpl w:val="272AC568"/>
    <w:lvl w:ilvl="0" w:tplc="765E66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6540488">
    <w:abstractNumId w:val="4"/>
  </w:num>
  <w:num w:numId="2" w16cid:durableId="1032072257">
    <w:abstractNumId w:val="16"/>
  </w:num>
  <w:num w:numId="3" w16cid:durableId="870848759">
    <w:abstractNumId w:val="13"/>
  </w:num>
  <w:num w:numId="4" w16cid:durableId="892547253">
    <w:abstractNumId w:val="10"/>
  </w:num>
  <w:num w:numId="5" w16cid:durableId="1946380473">
    <w:abstractNumId w:val="1"/>
  </w:num>
  <w:num w:numId="6" w16cid:durableId="32459455">
    <w:abstractNumId w:val="0"/>
  </w:num>
  <w:num w:numId="7" w16cid:durableId="1968316658">
    <w:abstractNumId w:val="9"/>
  </w:num>
  <w:num w:numId="8" w16cid:durableId="2127578134">
    <w:abstractNumId w:val="6"/>
  </w:num>
  <w:num w:numId="9" w16cid:durableId="284970472">
    <w:abstractNumId w:val="7"/>
  </w:num>
  <w:num w:numId="10" w16cid:durableId="703483536">
    <w:abstractNumId w:val="12"/>
  </w:num>
  <w:num w:numId="11" w16cid:durableId="296421341">
    <w:abstractNumId w:val="18"/>
  </w:num>
  <w:num w:numId="12" w16cid:durableId="1602102038">
    <w:abstractNumId w:val="5"/>
  </w:num>
  <w:num w:numId="13" w16cid:durableId="487404335">
    <w:abstractNumId w:val="14"/>
  </w:num>
  <w:num w:numId="14" w16cid:durableId="880748387">
    <w:abstractNumId w:val="8"/>
  </w:num>
  <w:num w:numId="15" w16cid:durableId="572935765">
    <w:abstractNumId w:val="2"/>
  </w:num>
  <w:num w:numId="16" w16cid:durableId="1880044683">
    <w:abstractNumId w:val="15"/>
  </w:num>
  <w:num w:numId="17" w16cid:durableId="1535076987">
    <w:abstractNumId w:val="20"/>
  </w:num>
  <w:num w:numId="18" w16cid:durableId="1279217210">
    <w:abstractNumId w:val="3"/>
  </w:num>
  <w:num w:numId="19" w16cid:durableId="92941750">
    <w:abstractNumId w:val="17"/>
  </w:num>
  <w:num w:numId="20" w16cid:durableId="1228540456">
    <w:abstractNumId w:val="19"/>
  </w:num>
  <w:num w:numId="21" w16cid:durableId="186424884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28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A9"/>
    <w:rsid w:val="00000543"/>
    <w:rsid w:val="00000546"/>
    <w:rsid w:val="00000A24"/>
    <w:rsid w:val="00001516"/>
    <w:rsid w:val="0000177C"/>
    <w:rsid w:val="00001797"/>
    <w:rsid w:val="00001FDA"/>
    <w:rsid w:val="00002272"/>
    <w:rsid w:val="00002380"/>
    <w:rsid w:val="000024EC"/>
    <w:rsid w:val="00003DA8"/>
    <w:rsid w:val="00004106"/>
    <w:rsid w:val="0000474E"/>
    <w:rsid w:val="00004847"/>
    <w:rsid w:val="00004D44"/>
    <w:rsid w:val="00005391"/>
    <w:rsid w:val="00005563"/>
    <w:rsid w:val="0000619A"/>
    <w:rsid w:val="00006390"/>
    <w:rsid w:val="0000671C"/>
    <w:rsid w:val="00006D2E"/>
    <w:rsid w:val="0000769D"/>
    <w:rsid w:val="00007A9C"/>
    <w:rsid w:val="00007BCF"/>
    <w:rsid w:val="00007CD3"/>
    <w:rsid w:val="00007EA2"/>
    <w:rsid w:val="00010B55"/>
    <w:rsid w:val="00010C70"/>
    <w:rsid w:val="00010D70"/>
    <w:rsid w:val="0001128A"/>
    <w:rsid w:val="0001163D"/>
    <w:rsid w:val="00011AA9"/>
    <w:rsid w:val="00011E2B"/>
    <w:rsid w:val="00011EBD"/>
    <w:rsid w:val="0001287D"/>
    <w:rsid w:val="0001299D"/>
    <w:rsid w:val="00012D9E"/>
    <w:rsid w:val="00012ECF"/>
    <w:rsid w:val="000131A4"/>
    <w:rsid w:val="000134BE"/>
    <w:rsid w:val="00013B47"/>
    <w:rsid w:val="00013F64"/>
    <w:rsid w:val="00014118"/>
    <w:rsid w:val="00014362"/>
    <w:rsid w:val="0001447C"/>
    <w:rsid w:val="00015391"/>
    <w:rsid w:val="0001550B"/>
    <w:rsid w:val="00015B7A"/>
    <w:rsid w:val="0001627C"/>
    <w:rsid w:val="000162C8"/>
    <w:rsid w:val="00016338"/>
    <w:rsid w:val="00016924"/>
    <w:rsid w:val="00016B10"/>
    <w:rsid w:val="00016B3C"/>
    <w:rsid w:val="00016C5D"/>
    <w:rsid w:val="00016FA0"/>
    <w:rsid w:val="000176A2"/>
    <w:rsid w:val="00017B72"/>
    <w:rsid w:val="00017F31"/>
    <w:rsid w:val="00020A5E"/>
    <w:rsid w:val="000213BC"/>
    <w:rsid w:val="0002189D"/>
    <w:rsid w:val="00021B1C"/>
    <w:rsid w:val="00022475"/>
    <w:rsid w:val="00022974"/>
    <w:rsid w:val="00022AC5"/>
    <w:rsid w:val="00023259"/>
    <w:rsid w:val="0002365A"/>
    <w:rsid w:val="00023D70"/>
    <w:rsid w:val="000247EE"/>
    <w:rsid w:val="00024A44"/>
    <w:rsid w:val="00024E92"/>
    <w:rsid w:val="00024EBD"/>
    <w:rsid w:val="00024FD0"/>
    <w:rsid w:val="0002526B"/>
    <w:rsid w:val="000258B4"/>
    <w:rsid w:val="00025925"/>
    <w:rsid w:val="00025F06"/>
    <w:rsid w:val="00025F7E"/>
    <w:rsid w:val="00026655"/>
    <w:rsid w:val="00026894"/>
    <w:rsid w:val="00026C44"/>
    <w:rsid w:val="00026DCC"/>
    <w:rsid w:val="00026DD6"/>
    <w:rsid w:val="00026EF6"/>
    <w:rsid w:val="00026F85"/>
    <w:rsid w:val="0002716B"/>
    <w:rsid w:val="0002760F"/>
    <w:rsid w:val="00027913"/>
    <w:rsid w:val="00027D74"/>
    <w:rsid w:val="00027FA2"/>
    <w:rsid w:val="00030C95"/>
    <w:rsid w:val="00031252"/>
    <w:rsid w:val="00031959"/>
    <w:rsid w:val="0003203D"/>
    <w:rsid w:val="00032875"/>
    <w:rsid w:val="0003295B"/>
    <w:rsid w:val="00032B44"/>
    <w:rsid w:val="00032F40"/>
    <w:rsid w:val="0003314E"/>
    <w:rsid w:val="00033402"/>
    <w:rsid w:val="000339AA"/>
    <w:rsid w:val="000339E2"/>
    <w:rsid w:val="00034255"/>
    <w:rsid w:val="0003453B"/>
    <w:rsid w:val="000345E5"/>
    <w:rsid w:val="0003485E"/>
    <w:rsid w:val="00034888"/>
    <w:rsid w:val="00034DCC"/>
    <w:rsid w:val="00034E5D"/>
    <w:rsid w:val="00036019"/>
    <w:rsid w:val="0003644D"/>
    <w:rsid w:val="000366FC"/>
    <w:rsid w:val="00036713"/>
    <w:rsid w:val="00036995"/>
    <w:rsid w:val="00036B68"/>
    <w:rsid w:val="00036CE1"/>
    <w:rsid w:val="00036E39"/>
    <w:rsid w:val="000375F4"/>
    <w:rsid w:val="00037E05"/>
    <w:rsid w:val="00040B05"/>
    <w:rsid w:val="00040D10"/>
    <w:rsid w:val="00040D2A"/>
    <w:rsid w:val="00041291"/>
    <w:rsid w:val="000412BD"/>
    <w:rsid w:val="00041678"/>
    <w:rsid w:val="000416F1"/>
    <w:rsid w:val="0004216E"/>
    <w:rsid w:val="000421D1"/>
    <w:rsid w:val="0004274C"/>
    <w:rsid w:val="00042E5B"/>
    <w:rsid w:val="00042F6D"/>
    <w:rsid w:val="0004316F"/>
    <w:rsid w:val="0004330C"/>
    <w:rsid w:val="000435A4"/>
    <w:rsid w:val="00043C1D"/>
    <w:rsid w:val="00044075"/>
    <w:rsid w:val="0004496D"/>
    <w:rsid w:val="00044C20"/>
    <w:rsid w:val="00044EE4"/>
    <w:rsid w:val="0004542A"/>
    <w:rsid w:val="00045B55"/>
    <w:rsid w:val="00045E14"/>
    <w:rsid w:val="000462A7"/>
    <w:rsid w:val="00046A19"/>
    <w:rsid w:val="00046EFE"/>
    <w:rsid w:val="00047235"/>
    <w:rsid w:val="0004750F"/>
    <w:rsid w:val="00047641"/>
    <w:rsid w:val="0005022C"/>
    <w:rsid w:val="00050628"/>
    <w:rsid w:val="00050F46"/>
    <w:rsid w:val="00051137"/>
    <w:rsid w:val="000515EC"/>
    <w:rsid w:val="0005170C"/>
    <w:rsid w:val="00051BBF"/>
    <w:rsid w:val="0005209E"/>
    <w:rsid w:val="00052147"/>
    <w:rsid w:val="0005217C"/>
    <w:rsid w:val="000524C0"/>
    <w:rsid w:val="000526A9"/>
    <w:rsid w:val="00052A8B"/>
    <w:rsid w:val="00052F72"/>
    <w:rsid w:val="000530B2"/>
    <w:rsid w:val="000536FC"/>
    <w:rsid w:val="00053A34"/>
    <w:rsid w:val="00054588"/>
    <w:rsid w:val="00054A9F"/>
    <w:rsid w:val="00054ACE"/>
    <w:rsid w:val="00054C9A"/>
    <w:rsid w:val="00054CDF"/>
    <w:rsid w:val="00054E4D"/>
    <w:rsid w:val="00055360"/>
    <w:rsid w:val="00055465"/>
    <w:rsid w:val="000557AA"/>
    <w:rsid w:val="00055926"/>
    <w:rsid w:val="00055D7B"/>
    <w:rsid w:val="00055E7C"/>
    <w:rsid w:val="00055E99"/>
    <w:rsid w:val="00056270"/>
    <w:rsid w:val="000565F9"/>
    <w:rsid w:val="0005699B"/>
    <w:rsid w:val="00056D7E"/>
    <w:rsid w:val="00056E16"/>
    <w:rsid w:val="00056F0A"/>
    <w:rsid w:val="0005764B"/>
    <w:rsid w:val="00057C8F"/>
    <w:rsid w:val="000601E6"/>
    <w:rsid w:val="00060B0D"/>
    <w:rsid w:val="00061158"/>
    <w:rsid w:val="00061363"/>
    <w:rsid w:val="00061A0C"/>
    <w:rsid w:val="00061C47"/>
    <w:rsid w:val="00062402"/>
    <w:rsid w:val="000625E3"/>
    <w:rsid w:val="000626AE"/>
    <w:rsid w:val="00062A4D"/>
    <w:rsid w:val="00062D3A"/>
    <w:rsid w:val="00062E91"/>
    <w:rsid w:val="000632DD"/>
    <w:rsid w:val="00063B9C"/>
    <w:rsid w:val="00063E7F"/>
    <w:rsid w:val="00063F08"/>
    <w:rsid w:val="00064492"/>
    <w:rsid w:val="00065821"/>
    <w:rsid w:val="000658A8"/>
    <w:rsid w:val="00066352"/>
    <w:rsid w:val="00066A9C"/>
    <w:rsid w:val="00066BF5"/>
    <w:rsid w:val="00066EC3"/>
    <w:rsid w:val="000677AB"/>
    <w:rsid w:val="00067BC0"/>
    <w:rsid w:val="0007044D"/>
    <w:rsid w:val="00070587"/>
    <w:rsid w:val="00070723"/>
    <w:rsid w:val="00070C54"/>
    <w:rsid w:val="00071169"/>
    <w:rsid w:val="000718AE"/>
    <w:rsid w:val="00071A56"/>
    <w:rsid w:val="00071B38"/>
    <w:rsid w:val="00071D51"/>
    <w:rsid w:val="00072253"/>
    <w:rsid w:val="000723FD"/>
    <w:rsid w:val="00072437"/>
    <w:rsid w:val="00072B19"/>
    <w:rsid w:val="00072DD4"/>
    <w:rsid w:val="00073100"/>
    <w:rsid w:val="00073334"/>
    <w:rsid w:val="00073973"/>
    <w:rsid w:val="00073A77"/>
    <w:rsid w:val="00073B35"/>
    <w:rsid w:val="000744D3"/>
    <w:rsid w:val="00074D67"/>
    <w:rsid w:val="00074EDC"/>
    <w:rsid w:val="00075098"/>
    <w:rsid w:val="000755C4"/>
    <w:rsid w:val="00075720"/>
    <w:rsid w:val="00075C3A"/>
    <w:rsid w:val="00075CB4"/>
    <w:rsid w:val="00076540"/>
    <w:rsid w:val="00076965"/>
    <w:rsid w:val="00077197"/>
    <w:rsid w:val="0007725E"/>
    <w:rsid w:val="000772DC"/>
    <w:rsid w:val="000774AB"/>
    <w:rsid w:val="000774B0"/>
    <w:rsid w:val="000779E7"/>
    <w:rsid w:val="00077A37"/>
    <w:rsid w:val="00077C48"/>
    <w:rsid w:val="00077E42"/>
    <w:rsid w:val="0008023D"/>
    <w:rsid w:val="00080CDD"/>
    <w:rsid w:val="00080F0A"/>
    <w:rsid w:val="000810D3"/>
    <w:rsid w:val="00082235"/>
    <w:rsid w:val="00082C52"/>
    <w:rsid w:val="00082F04"/>
    <w:rsid w:val="00083356"/>
    <w:rsid w:val="0008339E"/>
    <w:rsid w:val="000837FB"/>
    <w:rsid w:val="00083B6F"/>
    <w:rsid w:val="00083F86"/>
    <w:rsid w:val="000855CA"/>
    <w:rsid w:val="00085ED7"/>
    <w:rsid w:val="00086337"/>
    <w:rsid w:val="0008659D"/>
    <w:rsid w:val="000874FB"/>
    <w:rsid w:val="00087BDD"/>
    <w:rsid w:val="00087D22"/>
    <w:rsid w:val="000907D7"/>
    <w:rsid w:val="00090D3B"/>
    <w:rsid w:val="00090FA9"/>
    <w:rsid w:val="0009141C"/>
    <w:rsid w:val="00091B9D"/>
    <w:rsid w:val="00092B20"/>
    <w:rsid w:val="00092F82"/>
    <w:rsid w:val="000932E0"/>
    <w:rsid w:val="00093586"/>
    <w:rsid w:val="000936CC"/>
    <w:rsid w:val="0009383E"/>
    <w:rsid w:val="00093E2C"/>
    <w:rsid w:val="00095407"/>
    <w:rsid w:val="00095817"/>
    <w:rsid w:val="00095825"/>
    <w:rsid w:val="00096012"/>
    <w:rsid w:val="000965BE"/>
    <w:rsid w:val="000975EC"/>
    <w:rsid w:val="00097A31"/>
    <w:rsid w:val="00097C03"/>
    <w:rsid w:val="00097E9F"/>
    <w:rsid w:val="000A016C"/>
    <w:rsid w:val="000A06AA"/>
    <w:rsid w:val="000A0A41"/>
    <w:rsid w:val="000A0EDD"/>
    <w:rsid w:val="000A0F35"/>
    <w:rsid w:val="000A1220"/>
    <w:rsid w:val="000A12E7"/>
    <w:rsid w:val="000A18FE"/>
    <w:rsid w:val="000A1B67"/>
    <w:rsid w:val="000A3882"/>
    <w:rsid w:val="000A41C5"/>
    <w:rsid w:val="000A44A5"/>
    <w:rsid w:val="000A45D8"/>
    <w:rsid w:val="000A49A3"/>
    <w:rsid w:val="000A516E"/>
    <w:rsid w:val="000A52CF"/>
    <w:rsid w:val="000A5E39"/>
    <w:rsid w:val="000A60B3"/>
    <w:rsid w:val="000A621B"/>
    <w:rsid w:val="000A6E35"/>
    <w:rsid w:val="000A708B"/>
    <w:rsid w:val="000A71AC"/>
    <w:rsid w:val="000A72A1"/>
    <w:rsid w:val="000A74A0"/>
    <w:rsid w:val="000A782C"/>
    <w:rsid w:val="000A7D64"/>
    <w:rsid w:val="000B180C"/>
    <w:rsid w:val="000B18A8"/>
    <w:rsid w:val="000B22CE"/>
    <w:rsid w:val="000B23B4"/>
    <w:rsid w:val="000B26A2"/>
    <w:rsid w:val="000B2E31"/>
    <w:rsid w:val="000B32F1"/>
    <w:rsid w:val="000B359F"/>
    <w:rsid w:val="000B3AC5"/>
    <w:rsid w:val="000B41DE"/>
    <w:rsid w:val="000B4586"/>
    <w:rsid w:val="000B4EB1"/>
    <w:rsid w:val="000B5793"/>
    <w:rsid w:val="000B68AE"/>
    <w:rsid w:val="000B6E07"/>
    <w:rsid w:val="000B6E45"/>
    <w:rsid w:val="000B7549"/>
    <w:rsid w:val="000B754A"/>
    <w:rsid w:val="000B78AC"/>
    <w:rsid w:val="000B7C33"/>
    <w:rsid w:val="000B7F25"/>
    <w:rsid w:val="000C02DA"/>
    <w:rsid w:val="000C0AB9"/>
    <w:rsid w:val="000C0B2F"/>
    <w:rsid w:val="000C0B63"/>
    <w:rsid w:val="000C0B82"/>
    <w:rsid w:val="000C1228"/>
    <w:rsid w:val="000C14C2"/>
    <w:rsid w:val="000C178E"/>
    <w:rsid w:val="000C18CE"/>
    <w:rsid w:val="000C20A3"/>
    <w:rsid w:val="000C26AA"/>
    <w:rsid w:val="000C2968"/>
    <w:rsid w:val="000C383E"/>
    <w:rsid w:val="000C3AAD"/>
    <w:rsid w:val="000C3CD6"/>
    <w:rsid w:val="000C4114"/>
    <w:rsid w:val="000C460A"/>
    <w:rsid w:val="000C4956"/>
    <w:rsid w:val="000C4DE7"/>
    <w:rsid w:val="000C4EE5"/>
    <w:rsid w:val="000C55EB"/>
    <w:rsid w:val="000C566C"/>
    <w:rsid w:val="000C57C6"/>
    <w:rsid w:val="000C5882"/>
    <w:rsid w:val="000C5D17"/>
    <w:rsid w:val="000C61FF"/>
    <w:rsid w:val="000C62D3"/>
    <w:rsid w:val="000C63FE"/>
    <w:rsid w:val="000C6766"/>
    <w:rsid w:val="000C6A34"/>
    <w:rsid w:val="000C6A6D"/>
    <w:rsid w:val="000C76C3"/>
    <w:rsid w:val="000C794F"/>
    <w:rsid w:val="000C799C"/>
    <w:rsid w:val="000C7EA2"/>
    <w:rsid w:val="000C7F5C"/>
    <w:rsid w:val="000D11C7"/>
    <w:rsid w:val="000D11F5"/>
    <w:rsid w:val="000D1306"/>
    <w:rsid w:val="000D1791"/>
    <w:rsid w:val="000D1C15"/>
    <w:rsid w:val="000D1FE0"/>
    <w:rsid w:val="000D238B"/>
    <w:rsid w:val="000D25BA"/>
    <w:rsid w:val="000D2605"/>
    <w:rsid w:val="000D2A47"/>
    <w:rsid w:val="000D3170"/>
    <w:rsid w:val="000D3419"/>
    <w:rsid w:val="000D3701"/>
    <w:rsid w:val="000D3A5D"/>
    <w:rsid w:val="000D3BD3"/>
    <w:rsid w:val="000D4B54"/>
    <w:rsid w:val="000D5312"/>
    <w:rsid w:val="000D54FE"/>
    <w:rsid w:val="000D5B1C"/>
    <w:rsid w:val="000D5E18"/>
    <w:rsid w:val="000D5E73"/>
    <w:rsid w:val="000D6130"/>
    <w:rsid w:val="000D62F8"/>
    <w:rsid w:val="000D6386"/>
    <w:rsid w:val="000D646D"/>
    <w:rsid w:val="000D647D"/>
    <w:rsid w:val="000D64D4"/>
    <w:rsid w:val="000D7B8E"/>
    <w:rsid w:val="000E0086"/>
    <w:rsid w:val="000E0671"/>
    <w:rsid w:val="000E0B56"/>
    <w:rsid w:val="000E1849"/>
    <w:rsid w:val="000E18BF"/>
    <w:rsid w:val="000E1AFE"/>
    <w:rsid w:val="000E2301"/>
    <w:rsid w:val="000E2366"/>
    <w:rsid w:val="000E294C"/>
    <w:rsid w:val="000E308A"/>
    <w:rsid w:val="000E30E1"/>
    <w:rsid w:val="000E36C6"/>
    <w:rsid w:val="000E401C"/>
    <w:rsid w:val="000E405F"/>
    <w:rsid w:val="000E4350"/>
    <w:rsid w:val="000E4963"/>
    <w:rsid w:val="000E513E"/>
    <w:rsid w:val="000E51BE"/>
    <w:rsid w:val="000E57C9"/>
    <w:rsid w:val="000E5AC1"/>
    <w:rsid w:val="000E5F92"/>
    <w:rsid w:val="000E62FD"/>
    <w:rsid w:val="000E649A"/>
    <w:rsid w:val="000E6C3B"/>
    <w:rsid w:val="000E764B"/>
    <w:rsid w:val="000E79F0"/>
    <w:rsid w:val="000F05C2"/>
    <w:rsid w:val="000F06BC"/>
    <w:rsid w:val="000F243F"/>
    <w:rsid w:val="000F2D35"/>
    <w:rsid w:val="000F32FA"/>
    <w:rsid w:val="000F3333"/>
    <w:rsid w:val="000F3CEF"/>
    <w:rsid w:val="000F3D69"/>
    <w:rsid w:val="000F3DF5"/>
    <w:rsid w:val="000F4149"/>
    <w:rsid w:val="000F4431"/>
    <w:rsid w:val="000F443B"/>
    <w:rsid w:val="000F46E5"/>
    <w:rsid w:val="000F4F49"/>
    <w:rsid w:val="000F4FF2"/>
    <w:rsid w:val="000F5122"/>
    <w:rsid w:val="000F56D5"/>
    <w:rsid w:val="000F5C8B"/>
    <w:rsid w:val="000F6614"/>
    <w:rsid w:val="000F6ADC"/>
    <w:rsid w:val="000F6B42"/>
    <w:rsid w:val="000F6C98"/>
    <w:rsid w:val="0010029A"/>
    <w:rsid w:val="00100367"/>
    <w:rsid w:val="0010056E"/>
    <w:rsid w:val="00100826"/>
    <w:rsid w:val="00100ADE"/>
    <w:rsid w:val="00100B00"/>
    <w:rsid w:val="00100E85"/>
    <w:rsid w:val="00100F43"/>
    <w:rsid w:val="001016C8"/>
    <w:rsid w:val="00101799"/>
    <w:rsid w:val="0010195F"/>
    <w:rsid w:val="00101EF3"/>
    <w:rsid w:val="001023BD"/>
    <w:rsid w:val="0010274A"/>
    <w:rsid w:val="00102CB9"/>
    <w:rsid w:val="00102D73"/>
    <w:rsid w:val="0010300C"/>
    <w:rsid w:val="0010325D"/>
    <w:rsid w:val="00103BC0"/>
    <w:rsid w:val="00103BD7"/>
    <w:rsid w:val="00104C87"/>
    <w:rsid w:val="00104CF3"/>
    <w:rsid w:val="00105C6B"/>
    <w:rsid w:val="00105E36"/>
    <w:rsid w:val="00106621"/>
    <w:rsid w:val="00107A47"/>
    <w:rsid w:val="00107AFB"/>
    <w:rsid w:val="00107D89"/>
    <w:rsid w:val="00110025"/>
    <w:rsid w:val="00110251"/>
    <w:rsid w:val="00110424"/>
    <w:rsid w:val="0011078E"/>
    <w:rsid w:val="00110BD3"/>
    <w:rsid w:val="00110FD8"/>
    <w:rsid w:val="001114AD"/>
    <w:rsid w:val="0011207F"/>
    <w:rsid w:val="001124BF"/>
    <w:rsid w:val="00113C66"/>
    <w:rsid w:val="00113D21"/>
    <w:rsid w:val="00114DC8"/>
    <w:rsid w:val="001155F5"/>
    <w:rsid w:val="001157FE"/>
    <w:rsid w:val="00115B6B"/>
    <w:rsid w:val="00115FAE"/>
    <w:rsid w:val="00116065"/>
    <w:rsid w:val="0011616E"/>
    <w:rsid w:val="001164F5"/>
    <w:rsid w:val="001165BA"/>
    <w:rsid w:val="001167DF"/>
    <w:rsid w:val="001167F6"/>
    <w:rsid w:val="0011690D"/>
    <w:rsid w:val="001174FE"/>
    <w:rsid w:val="0011776D"/>
    <w:rsid w:val="00117776"/>
    <w:rsid w:val="00117BEF"/>
    <w:rsid w:val="00117E7B"/>
    <w:rsid w:val="00117F69"/>
    <w:rsid w:val="00120222"/>
    <w:rsid w:val="001213AF"/>
    <w:rsid w:val="00121690"/>
    <w:rsid w:val="001216CB"/>
    <w:rsid w:val="00121AC2"/>
    <w:rsid w:val="00121BE9"/>
    <w:rsid w:val="00121DFF"/>
    <w:rsid w:val="001220D9"/>
    <w:rsid w:val="00122352"/>
    <w:rsid w:val="00122DBC"/>
    <w:rsid w:val="00122FD3"/>
    <w:rsid w:val="00123078"/>
    <w:rsid w:val="0012430D"/>
    <w:rsid w:val="00125046"/>
    <w:rsid w:val="001250FD"/>
    <w:rsid w:val="0012556C"/>
    <w:rsid w:val="00126904"/>
    <w:rsid w:val="001269EA"/>
    <w:rsid w:val="00126AD7"/>
    <w:rsid w:val="00126CE0"/>
    <w:rsid w:val="00126DFE"/>
    <w:rsid w:val="001276FD"/>
    <w:rsid w:val="001300D5"/>
    <w:rsid w:val="0013074A"/>
    <w:rsid w:val="00130AFB"/>
    <w:rsid w:val="00130B44"/>
    <w:rsid w:val="00130C0A"/>
    <w:rsid w:val="00130F3F"/>
    <w:rsid w:val="001313CA"/>
    <w:rsid w:val="00131BB3"/>
    <w:rsid w:val="00132036"/>
    <w:rsid w:val="00132E22"/>
    <w:rsid w:val="001331C4"/>
    <w:rsid w:val="00134275"/>
    <w:rsid w:val="00134475"/>
    <w:rsid w:val="00134E2F"/>
    <w:rsid w:val="00134EC8"/>
    <w:rsid w:val="00135D06"/>
    <w:rsid w:val="00135F01"/>
    <w:rsid w:val="00135F36"/>
    <w:rsid w:val="00135F96"/>
    <w:rsid w:val="001360F6"/>
    <w:rsid w:val="00136CB7"/>
    <w:rsid w:val="0013734C"/>
    <w:rsid w:val="0013746F"/>
    <w:rsid w:val="00137697"/>
    <w:rsid w:val="00137FC2"/>
    <w:rsid w:val="00140697"/>
    <w:rsid w:val="001407D4"/>
    <w:rsid w:val="00141071"/>
    <w:rsid w:val="001417B2"/>
    <w:rsid w:val="00141AA9"/>
    <w:rsid w:val="00141CD2"/>
    <w:rsid w:val="00141F28"/>
    <w:rsid w:val="00142090"/>
    <w:rsid w:val="0014237D"/>
    <w:rsid w:val="00142780"/>
    <w:rsid w:val="00142ACA"/>
    <w:rsid w:val="001439B6"/>
    <w:rsid w:val="00143FC9"/>
    <w:rsid w:val="0014418B"/>
    <w:rsid w:val="00144255"/>
    <w:rsid w:val="00145342"/>
    <w:rsid w:val="001453B1"/>
    <w:rsid w:val="00145CA0"/>
    <w:rsid w:val="0014668F"/>
    <w:rsid w:val="00146961"/>
    <w:rsid w:val="0014702F"/>
    <w:rsid w:val="00147805"/>
    <w:rsid w:val="00147BE2"/>
    <w:rsid w:val="001513A2"/>
    <w:rsid w:val="00151A72"/>
    <w:rsid w:val="00151B58"/>
    <w:rsid w:val="00151C8A"/>
    <w:rsid w:val="00151D62"/>
    <w:rsid w:val="00151DE5"/>
    <w:rsid w:val="00152767"/>
    <w:rsid w:val="00152826"/>
    <w:rsid w:val="00153389"/>
    <w:rsid w:val="001535F3"/>
    <w:rsid w:val="00153EC4"/>
    <w:rsid w:val="00153F2F"/>
    <w:rsid w:val="00154448"/>
    <w:rsid w:val="00154520"/>
    <w:rsid w:val="0015487B"/>
    <w:rsid w:val="001552FD"/>
    <w:rsid w:val="001557F6"/>
    <w:rsid w:val="00155BBC"/>
    <w:rsid w:val="00156255"/>
    <w:rsid w:val="0015730C"/>
    <w:rsid w:val="00157592"/>
    <w:rsid w:val="001576A9"/>
    <w:rsid w:val="00157874"/>
    <w:rsid w:val="0016017E"/>
    <w:rsid w:val="0016058C"/>
    <w:rsid w:val="00161307"/>
    <w:rsid w:val="001617B6"/>
    <w:rsid w:val="00161A2F"/>
    <w:rsid w:val="001621D6"/>
    <w:rsid w:val="00162DA1"/>
    <w:rsid w:val="001635CA"/>
    <w:rsid w:val="001637B7"/>
    <w:rsid w:val="0016426C"/>
    <w:rsid w:val="00164340"/>
    <w:rsid w:val="001647E9"/>
    <w:rsid w:val="001648A7"/>
    <w:rsid w:val="00164B1A"/>
    <w:rsid w:val="001650AF"/>
    <w:rsid w:val="0016531E"/>
    <w:rsid w:val="00165655"/>
    <w:rsid w:val="00165854"/>
    <w:rsid w:val="00165864"/>
    <w:rsid w:val="0016619D"/>
    <w:rsid w:val="00166A7D"/>
    <w:rsid w:val="0017037A"/>
    <w:rsid w:val="00170974"/>
    <w:rsid w:val="00170DDF"/>
    <w:rsid w:val="00170E2A"/>
    <w:rsid w:val="00171AEC"/>
    <w:rsid w:val="00171EEF"/>
    <w:rsid w:val="0017221F"/>
    <w:rsid w:val="001722D6"/>
    <w:rsid w:val="0017269B"/>
    <w:rsid w:val="00172F95"/>
    <w:rsid w:val="0017300E"/>
    <w:rsid w:val="0017309D"/>
    <w:rsid w:val="0017360E"/>
    <w:rsid w:val="00173B84"/>
    <w:rsid w:val="00174162"/>
    <w:rsid w:val="001741A7"/>
    <w:rsid w:val="001748ED"/>
    <w:rsid w:val="001758BB"/>
    <w:rsid w:val="00175972"/>
    <w:rsid w:val="00175B7A"/>
    <w:rsid w:val="00175D84"/>
    <w:rsid w:val="001764EE"/>
    <w:rsid w:val="001767DD"/>
    <w:rsid w:val="00176865"/>
    <w:rsid w:val="00176BE6"/>
    <w:rsid w:val="00176E37"/>
    <w:rsid w:val="00176F23"/>
    <w:rsid w:val="00177419"/>
    <w:rsid w:val="00177FCC"/>
    <w:rsid w:val="00180024"/>
    <w:rsid w:val="0018006D"/>
    <w:rsid w:val="00180265"/>
    <w:rsid w:val="00180469"/>
    <w:rsid w:val="00180DA6"/>
    <w:rsid w:val="0018103A"/>
    <w:rsid w:val="00181188"/>
    <w:rsid w:val="001823ED"/>
    <w:rsid w:val="00182852"/>
    <w:rsid w:val="001838A5"/>
    <w:rsid w:val="00183A2E"/>
    <w:rsid w:val="00183A80"/>
    <w:rsid w:val="00183D17"/>
    <w:rsid w:val="001842CC"/>
    <w:rsid w:val="00184F3E"/>
    <w:rsid w:val="00185443"/>
    <w:rsid w:val="00186648"/>
    <w:rsid w:val="00187443"/>
    <w:rsid w:val="00187528"/>
    <w:rsid w:val="00187DE3"/>
    <w:rsid w:val="00190048"/>
    <w:rsid w:val="0019007C"/>
    <w:rsid w:val="001903F9"/>
    <w:rsid w:val="001904CA"/>
    <w:rsid w:val="00190DFD"/>
    <w:rsid w:val="00191306"/>
    <w:rsid w:val="0019136D"/>
    <w:rsid w:val="0019139E"/>
    <w:rsid w:val="00191432"/>
    <w:rsid w:val="001917C6"/>
    <w:rsid w:val="00191A81"/>
    <w:rsid w:val="00191C85"/>
    <w:rsid w:val="001923BF"/>
    <w:rsid w:val="0019254E"/>
    <w:rsid w:val="0019319F"/>
    <w:rsid w:val="001934C4"/>
    <w:rsid w:val="00193B77"/>
    <w:rsid w:val="00193FC2"/>
    <w:rsid w:val="001945A8"/>
    <w:rsid w:val="00194727"/>
    <w:rsid w:val="001947A0"/>
    <w:rsid w:val="00194CF7"/>
    <w:rsid w:val="00194F27"/>
    <w:rsid w:val="0019545A"/>
    <w:rsid w:val="0019575A"/>
    <w:rsid w:val="00195A9F"/>
    <w:rsid w:val="00195C43"/>
    <w:rsid w:val="00195C72"/>
    <w:rsid w:val="001966FE"/>
    <w:rsid w:val="0019741E"/>
    <w:rsid w:val="00197917"/>
    <w:rsid w:val="00197C93"/>
    <w:rsid w:val="001A006A"/>
    <w:rsid w:val="001A0721"/>
    <w:rsid w:val="001A09E9"/>
    <w:rsid w:val="001A0ADA"/>
    <w:rsid w:val="001A12C5"/>
    <w:rsid w:val="001A1E7C"/>
    <w:rsid w:val="001A2601"/>
    <w:rsid w:val="001A289C"/>
    <w:rsid w:val="001A2923"/>
    <w:rsid w:val="001A2924"/>
    <w:rsid w:val="001A2E0A"/>
    <w:rsid w:val="001A2E5C"/>
    <w:rsid w:val="001A2F3A"/>
    <w:rsid w:val="001A3166"/>
    <w:rsid w:val="001A35FB"/>
    <w:rsid w:val="001A3D62"/>
    <w:rsid w:val="001A3FC9"/>
    <w:rsid w:val="001A420B"/>
    <w:rsid w:val="001A4440"/>
    <w:rsid w:val="001A46EE"/>
    <w:rsid w:val="001A529A"/>
    <w:rsid w:val="001A52EA"/>
    <w:rsid w:val="001A5AB2"/>
    <w:rsid w:val="001A5B0F"/>
    <w:rsid w:val="001A5B9E"/>
    <w:rsid w:val="001A5EDA"/>
    <w:rsid w:val="001A62B5"/>
    <w:rsid w:val="001A64F5"/>
    <w:rsid w:val="001A698F"/>
    <w:rsid w:val="001A6B13"/>
    <w:rsid w:val="001A70C5"/>
    <w:rsid w:val="001A72E2"/>
    <w:rsid w:val="001A74D4"/>
    <w:rsid w:val="001A7774"/>
    <w:rsid w:val="001A7836"/>
    <w:rsid w:val="001A7866"/>
    <w:rsid w:val="001A7D62"/>
    <w:rsid w:val="001B10E8"/>
    <w:rsid w:val="001B1339"/>
    <w:rsid w:val="001B13F7"/>
    <w:rsid w:val="001B15B2"/>
    <w:rsid w:val="001B16C9"/>
    <w:rsid w:val="001B1AFB"/>
    <w:rsid w:val="001B1B52"/>
    <w:rsid w:val="001B2515"/>
    <w:rsid w:val="001B2823"/>
    <w:rsid w:val="001B298A"/>
    <w:rsid w:val="001B2AEA"/>
    <w:rsid w:val="001B2BAD"/>
    <w:rsid w:val="001B343F"/>
    <w:rsid w:val="001B390A"/>
    <w:rsid w:val="001B3D56"/>
    <w:rsid w:val="001B3F7A"/>
    <w:rsid w:val="001B4CB4"/>
    <w:rsid w:val="001B5184"/>
    <w:rsid w:val="001B53B9"/>
    <w:rsid w:val="001B5770"/>
    <w:rsid w:val="001B59C2"/>
    <w:rsid w:val="001B5FF3"/>
    <w:rsid w:val="001B6210"/>
    <w:rsid w:val="001B6304"/>
    <w:rsid w:val="001B64BC"/>
    <w:rsid w:val="001B6658"/>
    <w:rsid w:val="001B6CA2"/>
    <w:rsid w:val="001B6E05"/>
    <w:rsid w:val="001B733E"/>
    <w:rsid w:val="001B7387"/>
    <w:rsid w:val="001B75A8"/>
    <w:rsid w:val="001B782B"/>
    <w:rsid w:val="001B7FBC"/>
    <w:rsid w:val="001C0B47"/>
    <w:rsid w:val="001C0F68"/>
    <w:rsid w:val="001C0F99"/>
    <w:rsid w:val="001C1065"/>
    <w:rsid w:val="001C1403"/>
    <w:rsid w:val="001C1505"/>
    <w:rsid w:val="001C1982"/>
    <w:rsid w:val="001C1C24"/>
    <w:rsid w:val="001C1D89"/>
    <w:rsid w:val="001C1EC4"/>
    <w:rsid w:val="001C22D8"/>
    <w:rsid w:val="001C2599"/>
    <w:rsid w:val="001C2991"/>
    <w:rsid w:val="001C2D77"/>
    <w:rsid w:val="001C30FC"/>
    <w:rsid w:val="001C351F"/>
    <w:rsid w:val="001C3A28"/>
    <w:rsid w:val="001C3D22"/>
    <w:rsid w:val="001C3ED7"/>
    <w:rsid w:val="001C3EFF"/>
    <w:rsid w:val="001C4CB9"/>
    <w:rsid w:val="001C57BD"/>
    <w:rsid w:val="001C5969"/>
    <w:rsid w:val="001C5A47"/>
    <w:rsid w:val="001C5BA8"/>
    <w:rsid w:val="001C5BB9"/>
    <w:rsid w:val="001C6370"/>
    <w:rsid w:val="001C663A"/>
    <w:rsid w:val="001C6945"/>
    <w:rsid w:val="001C6C95"/>
    <w:rsid w:val="001C6E6A"/>
    <w:rsid w:val="001C7B61"/>
    <w:rsid w:val="001C7CCA"/>
    <w:rsid w:val="001D0248"/>
    <w:rsid w:val="001D0634"/>
    <w:rsid w:val="001D09B2"/>
    <w:rsid w:val="001D0B70"/>
    <w:rsid w:val="001D12A6"/>
    <w:rsid w:val="001D13D2"/>
    <w:rsid w:val="001D2916"/>
    <w:rsid w:val="001D2924"/>
    <w:rsid w:val="001D2A19"/>
    <w:rsid w:val="001D2D34"/>
    <w:rsid w:val="001D375A"/>
    <w:rsid w:val="001D3E9C"/>
    <w:rsid w:val="001D3EA1"/>
    <w:rsid w:val="001D3EFC"/>
    <w:rsid w:val="001D3FDD"/>
    <w:rsid w:val="001D4F82"/>
    <w:rsid w:val="001D526B"/>
    <w:rsid w:val="001D5A1B"/>
    <w:rsid w:val="001D640A"/>
    <w:rsid w:val="001D6711"/>
    <w:rsid w:val="001D6C32"/>
    <w:rsid w:val="001D73AC"/>
    <w:rsid w:val="001D7848"/>
    <w:rsid w:val="001D7A88"/>
    <w:rsid w:val="001E0783"/>
    <w:rsid w:val="001E087C"/>
    <w:rsid w:val="001E0E13"/>
    <w:rsid w:val="001E0E54"/>
    <w:rsid w:val="001E15E9"/>
    <w:rsid w:val="001E1604"/>
    <w:rsid w:val="001E1EB4"/>
    <w:rsid w:val="001E26C4"/>
    <w:rsid w:val="001E3346"/>
    <w:rsid w:val="001E3A29"/>
    <w:rsid w:val="001E42E3"/>
    <w:rsid w:val="001E43F4"/>
    <w:rsid w:val="001E44E6"/>
    <w:rsid w:val="001E47CA"/>
    <w:rsid w:val="001E4A9A"/>
    <w:rsid w:val="001E4BC9"/>
    <w:rsid w:val="001E5825"/>
    <w:rsid w:val="001E5F6D"/>
    <w:rsid w:val="001E5FF0"/>
    <w:rsid w:val="001E6BD6"/>
    <w:rsid w:val="001E6EDC"/>
    <w:rsid w:val="001F106D"/>
    <w:rsid w:val="001F13C9"/>
    <w:rsid w:val="001F1826"/>
    <w:rsid w:val="001F19E4"/>
    <w:rsid w:val="001F1E79"/>
    <w:rsid w:val="001F24AB"/>
    <w:rsid w:val="001F2A89"/>
    <w:rsid w:val="001F2EA4"/>
    <w:rsid w:val="001F325F"/>
    <w:rsid w:val="001F33BC"/>
    <w:rsid w:val="001F3685"/>
    <w:rsid w:val="001F3FAD"/>
    <w:rsid w:val="001F49D5"/>
    <w:rsid w:val="001F4C02"/>
    <w:rsid w:val="001F4D87"/>
    <w:rsid w:val="001F56D8"/>
    <w:rsid w:val="001F65E8"/>
    <w:rsid w:val="001F6672"/>
    <w:rsid w:val="001F6C2B"/>
    <w:rsid w:val="001F6D4D"/>
    <w:rsid w:val="001F6D7A"/>
    <w:rsid w:val="001F6E0D"/>
    <w:rsid w:val="001F6E45"/>
    <w:rsid w:val="001F7122"/>
    <w:rsid w:val="001F7451"/>
    <w:rsid w:val="001F7E28"/>
    <w:rsid w:val="0020032F"/>
    <w:rsid w:val="00200DDA"/>
    <w:rsid w:val="0020115E"/>
    <w:rsid w:val="00201634"/>
    <w:rsid w:val="00201913"/>
    <w:rsid w:val="00202764"/>
    <w:rsid w:val="0020298A"/>
    <w:rsid w:val="002029F0"/>
    <w:rsid w:val="00202B39"/>
    <w:rsid w:val="00203CDF"/>
    <w:rsid w:val="00203F1C"/>
    <w:rsid w:val="00204279"/>
    <w:rsid w:val="0020485F"/>
    <w:rsid w:val="002053E0"/>
    <w:rsid w:val="0020614E"/>
    <w:rsid w:val="00206272"/>
    <w:rsid w:val="00206D03"/>
    <w:rsid w:val="00206DB5"/>
    <w:rsid w:val="00207C71"/>
    <w:rsid w:val="00207D04"/>
    <w:rsid w:val="002104BB"/>
    <w:rsid w:val="002106A6"/>
    <w:rsid w:val="002113B1"/>
    <w:rsid w:val="00211410"/>
    <w:rsid w:val="002116A5"/>
    <w:rsid w:val="002119DC"/>
    <w:rsid w:val="002121BF"/>
    <w:rsid w:val="002123F6"/>
    <w:rsid w:val="002124CB"/>
    <w:rsid w:val="002138C1"/>
    <w:rsid w:val="00214581"/>
    <w:rsid w:val="00214875"/>
    <w:rsid w:val="0021519C"/>
    <w:rsid w:val="002154F5"/>
    <w:rsid w:val="00215F60"/>
    <w:rsid w:val="00215FE8"/>
    <w:rsid w:val="00216EF0"/>
    <w:rsid w:val="002175B1"/>
    <w:rsid w:val="002176B2"/>
    <w:rsid w:val="002176CC"/>
    <w:rsid w:val="002177A7"/>
    <w:rsid w:val="00217C06"/>
    <w:rsid w:val="00217CD3"/>
    <w:rsid w:val="00217D35"/>
    <w:rsid w:val="00217D41"/>
    <w:rsid w:val="00217DF8"/>
    <w:rsid w:val="002201BE"/>
    <w:rsid w:val="00220263"/>
    <w:rsid w:val="00221182"/>
    <w:rsid w:val="0022197D"/>
    <w:rsid w:val="00221F56"/>
    <w:rsid w:val="00223000"/>
    <w:rsid w:val="002233E5"/>
    <w:rsid w:val="00223EAC"/>
    <w:rsid w:val="002244CB"/>
    <w:rsid w:val="00224A19"/>
    <w:rsid w:val="00224B2A"/>
    <w:rsid w:val="00225019"/>
    <w:rsid w:val="00225960"/>
    <w:rsid w:val="00225BE7"/>
    <w:rsid w:val="0022632E"/>
    <w:rsid w:val="0022657C"/>
    <w:rsid w:val="002268E6"/>
    <w:rsid w:val="00227F6C"/>
    <w:rsid w:val="00230723"/>
    <w:rsid w:val="00230A2B"/>
    <w:rsid w:val="0023105D"/>
    <w:rsid w:val="00231198"/>
    <w:rsid w:val="00231449"/>
    <w:rsid w:val="00231D9C"/>
    <w:rsid w:val="00232445"/>
    <w:rsid w:val="002327BF"/>
    <w:rsid w:val="00232AAB"/>
    <w:rsid w:val="00232F1D"/>
    <w:rsid w:val="00232F36"/>
    <w:rsid w:val="00233D92"/>
    <w:rsid w:val="00233E5E"/>
    <w:rsid w:val="00233F44"/>
    <w:rsid w:val="00234357"/>
    <w:rsid w:val="002343B5"/>
    <w:rsid w:val="0023468A"/>
    <w:rsid w:val="002347C9"/>
    <w:rsid w:val="00234A10"/>
    <w:rsid w:val="00234B95"/>
    <w:rsid w:val="00235907"/>
    <w:rsid w:val="00235E82"/>
    <w:rsid w:val="0023717E"/>
    <w:rsid w:val="002374A8"/>
    <w:rsid w:val="0024038E"/>
    <w:rsid w:val="002405C8"/>
    <w:rsid w:val="00240651"/>
    <w:rsid w:val="00240BF9"/>
    <w:rsid w:val="00241282"/>
    <w:rsid w:val="002412C2"/>
    <w:rsid w:val="00241591"/>
    <w:rsid w:val="00241A1F"/>
    <w:rsid w:val="00241B75"/>
    <w:rsid w:val="00241D2D"/>
    <w:rsid w:val="0024240B"/>
    <w:rsid w:val="002427D5"/>
    <w:rsid w:val="002429D8"/>
    <w:rsid w:val="00242D4B"/>
    <w:rsid w:val="00243450"/>
    <w:rsid w:val="002434D4"/>
    <w:rsid w:val="002439DA"/>
    <w:rsid w:val="00244066"/>
    <w:rsid w:val="002442E7"/>
    <w:rsid w:val="00244AFA"/>
    <w:rsid w:val="00244BA5"/>
    <w:rsid w:val="002452AB"/>
    <w:rsid w:val="00245DBA"/>
    <w:rsid w:val="00245E2E"/>
    <w:rsid w:val="00245F15"/>
    <w:rsid w:val="00245FFF"/>
    <w:rsid w:val="0024623E"/>
    <w:rsid w:val="00246667"/>
    <w:rsid w:val="002467C4"/>
    <w:rsid w:val="002469EB"/>
    <w:rsid w:val="00246A0B"/>
    <w:rsid w:val="00246BA6"/>
    <w:rsid w:val="00246E26"/>
    <w:rsid w:val="002473F6"/>
    <w:rsid w:val="00247BC7"/>
    <w:rsid w:val="00247C1E"/>
    <w:rsid w:val="00250695"/>
    <w:rsid w:val="00250BCE"/>
    <w:rsid w:val="00251073"/>
    <w:rsid w:val="002512B9"/>
    <w:rsid w:val="00251392"/>
    <w:rsid w:val="00251474"/>
    <w:rsid w:val="002514FB"/>
    <w:rsid w:val="002516A1"/>
    <w:rsid w:val="002517D5"/>
    <w:rsid w:val="00251CD0"/>
    <w:rsid w:val="00251EBE"/>
    <w:rsid w:val="002521BE"/>
    <w:rsid w:val="00252200"/>
    <w:rsid w:val="00252F22"/>
    <w:rsid w:val="00253991"/>
    <w:rsid w:val="00253C42"/>
    <w:rsid w:val="00253D1E"/>
    <w:rsid w:val="002548C9"/>
    <w:rsid w:val="00254D31"/>
    <w:rsid w:val="00255B11"/>
    <w:rsid w:val="002561F9"/>
    <w:rsid w:val="0025656C"/>
    <w:rsid w:val="0025686E"/>
    <w:rsid w:val="00256A15"/>
    <w:rsid w:val="00256C11"/>
    <w:rsid w:val="00256CAE"/>
    <w:rsid w:val="00256E50"/>
    <w:rsid w:val="00257C9E"/>
    <w:rsid w:val="00257DD3"/>
    <w:rsid w:val="002606E2"/>
    <w:rsid w:val="00260700"/>
    <w:rsid w:val="00260E3B"/>
    <w:rsid w:val="00261259"/>
    <w:rsid w:val="002612FD"/>
    <w:rsid w:val="002621BA"/>
    <w:rsid w:val="00262287"/>
    <w:rsid w:val="00263838"/>
    <w:rsid w:val="0026395B"/>
    <w:rsid w:val="0026417A"/>
    <w:rsid w:val="002641D5"/>
    <w:rsid w:val="00264668"/>
    <w:rsid w:val="00264703"/>
    <w:rsid w:val="002647BD"/>
    <w:rsid w:val="00265319"/>
    <w:rsid w:val="00265A9A"/>
    <w:rsid w:val="00265F22"/>
    <w:rsid w:val="00266055"/>
    <w:rsid w:val="0026619D"/>
    <w:rsid w:val="00266354"/>
    <w:rsid w:val="00266445"/>
    <w:rsid w:val="00266507"/>
    <w:rsid w:val="002668BA"/>
    <w:rsid w:val="00266B81"/>
    <w:rsid w:val="00266F18"/>
    <w:rsid w:val="0026716E"/>
    <w:rsid w:val="0026787C"/>
    <w:rsid w:val="00267A26"/>
    <w:rsid w:val="00270072"/>
    <w:rsid w:val="0027026F"/>
    <w:rsid w:val="00270646"/>
    <w:rsid w:val="00270A57"/>
    <w:rsid w:val="00270C3F"/>
    <w:rsid w:val="00270D64"/>
    <w:rsid w:val="00271671"/>
    <w:rsid w:val="00271CA7"/>
    <w:rsid w:val="00271DD6"/>
    <w:rsid w:val="00271DF9"/>
    <w:rsid w:val="00271E4D"/>
    <w:rsid w:val="002721A9"/>
    <w:rsid w:val="002725C7"/>
    <w:rsid w:val="00272B7C"/>
    <w:rsid w:val="002748A4"/>
    <w:rsid w:val="00274D53"/>
    <w:rsid w:val="00274F46"/>
    <w:rsid w:val="00274FA6"/>
    <w:rsid w:val="0027500B"/>
    <w:rsid w:val="00275145"/>
    <w:rsid w:val="002751DF"/>
    <w:rsid w:val="00276D70"/>
    <w:rsid w:val="00277300"/>
    <w:rsid w:val="0027734D"/>
    <w:rsid w:val="002776A4"/>
    <w:rsid w:val="0028017F"/>
    <w:rsid w:val="002801EC"/>
    <w:rsid w:val="0028118E"/>
    <w:rsid w:val="00281F92"/>
    <w:rsid w:val="00281FBA"/>
    <w:rsid w:val="00282135"/>
    <w:rsid w:val="002826AC"/>
    <w:rsid w:val="00282EEA"/>
    <w:rsid w:val="002832D8"/>
    <w:rsid w:val="00283AA8"/>
    <w:rsid w:val="00283AC3"/>
    <w:rsid w:val="00283D24"/>
    <w:rsid w:val="0028402C"/>
    <w:rsid w:val="00284236"/>
    <w:rsid w:val="00284819"/>
    <w:rsid w:val="002849FA"/>
    <w:rsid w:val="00284C50"/>
    <w:rsid w:val="002851A0"/>
    <w:rsid w:val="00285AF2"/>
    <w:rsid w:val="00285B9B"/>
    <w:rsid w:val="00286C2E"/>
    <w:rsid w:val="002872A3"/>
    <w:rsid w:val="00287F30"/>
    <w:rsid w:val="002909DF"/>
    <w:rsid w:val="00290D20"/>
    <w:rsid w:val="00290D5C"/>
    <w:rsid w:val="00291587"/>
    <w:rsid w:val="00291717"/>
    <w:rsid w:val="00291E57"/>
    <w:rsid w:val="00291E71"/>
    <w:rsid w:val="00293A68"/>
    <w:rsid w:val="00293DDA"/>
    <w:rsid w:val="002943FE"/>
    <w:rsid w:val="00294431"/>
    <w:rsid w:val="00294ABB"/>
    <w:rsid w:val="00294BF3"/>
    <w:rsid w:val="002954DD"/>
    <w:rsid w:val="00295802"/>
    <w:rsid w:val="00295C3F"/>
    <w:rsid w:val="00296CAB"/>
    <w:rsid w:val="00296FEC"/>
    <w:rsid w:val="0029717F"/>
    <w:rsid w:val="002975B8"/>
    <w:rsid w:val="002977D1"/>
    <w:rsid w:val="002977F7"/>
    <w:rsid w:val="00297F34"/>
    <w:rsid w:val="002A026C"/>
    <w:rsid w:val="002A2627"/>
    <w:rsid w:val="002A2FBF"/>
    <w:rsid w:val="002A3951"/>
    <w:rsid w:val="002A3F3F"/>
    <w:rsid w:val="002A4015"/>
    <w:rsid w:val="002A47AA"/>
    <w:rsid w:val="002A4A56"/>
    <w:rsid w:val="002A5087"/>
    <w:rsid w:val="002A5232"/>
    <w:rsid w:val="002A52A2"/>
    <w:rsid w:val="002A5DF1"/>
    <w:rsid w:val="002A5F6E"/>
    <w:rsid w:val="002A5FA6"/>
    <w:rsid w:val="002A6779"/>
    <w:rsid w:val="002A68A2"/>
    <w:rsid w:val="002A7E39"/>
    <w:rsid w:val="002B0481"/>
    <w:rsid w:val="002B08AB"/>
    <w:rsid w:val="002B0BC6"/>
    <w:rsid w:val="002B0BF9"/>
    <w:rsid w:val="002B0C2C"/>
    <w:rsid w:val="002B0CDD"/>
    <w:rsid w:val="002B0F5E"/>
    <w:rsid w:val="002B1E68"/>
    <w:rsid w:val="002B20D9"/>
    <w:rsid w:val="002B25BE"/>
    <w:rsid w:val="002B2655"/>
    <w:rsid w:val="002B280C"/>
    <w:rsid w:val="002B29F7"/>
    <w:rsid w:val="002B2A50"/>
    <w:rsid w:val="002B2D73"/>
    <w:rsid w:val="002B306D"/>
    <w:rsid w:val="002B35C4"/>
    <w:rsid w:val="002B35D1"/>
    <w:rsid w:val="002B3BD3"/>
    <w:rsid w:val="002B3C86"/>
    <w:rsid w:val="002B46AE"/>
    <w:rsid w:val="002B4831"/>
    <w:rsid w:val="002B496F"/>
    <w:rsid w:val="002B4A26"/>
    <w:rsid w:val="002B54B6"/>
    <w:rsid w:val="002B5898"/>
    <w:rsid w:val="002B5CD3"/>
    <w:rsid w:val="002B6528"/>
    <w:rsid w:val="002B703E"/>
    <w:rsid w:val="002B72F9"/>
    <w:rsid w:val="002B73B4"/>
    <w:rsid w:val="002B7632"/>
    <w:rsid w:val="002B77BB"/>
    <w:rsid w:val="002B786F"/>
    <w:rsid w:val="002B7BD3"/>
    <w:rsid w:val="002C00B2"/>
    <w:rsid w:val="002C0F1D"/>
    <w:rsid w:val="002C16A4"/>
    <w:rsid w:val="002C16B6"/>
    <w:rsid w:val="002C18ED"/>
    <w:rsid w:val="002C19FE"/>
    <w:rsid w:val="002C1C39"/>
    <w:rsid w:val="002C1D28"/>
    <w:rsid w:val="002C1D64"/>
    <w:rsid w:val="002C1E40"/>
    <w:rsid w:val="002C22F2"/>
    <w:rsid w:val="002C2994"/>
    <w:rsid w:val="002C2A47"/>
    <w:rsid w:val="002C347A"/>
    <w:rsid w:val="002C35EE"/>
    <w:rsid w:val="002C374A"/>
    <w:rsid w:val="002C3AC2"/>
    <w:rsid w:val="002C3FDD"/>
    <w:rsid w:val="002C4745"/>
    <w:rsid w:val="002C4753"/>
    <w:rsid w:val="002C47D9"/>
    <w:rsid w:val="002C4A45"/>
    <w:rsid w:val="002C4D22"/>
    <w:rsid w:val="002C5B20"/>
    <w:rsid w:val="002C6377"/>
    <w:rsid w:val="002C6418"/>
    <w:rsid w:val="002C687B"/>
    <w:rsid w:val="002C6AD2"/>
    <w:rsid w:val="002C70A0"/>
    <w:rsid w:val="002C7425"/>
    <w:rsid w:val="002C77C8"/>
    <w:rsid w:val="002C7D88"/>
    <w:rsid w:val="002C7DAF"/>
    <w:rsid w:val="002D0281"/>
    <w:rsid w:val="002D049B"/>
    <w:rsid w:val="002D0907"/>
    <w:rsid w:val="002D09BE"/>
    <w:rsid w:val="002D1780"/>
    <w:rsid w:val="002D1868"/>
    <w:rsid w:val="002D1A15"/>
    <w:rsid w:val="002D2784"/>
    <w:rsid w:val="002D27EE"/>
    <w:rsid w:val="002D3148"/>
    <w:rsid w:val="002D3257"/>
    <w:rsid w:val="002D3B2C"/>
    <w:rsid w:val="002D3B63"/>
    <w:rsid w:val="002D3BD3"/>
    <w:rsid w:val="002D3E84"/>
    <w:rsid w:val="002D4430"/>
    <w:rsid w:val="002D4AF4"/>
    <w:rsid w:val="002D4C56"/>
    <w:rsid w:val="002D56A6"/>
    <w:rsid w:val="002D59D6"/>
    <w:rsid w:val="002D5A0A"/>
    <w:rsid w:val="002D5A5E"/>
    <w:rsid w:val="002D5C8E"/>
    <w:rsid w:val="002D5CFD"/>
    <w:rsid w:val="002D7985"/>
    <w:rsid w:val="002D79C1"/>
    <w:rsid w:val="002D7A03"/>
    <w:rsid w:val="002E0168"/>
    <w:rsid w:val="002E023D"/>
    <w:rsid w:val="002E03D4"/>
    <w:rsid w:val="002E06A9"/>
    <w:rsid w:val="002E0ADD"/>
    <w:rsid w:val="002E0EFF"/>
    <w:rsid w:val="002E1022"/>
    <w:rsid w:val="002E113F"/>
    <w:rsid w:val="002E135D"/>
    <w:rsid w:val="002E260F"/>
    <w:rsid w:val="002E2DE8"/>
    <w:rsid w:val="002E39A9"/>
    <w:rsid w:val="002E3D80"/>
    <w:rsid w:val="002E4435"/>
    <w:rsid w:val="002E4B7E"/>
    <w:rsid w:val="002E4D14"/>
    <w:rsid w:val="002E501F"/>
    <w:rsid w:val="002E568C"/>
    <w:rsid w:val="002E56F0"/>
    <w:rsid w:val="002E5855"/>
    <w:rsid w:val="002E5935"/>
    <w:rsid w:val="002E593D"/>
    <w:rsid w:val="002E5AEC"/>
    <w:rsid w:val="002E5E66"/>
    <w:rsid w:val="002E6004"/>
    <w:rsid w:val="002E61F0"/>
    <w:rsid w:val="002E6949"/>
    <w:rsid w:val="002F013F"/>
    <w:rsid w:val="002F02DD"/>
    <w:rsid w:val="002F04DB"/>
    <w:rsid w:val="002F052A"/>
    <w:rsid w:val="002F0926"/>
    <w:rsid w:val="002F095C"/>
    <w:rsid w:val="002F0989"/>
    <w:rsid w:val="002F22CC"/>
    <w:rsid w:val="002F24EB"/>
    <w:rsid w:val="002F27AD"/>
    <w:rsid w:val="002F2B20"/>
    <w:rsid w:val="002F2F28"/>
    <w:rsid w:val="002F2FE3"/>
    <w:rsid w:val="002F3431"/>
    <w:rsid w:val="002F36E4"/>
    <w:rsid w:val="002F36F0"/>
    <w:rsid w:val="002F3E88"/>
    <w:rsid w:val="002F3FBC"/>
    <w:rsid w:val="002F4BFC"/>
    <w:rsid w:val="002F4E98"/>
    <w:rsid w:val="002F51EB"/>
    <w:rsid w:val="002F5B55"/>
    <w:rsid w:val="002F5E1D"/>
    <w:rsid w:val="002F6541"/>
    <w:rsid w:val="002F68BE"/>
    <w:rsid w:val="002F6A03"/>
    <w:rsid w:val="002F6B14"/>
    <w:rsid w:val="002F6EA5"/>
    <w:rsid w:val="002F6F2E"/>
    <w:rsid w:val="002F7413"/>
    <w:rsid w:val="002F7B01"/>
    <w:rsid w:val="002F7D40"/>
    <w:rsid w:val="002F7EDA"/>
    <w:rsid w:val="002F7F34"/>
    <w:rsid w:val="00300000"/>
    <w:rsid w:val="003001BD"/>
    <w:rsid w:val="003008CF"/>
    <w:rsid w:val="00300C38"/>
    <w:rsid w:val="00300CDF"/>
    <w:rsid w:val="00301033"/>
    <w:rsid w:val="00301506"/>
    <w:rsid w:val="00301E52"/>
    <w:rsid w:val="0030225F"/>
    <w:rsid w:val="003022BA"/>
    <w:rsid w:val="00302BD3"/>
    <w:rsid w:val="00302F47"/>
    <w:rsid w:val="00303067"/>
    <w:rsid w:val="00303A40"/>
    <w:rsid w:val="00303EB5"/>
    <w:rsid w:val="00303F6D"/>
    <w:rsid w:val="003045EE"/>
    <w:rsid w:val="00304697"/>
    <w:rsid w:val="00304B84"/>
    <w:rsid w:val="00304EA6"/>
    <w:rsid w:val="00305088"/>
    <w:rsid w:val="00305290"/>
    <w:rsid w:val="0030586F"/>
    <w:rsid w:val="00305CF6"/>
    <w:rsid w:val="003063FE"/>
    <w:rsid w:val="003063FF"/>
    <w:rsid w:val="003069A9"/>
    <w:rsid w:val="00306B1D"/>
    <w:rsid w:val="00306C94"/>
    <w:rsid w:val="00306FDD"/>
    <w:rsid w:val="00307181"/>
    <w:rsid w:val="00307406"/>
    <w:rsid w:val="00307ACF"/>
    <w:rsid w:val="00307C29"/>
    <w:rsid w:val="00311285"/>
    <w:rsid w:val="00311AE3"/>
    <w:rsid w:val="00311ED9"/>
    <w:rsid w:val="00311F07"/>
    <w:rsid w:val="00312987"/>
    <w:rsid w:val="00312A6B"/>
    <w:rsid w:val="00312F98"/>
    <w:rsid w:val="00313300"/>
    <w:rsid w:val="003133C5"/>
    <w:rsid w:val="00313BD8"/>
    <w:rsid w:val="00313CFF"/>
    <w:rsid w:val="003140DE"/>
    <w:rsid w:val="003143F5"/>
    <w:rsid w:val="003148E8"/>
    <w:rsid w:val="00314A55"/>
    <w:rsid w:val="00314F2C"/>
    <w:rsid w:val="00315193"/>
    <w:rsid w:val="003153C5"/>
    <w:rsid w:val="003157C3"/>
    <w:rsid w:val="00315A40"/>
    <w:rsid w:val="00315FFB"/>
    <w:rsid w:val="0031602D"/>
    <w:rsid w:val="003167B2"/>
    <w:rsid w:val="0031681C"/>
    <w:rsid w:val="00317B98"/>
    <w:rsid w:val="00317C0B"/>
    <w:rsid w:val="00317E20"/>
    <w:rsid w:val="00317F42"/>
    <w:rsid w:val="00320046"/>
    <w:rsid w:val="0032056D"/>
    <w:rsid w:val="00320B33"/>
    <w:rsid w:val="0032102A"/>
    <w:rsid w:val="003210CB"/>
    <w:rsid w:val="003214FA"/>
    <w:rsid w:val="00321566"/>
    <w:rsid w:val="0032168B"/>
    <w:rsid w:val="0032268A"/>
    <w:rsid w:val="003228B6"/>
    <w:rsid w:val="003238F6"/>
    <w:rsid w:val="00323B8C"/>
    <w:rsid w:val="00323CBF"/>
    <w:rsid w:val="00323E13"/>
    <w:rsid w:val="00324B97"/>
    <w:rsid w:val="003250DD"/>
    <w:rsid w:val="003255E3"/>
    <w:rsid w:val="00325683"/>
    <w:rsid w:val="00325A44"/>
    <w:rsid w:val="00325A54"/>
    <w:rsid w:val="00325E7F"/>
    <w:rsid w:val="00325EC0"/>
    <w:rsid w:val="00326050"/>
    <w:rsid w:val="00326130"/>
    <w:rsid w:val="00326C4F"/>
    <w:rsid w:val="003279D1"/>
    <w:rsid w:val="00327B4D"/>
    <w:rsid w:val="00327E96"/>
    <w:rsid w:val="00330CD9"/>
    <w:rsid w:val="00330D81"/>
    <w:rsid w:val="0033109C"/>
    <w:rsid w:val="003315A9"/>
    <w:rsid w:val="00331834"/>
    <w:rsid w:val="00331A63"/>
    <w:rsid w:val="00332512"/>
    <w:rsid w:val="003328CB"/>
    <w:rsid w:val="00332AE7"/>
    <w:rsid w:val="00332D05"/>
    <w:rsid w:val="00333335"/>
    <w:rsid w:val="00333C52"/>
    <w:rsid w:val="0033426C"/>
    <w:rsid w:val="0033438E"/>
    <w:rsid w:val="00334CA8"/>
    <w:rsid w:val="00334D80"/>
    <w:rsid w:val="00334EDD"/>
    <w:rsid w:val="00335725"/>
    <w:rsid w:val="00335C71"/>
    <w:rsid w:val="00336920"/>
    <w:rsid w:val="00337664"/>
    <w:rsid w:val="00340320"/>
    <w:rsid w:val="0034116F"/>
    <w:rsid w:val="00341466"/>
    <w:rsid w:val="0034168A"/>
    <w:rsid w:val="00342412"/>
    <w:rsid w:val="00342C21"/>
    <w:rsid w:val="00342ECD"/>
    <w:rsid w:val="003434EE"/>
    <w:rsid w:val="0034413B"/>
    <w:rsid w:val="003446CB"/>
    <w:rsid w:val="00345151"/>
    <w:rsid w:val="003451F0"/>
    <w:rsid w:val="003453EE"/>
    <w:rsid w:val="00345BF4"/>
    <w:rsid w:val="00345C00"/>
    <w:rsid w:val="0034605A"/>
    <w:rsid w:val="003464C3"/>
    <w:rsid w:val="003464DE"/>
    <w:rsid w:val="003465D3"/>
    <w:rsid w:val="003467BB"/>
    <w:rsid w:val="003467EA"/>
    <w:rsid w:val="00346E4A"/>
    <w:rsid w:val="00346FE3"/>
    <w:rsid w:val="003470E4"/>
    <w:rsid w:val="00347500"/>
    <w:rsid w:val="003475A8"/>
    <w:rsid w:val="003476BC"/>
    <w:rsid w:val="00347923"/>
    <w:rsid w:val="00347FC8"/>
    <w:rsid w:val="00350048"/>
    <w:rsid w:val="003500D1"/>
    <w:rsid w:val="003501CF"/>
    <w:rsid w:val="0035021B"/>
    <w:rsid w:val="00350399"/>
    <w:rsid w:val="00350721"/>
    <w:rsid w:val="00350E3C"/>
    <w:rsid w:val="00350FCB"/>
    <w:rsid w:val="00351083"/>
    <w:rsid w:val="00351181"/>
    <w:rsid w:val="0035122A"/>
    <w:rsid w:val="003516B8"/>
    <w:rsid w:val="00351F30"/>
    <w:rsid w:val="00351F58"/>
    <w:rsid w:val="00351FE6"/>
    <w:rsid w:val="003522A6"/>
    <w:rsid w:val="00352763"/>
    <w:rsid w:val="00352828"/>
    <w:rsid w:val="00353227"/>
    <w:rsid w:val="00353391"/>
    <w:rsid w:val="00353D7D"/>
    <w:rsid w:val="00353E5D"/>
    <w:rsid w:val="00354083"/>
    <w:rsid w:val="003541FF"/>
    <w:rsid w:val="003548C0"/>
    <w:rsid w:val="003548FB"/>
    <w:rsid w:val="0035493D"/>
    <w:rsid w:val="00355449"/>
    <w:rsid w:val="00355D48"/>
    <w:rsid w:val="00356111"/>
    <w:rsid w:val="003563F9"/>
    <w:rsid w:val="003572C2"/>
    <w:rsid w:val="00357377"/>
    <w:rsid w:val="003573F3"/>
    <w:rsid w:val="003576A9"/>
    <w:rsid w:val="003579C6"/>
    <w:rsid w:val="00357A44"/>
    <w:rsid w:val="00357C97"/>
    <w:rsid w:val="00357CCA"/>
    <w:rsid w:val="003603E7"/>
    <w:rsid w:val="00360421"/>
    <w:rsid w:val="003605A5"/>
    <w:rsid w:val="00360A3F"/>
    <w:rsid w:val="00360B1E"/>
    <w:rsid w:val="00360E96"/>
    <w:rsid w:val="003612F1"/>
    <w:rsid w:val="00361435"/>
    <w:rsid w:val="003615D9"/>
    <w:rsid w:val="003617E5"/>
    <w:rsid w:val="003619F2"/>
    <w:rsid w:val="00361C2B"/>
    <w:rsid w:val="00361DA0"/>
    <w:rsid w:val="00361E85"/>
    <w:rsid w:val="003632C4"/>
    <w:rsid w:val="003634B4"/>
    <w:rsid w:val="003639B6"/>
    <w:rsid w:val="0036409C"/>
    <w:rsid w:val="00364348"/>
    <w:rsid w:val="003649C1"/>
    <w:rsid w:val="00364CFF"/>
    <w:rsid w:val="00365362"/>
    <w:rsid w:val="003655F9"/>
    <w:rsid w:val="00365A77"/>
    <w:rsid w:val="00365E5A"/>
    <w:rsid w:val="003663BC"/>
    <w:rsid w:val="003667BE"/>
    <w:rsid w:val="00366D8C"/>
    <w:rsid w:val="00366DAB"/>
    <w:rsid w:val="00366F94"/>
    <w:rsid w:val="0036731C"/>
    <w:rsid w:val="003673CF"/>
    <w:rsid w:val="00367D74"/>
    <w:rsid w:val="00367FF1"/>
    <w:rsid w:val="003703D6"/>
    <w:rsid w:val="003703EA"/>
    <w:rsid w:val="003709B4"/>
    <w:rsid w:val="00371035"/>
    <w:rsid w:val="003712C7"/>
    <w:rsid w:val="003713FB"/>
    <w:rsid w:val="00371425"/>
    <w:rsid w:val="00371514"/>
    <w:rsid w:val="0037179D"/>
    <w:rsid w:val="00372018"/>
    <w:rsid w:val="0037257E"/>
    <w:rsid w:val="003729BB"/>
    <w:rsid w:val="00372DE4"/>
    <w:rsid w:val="0037308E"/>
    <w:rsid w:val="003732E9"/>
    <w:rsid w:val="003738A7"/>
    <w:rsid w:val="00373D9D"/>
    <w:rsid w:val="00373FD9"/>
    <w:rsid w:val="00374109"/>
    <w:rsid w:val="003745F8"/>
    <w:rsid w:val="00375D50"/>
    <w:rsid w:val="00375ECB"/>
    <w:rsid w:val="003764CA"/>
    <w:rsid w:val="003765B5"/>
    <w:rsid w:val="0037667C"/>
    <w:rsid w:val="00376DEF"/>
    <w:rsid w:val="00377075"/>
    <w:rsid w:val="003776F8"/>
    <w:rsid w:val="003778F6"/>
    <w:rsid w:val="00377A6F"/>
    <w:rsid w:val="00377BAB"/>
    <w:rsid w:val="00377D57"/>
    <w:rsid w:val="00377DCD"/>
    <w:rsid w:val="00377F78"/>
    <w:rsid w:val="0038026B"/>
    <w:rsid w:val="00380412"/>
    <w:rsid w:val="0038064E"/>
    <w:rsid w:val="00380C3B"/>
    <w:rsid w:val="00380DED"/>
    <w:rsid w:val="00380E08"/>
    <w:rsid w:val="0038122A"/>
    <w:rsid w:val="0038161F"/>
    <w:rsid w:val="003816B6"/>
    <w:rsid w:val="0038210F"/>
    <w:rsid w:val="003823D5"/>
    <w:rsid w:val="003827D9"/>
    <w:rsid w:val="003829E8"/>
    <w:rsid w:val="00382DCB"/>
    <w:rsid w:val="003834EB"/>
    <w:rsid w:val="003835DD"/>
    <w:rsid w:val="0038364B"/>
    <w:rsid w:val="003837CB"/>
    <w:rsid w:val="00383919"/>
    <w:rsid w:val="00383D26"/>
    <w:rsid w:val="003841B3"/>
    <w:rsid w:val="003845C4"/>
    <w:rsid w:val="00385251"/>
    <w:rsid w:val="003854C9"/>
    <w:rsid w:val="00385AC1"/>
    <w:rsid w:val="0038614D"/>
    <w:rsid w:val="00386544"/>
    <w:rsid w:val="00386F7E"/>
    <w:rsid w:val="00387B7E"/>
    <w:rsid w:val="00387CCA"/>
    <w:rsid w:val="00387DA1"/>
    <w:rsid w:val="00390E3E"/>
    <w:rsid w:val="00391975"/>
    <w:rsid w:val="00391ACD"/>
    <w:rsid w:val="00392D96"/>
    <w:rsid w:val="00392E95"/>
    <w:rsid w:val="00393273"/>
    <w:rsid w:val="00393C3E"/>
    <w:rsid w:val="00393FCD"/>
    <w:rsid w:val="0039450C"/>
    <w:rsid w:val="00394559"/>
    <w:rsid w:val="0039477A"/>
    <w:rsid w:val="00395097"/>
    <w:rsid w:val="00395134"/>
    <w:rsid w:val="0039528C"/>
    <w:rsid w:val="003954C7"/>
    <w:rsid w:val="0039569B"/>
    <w:rsid w:val="00395E21"/>
    <w:rsid w:val="00396173"/>
    <w:rsid w:val="00396189"/>
    <w:rsid w:val="003966AC"/>
    <w:rsid w:val="00396FE7"/>
    <w:rsid w:val="00397563"/>
    <w:rsid w:val="00397719"/>
    <w:rsid w:val="0039780A"/>
    <w:rsid w:val="0039784C"/>
    <w:rsid w:val="00397B28"/>
    <w:rsid w:val="00397D3F"/>
    <w:rsid w:val="00397DCB"/>
    <w:rsid w:val="00397E28"/>
    <w:rsid w:val="003A0319"/>
    <w:rsid w:val="003A04A2"/>
    <w:rsid w:val="003A0832"/>
    <w:rsid w:val="003A0E0A"/>
    <w:rsid w:val="003A12CC"/>
    <w:rsid w:val="003A1661"/>
    <w:rsid w:val="003A17A2"/>
    <w:rsid w:val="003A289F"/>
    <w:rsid w:val="003A2FFA"/>
    <w:rsid w:val="003A372B"/>
    <w:rsid w:val="003A3A09"/>
    <w:rsid w:val="003A3CD3"/>
    <w:rsid w:val="003A3EBD"/>
    <w:rsid w:val="003A3EC1"/>
    <w:rsid w:val="003A3F76"/>
    <w:rsid w:val="003A3FA6"/>
    <w:rsid w:val="003A4164"/>
    <w:rsid w:val="003A43DE"/>
    <w:rsid w:val="003A4BA7"/>
    <w:rsid w:val="003A4BD9"/>
    <w:rsid w:val="003A4C2B"/>
    <w:rsid w:val="003A54E9"/>
    <w:rsid w:val="003A58E5"/>
    <w:rsid w:val="003A5A62"/>
    <w:rsid w:val="003A5EBA"/>
    <w:rsid w:val="003A6733"/>
    <w:rsid w:val="003A6947"/>
    <w:rsid w:val="003A7332"/>
    <w:rsid w:val="003B01C3"/>
    <w:rsid w:val="003B0386"/>
    <w:rsid w:val="003B0C01"/>
    <w:rsid w:val="003B1679"/>
    <w:rsid w:val="003B1942"/>
    <w:rsid w:val="003B1E31"/>
    <w:rsid w:val="003B1EBC"/>
    <w:rsid w:val="003B1FAD"/>
    <w:rsid w:val="003B226F"/>
    <w:rsid w:val="003B25D3"/>
    <w:rsid w:val="003B2FCE"/>
    <w:rsid w:val="003B3218"/>
    <w:rsid w:val="003B3397"/>
    <w:rsid w:val="003B3815"/>
    <w:rsid w:val="003B38D0"/>
    <w:rsid w:val="003B4444"/>
    <w:rsid w:val="003B4481"/>
    <w:rsid w:val="003B4D49"/>
    <w:rsid w:val="003B4D5C"/>
    <w:rsid w:val="003B4D74"/>
    <w:rsid w:val="003B512A"/>
    <w:rsid w:val="003B54E2"/>
    <w:rsid w:val="003B5595"/>
    <w:rsid w:val="003B605D"/>
    <w:rsid w:val="003B66A5"/>
    <w:rsid w:val="003B72E5"/>
    <w:rsid w:val="003C00D3"/>
    <w:rsid w:val="003C059C"/>
    <w:rsid w:val="003C0857"/>
    <w:rsid w:val="003C0F17"/>
    <w:rsid w:val="003C10AC"/>
    <w:rsid w:val="003C1B10"/>
    <w:rsid w:val="003C20FA"/>
    <w:rsid w:val="003C2935"/>
    <w:rsid w:val="003C2DFE"/>
    <w:rsid w:val="003C2F22"/>
    <w:rsid w:val="003C3634"/>
    <w:rsid w:val="003C3B97"/>
    <w:rsid w:val="003C3FB8"/>
    <w:rsid w:val="003C47A6"/>
    <w:rsid w:val="003C516F"/>
    <w:rsid w:val="003C579E"/>
    <w:rsid w:val="003C5DC5"/>
    <w:rsid w:val="003C5F13"/>
    <w:rsid w:val="003C614C"/>
    <w:rsid w:val="003C6900"/>
    <w:rsid w:val="003C6B87"/>
    <w:rsid w:val="003C6D59"/>
    <w:rsid w:val="003C70CF"/>
    <w:rsid w:val="003C7524"/>
    <w:rsid w:val="003C7614"/>
    <w:rsid w:val="003C7818"/>
    <w:rsid w:val="003D0239"/>
    <w:rsid w:val="003D07E9"/>
    <w:rsid w:val="003D0A28"/>
    <w:rsid w:val="003D0F7B"/>
    <w:rsid w:val="003D104C"/>
    <w:rsid w:val="003D1095"/>
    <w:rsid w:val="003D13A9"/>
    <w:rsid w:val="003D1939"/>
    <w:rsid w:val="003D1F02"/>
    <w:rsid w:val="003D2451"/>
    <w:rsid w:val="003D2E95"/>
    <w:rsid w:val="003D2F56"/>
    <w:rsid w:val="003D2F8C"/>
    <w:rsid w:val="003D33B5"/>
    <w:rsid w:val="003D3866"/>
    <w:rsid w:val="003D3A44"/>
    <w:rsid w:val="003D3C76"/>
    <w:rsid w:val="003D3CDB"/>
    <w:rsid w:val="003D40AB"/>
    <w:rsid w:val="003D4566"/>
    <w:rsid w:val="003D45E5"/>
    <w:rsid w:val="003D4B16"/>
    <w:rsid w:val="003D5361"/>
    <w:rsid w:val="003D5B31"/>
    <w:rsid w:val="003D5D32"/>
    <w:rsid w:val="003D5E05"/>
    <w:rsid w:val="003D6185"/>
    <w:rsid w:val="003D639D"/>
    <w:rsid w:val="003D65BE"/>
    <w:rsid w:val="003D675C"/>
    <w:rsid w:val="003D6E93"/>
    <w:rsid w:val="003D6FA7"/>
    <w:rsid w:val="003D71E5"/>
    <w:rsid w:val="003D7216"/>
    <w:rsid w:val="003D7A36"/>
    <w:rsid w:val="003E06BF"/>
    <w:rsid w:val="003E06D3"/>
    <w:rsid w:val="003E1017"/>
    <w:rsid w:val="003E14CA"/>
    <w:rsid w:val="003E165C"/>
    <w:rsid w:val="003E1FBF"/>
    <w:rsid w:val="003E3165"/>
    <w:rsid w:val="003E3168"/>
    <w:rsid w:val="003E4067"/>
    <w:rsid w:val="003E4297"/>
    <w:rsid w:val="003E492F"/>
    <w:rsid w:val="003E60D3"/>
    <w:rsid w:val="003E6120"/>
    <w:rsid w:val="003E64B4"/>
    <w:rsid w:val="003E6A16"/>
    <w:rsid w:val="003E6B16"/>
    <w:rsid w:val="003E76D3"/>
    <w:rsid w:val="003F01F0"/>
    <w:rsid w:val="003F10C7"/>
    <w:rsid w:val="003F110F"/>
    <w:rsid w:val="003F1463"/>
    <w:rsid w:val="003F1810"/>
    <w:rsid w:val="003F19E3"/>
    <w:rsid w:val="003F1BE9"/>
    <w:rsid w:val="003F2B0D"/>
    <w:rsid w:val="003F311B"/>
    <w:rsid w:val="003F31E7"/>
    <w:rsid w:val="003F3E3C"/>
    <w:rsid w:val="003F42EA"/>
    <w:rsid w:val="003F462E"/>
    <w:rsid w:val="003F5807"/>
    <w:rsid w:val="003F5C1F"/>
    <w:rsid w:val="003F6462"/>
    <w:rsid w:val="003F73DE"/>
    <w:rsid w:val="003F750D"/>
    <w:rsid w:val="004002BF"/>
    <w:rsid w:val="00400B82"/>
    <w:rsid w:val="00400EC8"/>
    <w:rsid w:val="0040102E"/>
    <w:rsid w:val="004012C2"/>
    <w:rsid w:val="00401483"/>
    <w:rsid w:val="00401649"/>
    <w:rsid w:val="004018D2"/>
    <w:rsid w:val="00401AEB"/>
    <w:rsid w:val="00402C97"/>
    <w:rsid w:val="00403444"/>
    <w:rsid w:val="0040391E"/>
    <w:rsid w:val="00404CAC"/>
    <w:rsid w:val="00404D4D"/>
    <w:rsid w:val="00404F60"/>
    <w:rsid w:val="0040547E"/>
    <w:rsid w:val="00405E55"/>
    <w:rsid w:val="00406654"/>
    <w:rsid w:val="004066AC"/>
    <w:rsid w:val="00406793"/>
    <w:rsid w:val="004067BC"/>
    <w:rsid w:val="00406CF4"/>
    <w:rsid w:val="00406E94"/>
    <w:rsid w:val="0040758A"/>
    <w:rsid w:val="0040764D"/>
    <w:rsid w:val="00407971"/>
    <w:rsid w:val="004105B1"/>
    <w:rsid w:val="004106FD"/>
    <w:rsid w:val="00410A92"/>
    <w:rsid w:val="00410C12"/>
    <w:rsid w:val="00410E85"/>
    <w:rsid w:val="00410FEF"/>
    <w:rsid w:val="0041105A"/>
    <w:rsid w:val="00411561"/>
    <w:rsid w:val="00411B40"/>
    <w:rsid w:val="00411C16"/>
    <w:rsid w:val="00411F95"/>
    <w:rsid w:val="004120E3"/>
    <w:rsid w:val="00412112"/>
    <w:rsid w:val="004121F7"/>
    <w:rsid w:val="0041266E"/>
    <w:rsid w:val="004128B3"/>
    <w:rsid w:val="004128BC"/>
    <w:rsid w:val="00412AD2"/>
    <w:rsid w:val="0041313D"/>
    <w:rsid w:val="00413476"/>
    <w:rsid w:val="004138E2"/>
    <w:rsid w:val="00413F16"/>
    <w:rsid w:val="00414862"/>
    <w:rsid w:val="00414B85"/>
    <w:rsid w:val="00414DD5"/>
    <w:rsid w:val="00415182"/>
    <w:rsid w:val="00415696"/>
    <w:rsid w:val="0041572D"/>
    <w:rsid w:val="004166D2"/>
    <w:rsid w:val="00416B27"/>
    <w:rsid w:val="0041702A"/>
    <w:rsid w:val="004170E0"/>
    <w:rsid w:val="00417826"/>
    <w:rsid w:val="00417A9A"/>
    <w:rsid w:val="00417AC1"/>
    <w:rsid w:val="00417B85"/>
    <w:rsid w:val="00417D3C"/>
    <w:rsid w:val="00420042"/>
    <w:rsid w:val="00420403"/>
    <w:rsid w:val="0042087D"/>
    <w:rsid w:val="004208B2"/>
    <w:rsid w:val="0042093D"/>
    <w:rsid w:val="00420D83"/>
    <w:rsid w:val="0042102E"/>
    <w:rsid w:val="00421FC8"/>
    <w:rsid w:val="00422152"/>
    <w:rsid w:val="00422527"/>
    <w:rsid w:val="00422762"/>
    <w:rsid w:val="00422BE1"/>
    <w:rsid w:val="00422C18"/>
    <w:rsid w:val="00422E03"/>
    <w:rsid w:val="00423170"/>
    <w:rsid w:val="004234ED"/>
    <w:rsid w:val="00423881"/>
    <w:rsid w:val="004239F4"/>
    <w:rsid w:val="00424837"/>
    <w:rsid w:val="0042492F"/>
    <w:rsid w:val="00424ABD"/>
    <w:rsid w:val="00424AEA"/>
    <w:rsid w:val="00424DED"/>
    <w:rsid w:val="00424E8B"/>
    <w:rsid w:val="004251DB"/>
    <w:rsid w:val="004254BC"/>
    <w:rsid w:val="0042588D"/>
    <w:rsid w:val="004269B5"/>
    <w:rsid w:val="004269CE"/>
    <w:rsid w:val="00426D00"/>
    <w:rsid w:val="00427422"/>
    <w:rsid w:val="00427B1E"/>
    <w:rsid w:val="00427DAC"/>
    <w:rsid w:val="00427E55"/>
    <w:rsid w:val="004307EF"/>
    <w:rsid w:val="00430895"/>
    <w:rsid w:val="00430C3B"/>
    <w:rsid w:val="00430CF6"/>
    <w:rsid w:val="00431084"/>
    <w:rsid w:val="004319E2"/>
    <w:rsid w:val="00431E04"/>
    <w:rsid w:val="004320B0"/>
    <w:rsid w:val="00432AC3"/>
    <w:rsid w:val="00432B0D"/>
    <w:rsid w:val="00432BD5"/>
    <w:rsid w:val="00433454"/>
    <w:rsid w:val="0043378F"/>
    <w:rsid w:val="0043383E"/>
    <w:rsid w:val="00433A60"/>
    <w:rsid w:val="00433B97"/>
    <w:rsid w:val="00434825"/>
    <w:rsid w:val="00434FEF"/>
    <w:rsid w:val="00435150"/>
    <w:rsid w:val="004354F2"/>
    <w:rsid w:val="00435B7E"/>
    <w:rsid w:val="00436017"/>
    <w:rsid w:val="00436075"/>
    <w:rsid w:val="004361A9"/>
    <w:rsid w:val="00436580"/>
    <w:rsid w:val="004365AD"/>
    <w:rsid w:val="00436B89"/>
    <w:rsid w:val="00436D4C"/>
    <w:rsid w:val="00437201"/>
    <w:rsid w:val="004374AE"/>
    <w:rsid w:val="0044032B"/>
    <w:rsid w:val="00440873"/>
    <w:rsid w:val="00440C3E"/>
    <w:rsid w:val="00440F3A"/>
    <w:rsid w:val="004410D1"/>
    <w:rsid w:val="00441566"/>
    <w:rsid w:val="0044194C"/>
    <w:rsid w:val="00441B3B"/>
    <w:rsid w:val="0044212C"/>
    <w:rsid w:val="00442E4E"/>
    <w:rsid w:val="00442FD7"/>
    <w:rsid w:val="00443788"/>
    <w:rsid w:val="00443FB2"/>
    <w:rsid w:val="00444090"/>
    <w:rsid w:val="004441CC"/>
    <w:rsid w:val="004442E0"/>
    <w:rsid w:val="00444627"/>
    <w:rsid w:val="004451F2"/>
    <w:rsid w:val="0044537E"/>
    <w:rsid w:val="00445D8C"/>
    <w:rsid w:val="00446012"/>
    <w:rsid w:val="0044620E"/>
    <w:rsid w:val="00446B38"/>
    <w:rsid w:val="0044732D"/>
    <w:rsid w:val="00447AF2"/>
    <w:rsid w:val="00447E3E"/>
    <w:rsid w:val="00447F7A"/>
    <w:rsid w:val="00447FFD"/>
    <w:rsid w:val="0045031B"/>
    <w:rsid w:val="00450333"/>
    <w:rsid w:val="0045069A"/>
    <w:rsid w:val="00450A06"/>
    <w:rsid w:val="00450DE4"/>
    <w:rsid w:val="004517C8"/>
    <w:rsid w:val="00451B18"/>
    <w:rsid w:val="00451D29"/>
    <w:rsid w:val="0045221E"/>
    <w:rsid w:val="004522E3"/>
    <w:rsid w:val="0045263B"/>
    <w:rsid w:val="00452746"/>
    <w:rsid w:val="00452A96"/>
    <w:rsid w:val="00453129"/>
    <w:rsid w:val="004531BF"/>
    <w:rsid w:val="004534E3"/>
    <w:rsid w:val="004540F2"/>
    <w:rsid w:val="0045412F"/>
    <w:rsid w:val="00454788"/>
    <w:rsid w:val="00454CE9"/>
    <w:rsid w:val="00455223"/>
    <w:rsid w:val="004552BA"/>
    <w:rsid w:val="00455E28"/>
    <w:rsid w:val="004563EE"/>
    <w:rsid w:val="00456755"/>
    <w:rsid w:val="0045694F"/>
    <w:rsid w:val="00456BBD"/>
    <w:rsid w:val="00456FCB"/>
    <w:rsid w:val="00457362"/>
    <w:rsid w:val="004576E3"/>
    <w:rsid w:val="00457A04"/>
    <w:rsid w:val="00457DF7"/>
    <w:rsid w:val="00460012"/>
    <w:rsid w:val="0046024B"/>
    <w:rsid w:val="004602D7"/>
    <w:rsid w:val="00460486"/>
    <w:rsid w:val="00460744"/>
    <w:rsid w:val="00460891"/>
    <w:rsid w:val="00460898"/>
    <w:rsid w:val="00460A3C"/>
    <w:rsid w:val="00460DA4"/>
    <w:rsid w:val="00460F0D"/>
    <w:rsid w:val="00461EF2"/>
    <w:rsid w:val="004620C7"/>
    <w:rsid w:val="00462807"/>
    <w:rsid w:val="00462E2D"/>
    <w:rsid w:val="004640A2"/>
    <w:rsid w:val="0046427F"/>
    <w:rsid w:val="0046471E"/>
    <w:rsid w:val="00464F84"/>
    <w:rsid w:val="0046512F"/>
    <w:rsid w:val="00465214"/>
    <w:rsid w:val="00465247"/>
    <w:rsid w:val="00465381"/>
    <w:rsid w:val="00465472"/>
    <w:rsid w:val="004655CC"/>
    <w:rsid w:val="00465708"/>
    <w:rsid w:val="00466076"/>
    <w:rsid w:val="00466657"/>
    <w:rsid w:val="00466668"/>
    <w:rsid w:val="004667F8"/>
    <w:rsid w:val="00466CD5"/>
    <w:rsid w:val="00466D56"/>
    <w:rsid w:val="00466E6A"/>
    <w:rsid w:val="00466FE2"/>
    <w:rsid w:val="004679E0"/>
    <w:rsid w:val="00467BC4"/>
    <w:rsid w:val="00467CCE"/>
    <w:rsid w:val="0047011D"/>
    <w:rsid w:val="0047028E"/>
    <w:rsid w:val="00470B8E"/>
    <w:rsid w:val="00471B93"/>
    <w:rsid w:val="00471FD8"/>
    <w:rsid w:val="00472B4F"/>
    <w:rsid w:val="00473B79"/>
    <w:rsid w:val="00473D75"/>
    <w:rsid w:val="00473D9D"/>
    <w:rsid w:val="004755EA"/>
    <w:rsid w:val="004756E0"/>
    <w:rsid w:val="00475A6E"/>
    <w:rsid w:val="00475EF9"/>
    <w:rsid w:val="00476231"/>
    <w:rsid w:val="004766CF"/>
    <w:rsid w:val="00476742"/>
    <w:rsid w:val="00476790"/>
    <w:rsid w:val="00476C5E"/>
    <w:rsid w:val="00477100"/>
    <w:rsid w:val="00477221"/>
    <w:rsid w:val="00477474"/>
    <w:rsid w:val="00477C83"/>
    <w:rsid w:val="004800BC"/>
    <w:rsid w:val="00480427"/>
    <w:rsid w:val="00480513"/>
    <w:rsid w:val="004806F1"/>
    <w:rsid w:val="00481B92"/>
    <w:rsid w:val="00481FBF"/>
    <w:rsid w:val="00482210"/>
    <w:rsid w:val="00483008"/>
    <w:rsid w:val="00483927"/>
    <w:rsid w:val="00483B05"/>
    <w:rsid w:val="00483CDB"/>
    <w:rsid w:val="00483FC1"/>
    <w:rsid w:val="004840EC"/>
    <w:rsid w:val="00484247"/>
    <w:rsid w:val="0048433E"/>
    <w:rsid w:val="0048466D"/>
    <w:rsid w:val="0048512D"/>
    <w:rsid w:val="004851F7"/>
    <w:rsid w:val="004853FD"/>
    <w:rsid w:val="00485858"/>
    <w:rsid w:val="00485C29"/>
    <w:rsid w:val="00485C90"/>
    <w:rsid w:val="004860A9"/>
    <w:rsid w:val="0048674E"/>
    <w:rsid w:val="00486AEB"/>
    <w:rsid w:val="0048708B"/>
    <w:rsid w:val="004870D4"/>
    <w:rsid w:val="004875B7"/>
    <w:rsid w:val="00487C94"/>
    <w:rsid w:val="00490752"/>
    <w:rsid w:val="00490AD5"/>
    <w:rsid w:val="00490F35"/>
    <w:rsid w:val="00491045"/>
    <w:rsid w:val="00491174"/>
    <w:rsid w:val="0049183F"/>
    <w:rsid w:val="00491DCA"/>
    <w:rsid w:val="0049214D"/>
    <w:rsid w:val="004921D1"/>
    <w:rsid w:val="0049284F"/>
    <w:rsid w:val="00492F37"/>
    <w:rsid w:val="00493781"/>
    <w:rsid w:val="00493FE4"/>
    <w:rsid w:val="0049467B"/>
    <w:rsid w:val="00494FD9"/>
    <w:rsid w:val="004958D7"/>
    <w:rsid w:val="004959DF"/>
    <w:rsid w:val="00495A2A"/>
    <w:rsid w:val="00495D69"/>
    <w:rsid w:val="00495E2F"/>
    <w:rsid w:val="00496405"/>
    <w:rsid w:val="00496458"/>
    <w:rsid w:val="004964D3"/>
    <w:rsid w:val="00496A21"/>
    <w:rsid w:val="00496C88"/>
    <w:rsid w:val="00496CF5"/>
    <w:rsid w:val="00496E6E"/>
    <w:rsid w:val="0049788E"/>
    <w:rsid w:val="004A057F"/>
    <w:rsid w:val="004A0A07"/>
    <w:rsid w:val="004A0F15"/>
    <w:rsid w:val="004A140F"/>
    <w:rsid w:val="004A1DAA"/>
    <w:rsid w:val="004A2AB9"/>
    <w:rsid w:val="004A2F5A"/>
    <w:rsid w:val="004A3A0A"/>
    <w:rsid w:val="004A4874"/>
    <w:rsid w:val="004A4D45"/>
    <w:rsid w:val="004A6227"/>
    <w:rsid w:val="004A6B2D"/>
    <w:rsid w:val="004A6D6D"/>
    <w:rsid w:val="004A6FB1"/>
    <w:rsid w:val="004A7599"/>
    <w:rsid w:val="004A7629"/>
    <w:rsid w:val="004A767E"/>
    <w:rsid w:val="004A7C61"/>
    <w:rsid w:val="004A7EBB"/>
    <w:rsid w:val="004B022A"/>
    <w:rsid w:val="004B02D1"/>
    <w:rsid w:val="004B03B8"/>
    <w:rsid w:val="004B0C14"/>
    <w:rsid w:val="004B1C8A"/>
    <w:rsid w:val="004B20B0"/>
    <w:rsid w:val="004B20DD"/>
    <w:rsid w:val="004B249F"/>
    <w:rsid w:val="004B2E24"/>
    <w:rsid w:val="004B30B7"/>
    <w:rsid w:val="004B33FB"/>
    <w:rsid w:val="004B3AA5"/>
    <w:rsid w:val="004B3D6E"/>
    <w:rsid w:val="004B407A"/>
    <w:rsid w:val="004B47CD"/>
    <w:rsid w:val="004B4DB7"/>
    <w:rsid w:val="004B5215"/>
    <w:rsid w:val="004B57F1"/>
    <w:rsid w:val="004B5D99"/>
    <w:rsid w:val="004B5E3D"/>
    <w:rsid w:val="004B5FE9"/>
    <w:rsid w:val="004B64BE"/>
    <w:rsid w:val="004B67EE"/>
    <w:rsid w:val="004B6813"/>
    <w:rsid w:val="004B7418"/>
    <w:rsid w:val="004B7FAC"/>
    <w:rsid w:val="004C04AF"/>
    <w:rsid w:val="004C08DA"/>
    <w:rsid w:val="004C1507"/>
    <w:rsid w:val="004C160D"/>
    <w:rsid w:val="004C166D"/>
    <w:rsid w:val="004C1681"/>
    <w:rsid w:val="004C172C"/>
    <w:rsid w:val="004C1815"/>
    <w:rsid w:val="004C1AAD"/>
    <w:rsid w:val="004C214B"/>
    <w:rsid w:val="004C2646"/>
    <w:rsid w:val="004C27E9"/>
    <w:rsid w:val="004C2EB1"/>
    <w:rsid w:val="004C30A0"/>
    <w:rsid w:val="004C30B0"/>
    <w:rsid w:val="004C39B9"/>
    <w:rsid w:val="004C3BD6"/>
    <w:rsid w:val="004C3DE8"/>
    <w:rsid w:val="004C40F3"/>
    <w:rsid w:val="004C467F"/>
    <w:rsid w:val="004C4AA9"/>
    <w:rsid w:val="004C4B37"/>
    <w:rsid w:val="004C4E54"/>
    <w:rsid w:val="004C4EA3"/>
    <w:rsid w:val="004C54AD"/>
    <w:rsid w:val="004C57FD"/>
    <w:rsid w:val="004C5B79"/>
    <w:rsid w:val="004C5D04"/>
    <w:rsid w:val="004C5E45"/>
    <w:rsid w:val="004C67B4"/>
    <w:rsid w:val="004C6BAB"/>
    <w:rsid w:val="004C6FC9"/>
    <w:rsid w:val="004C7200"/>
    <w:rsid w:val="004C736D"/>
    <w:rsid w:val="004C77B3"/>
    <w:rsid w:val="004C7835"/>
    <w:rsid w:val="004D02DC"/>
    <w:rsid w:val="004D04D0"/>
    <w:rsid w:val="004D0598"/>
    <w:rsid w:val="004D08BF"/>
    <w:rsid w:val="004D0B92"/>
    <w:rsid w:val="004D1DA1"/>
    <w:rsid w:val="004D1EE8"/>
    <w:rsid w:val="004D2A10"/>
    <w:rsid w:val="004D2B54"/>
    <w:rsid w:val="004D3C1A"/>
    <w:rsid w:val="004D3DE3"/>
    <w:rsid w:val="004D3DFE"/>
    <w:rsid w:val="004D3FF2"/>
    <w:rsid w:val="004D47F8"/>
    <w:rsid w:val="004D48E0"/>
    <w:rsid w:val="004D536C"/>
    <w:rsid w:val="004D5750"/>
    <w:rsid w:val="004D7105"/>
    <w:rsid w:val="004D7356"/>
    <w:rsid w:val="004D7805"/>
    <w:rsid w:val="004D7850"/>
    <w:rsid w:val="004D7B31"/>
    <w:rsid w:val="004E052D"/>
    <w:rsid w:val="004E088D"/>
    <w:rsid w:val="004E235F"/>
    <w:rsid w:val="004E2F5F"/>
    <w:rsid w:val="004E38DF"/>
    <w:rsid w:val="004E3E3B"/>
    <w:rsid w:val="004E3F5B"/>
    <w:rsid w:val="004E42AB"/>
    <w:rsid w:val="004E47DB"/>
    <w:rsid w:val="004E48DA"/>
    <w:rsid w:val="004E4B36"/>
    <w:rsid w:val="004E4C59"/>
    <w:rsid w:val="004E4F6A"/>
    <w:rsid w:val="004E5535"/>
    <w:rsid w:val="004E5C82"/>
    <w:rsid w:val="004E5CD0"/>
    <w:rsid w:val="004E617B"/>
    <w:rsid w:val="004E6758"/>
    <w:rsid w:val="004E6CE1"/>
    <w:rsid w:val="004E6F97"/>
    <w:rsid w:val="004E7B0B"/>
    <w:rsid w:val="004E7BA4"/>
    <w:rsid w:val="004F0D95"/>
    <w:rsid w:val="004F17BB"/>
    <w:rsid w:val="004F230C"/>
    <w:rsid w:val="004F2428"/>
    <w:rsid w:val="004F2664"/>
    <w:rsid w:val="004F3203"/>
    <w:rsid w:val="004F3268"/>
    <w:rsid w:val="004F328A"/>
    <w:rsid w:val="004F377D"/>
    <w:rsid w:val="004F3A1B"/>
    <w:rsid w:val="004F3AF8"/>
    <w:rsid w:val="004F42E5"/>
    <w:rsid w:val="004F43F9"/>
    <w:rsid w:val="004F4410"/>
    <w:rsid w:val="004F4591"/>
    <w:rsid w:val="004F46EA"/>
    <w:rsid w:val="004F47BB"/>
    <w:rsid w:val="004F4AFB"/>
    <w:rsid w:val="004F4D75"/>
    <w:rsid w:val="004F59C0"/>
    <w:rsid w:val="004F5DB4"/>
    <w:rsid w:val="004F60E9"/>
    <w:rsid w:val="004F645A"/>
    <w:rsid w:val="004F6605"/>
    <w:rsid w:val="004F6668"/>
    <w:rsid w:val="004F6D84"/>
    <w:rsid w:val="004F6E5D"/>
    <w:rsid w:val="004F75B4"/>
    <w:rsid w:val="004F7861"/>
    <w:rsid w:val="004F78E8"/>
    <w:rsid w:val="004F7AC7"/>
    <w:rsid w:val="004F7EBE"/>
    <w:rsid w:val="00500114"/>
    <w:rsid w:val="00500686"/>
    <w:rsid w:val="00500B90"/>
    <w:rsid w:val="005013C3"/>
    <w:rsid w:val="005013FF"/>
    <w:rsid w:val="00501489"/>
    <w:rsid w:val="005024CE"/>
    <w:rsid w:val="005029A0"/>
    <w:rsid w:val="00503306"/>
    <w:rsid w:val="0050395B"/>
    <w:rsid w:val="00503D72"/>
    <w:rsid w:val="005044C9"/>
    <w:rsid w:val="0050517D"/>
    <w:rsid w:val="0050567D"/>
    <w:rsid w:val="0050574A"/>
    <w:rsid w:val="005058E7"/>
    <w:rsid w:val="00505954"/>
    <w:rsid w:val="00505B99"/>
    <w:rsid w:val="00505BA0"/>
    <w:rsid w:val="0050671F"/>
    <w:rsid w:val="00506875"/>
    <w:rsid w:val="00506A75"/>
    <w:rsid w:val="00507201"/>
    <w:rsid w:val="00507B83"/>
    <w:rsid w:val="00507E09"/>
    <w:rsid w:val="0051025D"/>
    <w:rsid w:val="0051036D"/>
    <w:rsid w:val="005110E3"/>
    <w:rsid w:val="005113EC"/>
    <w:rsid w:val="00511676"/>
    <w:rsid w:val="005117BB"/>
    <w:rsid w:val="00511C66"/>
    <w:rsid w:val="00511D91"/>
    <w:rsid w:val="00512018"/>
    <w:rsid w:val="005127EE"/>
    <w:rsid w:val="0051322E"/>
    <w:rsid w:val="005136CB"/>
    <w:rsid w:val="0051394F"/>
    <w:rsid w:val="0051452C"/>
    <w:rsid w:val="00514911"/>
    <w:rsid w:val="005149CA"/>
    <w:rsid w:val="00514FFB"/>
    <w:rsid w:val="005158DB"/>
    <w:rsid w:val="00515A6A"/>
    <w:rsid w:val="00515AC6"/>
    <w:rsid w:val="005168C6"/>
    <w:rsid w:val="00516F83"/>
    <w:rsid w:val="005170B5"/>
    <w:rsid w:val="005170D5"/>
    <w:rsid w:val="00520210"/>
    <w:rsid w:val="00520F1A"/>
    <w:rsid w:val="0052180A"/>
    <w:rsid w:val="005219F8"/>
    <w:rsid w:val="00521B9C"/>
    <w:rsid w:val="00522D49"/>
    <w:rsid w:val="0052334E"/>
    <w:rsid w:val="005236F3"/>
    <w:rsid w:val="00523BC5"/>
    <w:rsid w:val="00523C3C"/>
    <w:rsid w:val="00523DF9"/>
    <w:rsid w:val="005241E4"/>
    <w:rsid w:val="0052424A"/>
    <w:rsid w:val="005244E2"/>
    <w:rsid w:val="00524875"/>
    <w:rsid w:val="005248BE"/>
    <w:rsid w:val="00524B64"/>
    <w:rsid w:val="0052524D"/>
    <w:rsid w:val="0052530C"/>
    <w:rsid w:val="0052564D"/>
    <w:rsid w:val="005257CF"/>
    <w:rsid w:val="00526294"/>
    <w:rsid w:val="005262ED"/>
    <w:rsid w:val="005269C5"/>
    <w:rsid w:val="00526DBB"/>
    <w:rsid w:val="00527425"/>
    <w:rsid w:val="005278EE"/>
    <w:rsid w:val="00527AA5"/>
    <w:rsid w:val="00527C2C"/>
    <w:rsid w:val="00527F68"/>
    <w:rsid w:val="00530396"/>
    <w:rsid w:val="00531460"/>
    <w:rsid w:val="00531699"/>
    <w:rsid w:val="00531910"/>
    <w:rsid w:val="00531D94"/>
    <w:rsid w:val="00531FFE"/>
    <w:rsid w:val="005329A6"/>
    <w:rsid w:val="00532B8D"/>
    <w:rsid w:val="00533CA7"/>
    <w:rsid w:val="00533CC8"/>
    <w:rsid w:val="0053494E"/>
    <w:rsid w:val="00534C3C"/>
    <w:rsid w:val="00534CA5"/>
    <w:rsid w:val="00534D89"/>
    <w:rsid w:val="00534FBC"/>
    <w:rsid w:val="00535020"/>
    <w:rsid w:val="0053513D"/>
    <w:rsid w:val="00535364"/>
    <w:rsid w:val="005359A5"/>
    <w:rsid w:val="005359FA"/>
    <w:rsid w:val="00535AE8"/>
    <w:rsid w:val="00536AAF"/>
    <w:rsid w:val="00536C51"/>
    <w:rsid w:val="005377DA"/>
    <w:rsid w:val="0054014D"/>
    <w:rsid w:val="0054031E"/>
    <w:rsid w:val="005403D0"/>
    <w:rsid w:val="00540610"/>
    <w:rsid w:val="00541326"/>
    <w:rsid w:val="00541540"/>
    <w:rsid w:val="005416A0"/>
    <w:rsid w:val="005416FF"/>
    <w:rsid w:val="00541905"/>
    <w:rsid w:val="00542648"/>
    <w:rsid w:val="00542B1F"/>
    <w:rsid w:val="0054338A"/>
    <w:rsid w:val="005436DB"/>
    <w:rsid w:val="00543852"/>
    <w:rsid w:val="0054413D"/>
    <w:rsid w:val="0054438E"/>
    <w:rsid w:val="00544487"/>
    <w:rsid w:val="005446DA"/>
    <w:rsid w:val="00544817"/>
    <w:rsid w:val="00545D55"/>
    <w:rsid w:val="00545FF2"/>
    <w:rsid w:val="005463CA"/>
    <w:rsid w:val="005465A6"/>
    <w:rsid w:val="00546EE1"/>
    <w:rsid w:val="0054725A"/>
    <w:rsid w:val="0054751F"/>
    <w:rsid w:val="005479EF"/>
    <w:rsid w:val="005502D8"/>
    <w:rsid w:val="00550F60"/>
    <w:rsid w:val="0055249E"/>
    <w:rsid w:val="00552C13"/>
    <w:rsid w:val="00552D28"/>
    <w:rsid w:val="0055370A"/>
    <w:rsid w:val="00553CBC"/>
    <w:rsid w:val="00554346"/>
    <w:rsid w:val="005544CD"/>
    <w:rsid w:val="00554ACA"/>
    <w:rsid w:val="00554AFA"/>
    <w:rsid w:val="0055537E"/>
    <w:rsid w:val="00555419"/>
    <w:rsid w:val="00555734"/>
    <w:rsid w:val="00555E4E"/>
    <w:rsid w:val="00555EE1"/>
    <w:rsid w:val="00556204"/>
    <w:rsid w:val="005573EB"/>
    <w:rsid w:val="00557D2D"/>
    <w:rsid w:val="00557FD8"/>
    <w:rsid w:val="0056045D"/>
    <w:rsid w:val="00560668"/>
    <w:rsid w:val="0056093D"/>
    <w:rsid w:val="0056143D"/>
    <w:rsid w:val="00561A09"/>
    <w:rsid w:val="00561F5D"/>
    <w:rsid w:val="00561FF7"/>
    <w:rsid w:val="0056282E"/>
    <w:rsid w:val="00562C92"/>
    <w:rsid w:val="00562CE8"/>
    <w:rsid w:val="00562D3D"/>
    <w:rsid w:val="00563017"/>
    <w:rsid w:val="005630A4"/>
    <w:rsid w:val="0056486A"/>
    <w:rsid w:val="00566268"/>
    <w:rsid w:val="005663BB"/>
    <w:rsid w:val="005666C8"/>
    <w:rsid w:val="00566780"/>
    <w:rsid w:val="00566ED7"/>
    <w:rsid w:val="00567091"/>
    <w:rsid w:val="00567383"/>
    <w:rsid w:val="00567618"/>
    <w:rsid w:val="00567772"/>
    <w:rsid w:val="005677F9"/>
    <w:rsid w:val="005701EE"/>
    <w:rsid w:val="0057083F"/>
    <w:rsid w:val="00570B0B"/>
    <w:rsid w:val="00570C10"/>
    <w:rsid w:val="00570C3E"/>
    <w:rsid w:val="0057110E"/>
    <w:rsid w:val="005714DE"/>
    <w:rsid w:val="00571581"/>
    <w:rsid w:val="00571916"/>
    <w:rsid w:val="00572991"/>
    <w:rsid w:val="00573438"/>
    <w:rsid w:val="0057405D"/>
    <w:rsid w:val="005741BB"/>
    <w:rsid w:val="00574326"/>
    <w:rsid w:val="0057487B"/>
    <w:rsid w:val="00574FD7"/>
    <w:rsid w:val="00575706"/>
    <w:rsid w:val="00575D90"/>
    <w:rsid w:val="00575DDA"/>
    <w:rsid w:val="00576243"/>
    <w:rsid w:val="0057625D"/>
    <w:rsid w:val="0057629B"/>
    <w:rsid w:val="005768B6"/>
    <w:rsid w:val="00576A2C"/>
    <w:rsid w:val="00576C4A"/>
    <w:rsid w:val="0057729E"/>
    <w:rsid w:val="0057786C"/>
    <w:rsid w:val="00577BC2"/>
    <w:rsid w:val="00577CB3"/>
    <w:rsid w:val="00577EA1"/>
    <w:rsid w:val="0058003D"/>
    <w:rsid w:val="005804F7"/>
    <w:rsid w:val="005805E6"/>
    <w:rsid w:val="0058086E"/>
    <w:rsid w:val="00580BE2"/>
    <w:rsid w:val="0058118E"/>
    <w:rsid w:val="00581401"/>
    <w:rsid w:val="005816C1"/>
    <w:rsid w:val="00581835"/>
    <w:rsid w:val="00581DE9"/>
    <w:rsid w:val="00581F80"/>
    <w:rsid w:val="005821CD"/>
    <w:rsid w:val="00582438"/>
    <w:rsid w:val="005827B6"/>
    <w:rsid w:val="005830D6"/>
    <w:rsid w:val="005832A0"/>
    <w:rsid w:val="0058333B"/>
    <w:rsid w:val="00583401"/>
    <w:rsid w:val="005836FB"/>
    <w:rsid w:val="005837CB"/>
    <w:rsid w:val="00583B2F"/>
    <w:rsid w:val="00583FF2"/>
    <w:rsid w:val="00584057"/>
    <w:rsid w:val="00584C3B"/>
    <w:rsid w:val="00586FF2"/>
    <w:rsid w:val="005872B5"/>
    <w:rsid w:val="00587410"/>
    <w:rsid w:val="00587A1E"/>
    <w:rsid w:val="00587BAA"/>
    <w:rsid w:val="00591C04"/>
    <w:rsid w:val="00591CF4"/>
    <w:rsid w:val="00592FA0"/>
    <w:rsid w:val="005936CD"/>
    <w:rsid w:val="00593BA7"/>
    <w:rsid w:val="00593E75"/>
    <w:rsid w:val="0059476E"/>
    <w:rsid w:val="0059490A"/>
    <w:rsid w:val="00595B50"/>
    <w:rsid w:val="005961E9"/>
    <w:rsid w:val="005962C3"/>
    <w:rsid w:val="00596507"/>
    <w:rsid w:val="0059676E"/>
    <w:rsid w:val="00596FFC"/>
    <w:rsid w:val="0059728A"/>
    <w:rsid w:val="0059734F"/>
    <w:rsid w:val="00597580"/>
    <w:rsid w:val="00597721"/>
    <w:rsid w:val="00597E1A"/>
    <w:rsid w:val="005A0189"/>
    <w:rsid w:val="005A05AE"/>
    <w:rsid w:val="005A07A3"/>
    <w:rsid w:val="005A07E7"/>
    <w:rsid w:val="005A0DBF"/>
    <w:rsid w:val="005A15B9"/>
    <w:rsid w:val="005A1712"/>
    <w:rsid w:val="005A17F7"/>
    <w:rsid w:val="005A19A6"/>
    <w:rsid w:val="005A1CEE"/>
    <w:rsid w:val="005A1FAD"/>
    <w:rsid w:val="005A24F6"/>
    <w:rsid w:val="005A290A"/>
    <w:rsid w:val="005A2AAC"/>
    <w:rsid w:val="005A2D17"/>
    <w:rsid w:val="005A2F4A"/>
    <w:rsid w:val="005A3057"/>
    <w:rsid w:val="005A35BA"/>
    <w:rsid w:val="005A364F"/>
    <w:rsid w:val="005A380E"/>
    <w:rsid w:val="005A3B45"/>
    <w:rsid w:val="005A3C45"/>
    <w:rsid w:val="005A4903"/>
    <w:rsid w:val="005A4D0F"/>
    <w:rsid w:val="005A507A"/>
    <w:rsid w:val="005A5324"/>
    <w:rsid w:val="005A5326"/>
    <w:rsid w:val="005A54B6"/>
    <w:rsid w:val="005A5C97"/>
    <w:rsid w:val="005A6475"/>
    <w:rsid w:val="005A6C95"/>
    <w:rsid w:val="005A747E"/>
    <w:rsid w:val="005B0390"/>
    <w:rsid w:val="005B074E"/>
    <w:rsid w:val="005B07A0"/>
    <w:rsid w:val="005B0916"/>
    <w:rsid w:val="005B0AE7"/>
    <w:rsid w:val="005B0CDC"/>
    <w:rsid w:val="005B1353"/>
    <w:rsid w:val="005B159B"/>
    <w:rsid w:val="005B163F"/>
    <w:rsid w:val="005B16F7"/>
    <w:rsid w:val="005B1A17"/>
    <w:rsid w:val="005B1C36"/>
    <w:rsid w:val="005B1D05"/>
    <w:rsid w:val="005B1E3B"/>
    <w:rsid w:val="005B1FFB"/>
    <w:rsid w:val="005B2030"/>
    <w:rsid w:val="005B206A"/>
    <w:rsid w:val="005B2703"/>
    <w:rsid w:val="005B2EB7"/>
    <w:rsid w:val="005B2FE5"/>
    <w:rsid w:val="005B3946"/>
    <w:rsid w:val="005B41CF"/>
    <w:rsid w:val="005B4319"/>
    <w:rsid w:val="005B493B"/>
    <w:rsid w:val="005B52F3"/>
    <w:rsid w:val="005B5EC6"/>
    <w:rsid w:val="005B61BD"/>
    <w:rsid w:val="005B65DF"/>
    <w:rsid w:val="005B7035"/>
    <w:rsid w:val="005B72A3"/>
    <w:rsid w:val="005B76E9"/>
    <w:rsid w:val="005B77F3"/>
    <w:rsid w:val="005B7A9E"/>
    <w:rsid w:val="005C0033"/>
    <w:rsid w:val="005C0FA0"/>
    <w:rsid w:val="005C126E"/>
    <w:rsid w:val="005C13AB"/>
    <w:rsid w:val="005C163F"/>
    <w:rsid w:val="005C17CD"/>
    <w:rsid w:val="005C1BF0"/>
    <w:rsid w:val="005C1D39"/>
    <w:rsid w:val="005C1D56"/>
    <w:rsid w:val="005C29FA"/>
    <w:rsid w:val="005C2BAE"/>
    <w:rsid w:val="005C2E86"/>
    <w:rsid w:val="005C2FA8"/>
    <w:rsid w:val="005C3747"/>
    <w:rsid w:val="005C3AF7"/>
    <w:rsid w:val="005C3D08"/>
    <w:rsid w:val="005C5576"/>
    <w:rsid w:val="005C5C40"/>
    <w:rsid w:val="005C66EB"/>
    <w:rsid w:val="005C66ED"/>
    <w:rsid w:val="005C689C"/>
    <w:rsid w:val="005C6AA3"/>
    <w:rsid w:val="005C6AA8"/>
    <w:rsid w:val="005C6B54"/>
    <w:rsid w:val="005C6DB2"/>
    <w:rsid w:val="005C6F49"/>
    <w:rsid w:val="005C7442"/>
    <w:rsid w:val="005C7EAD"/>
    <w:rsid w:val="005D01BF"/>
    <w:rsid w:val="005D0544"/>
    <w:rsid w:val="005D09CB"/>
    <w:rsid w:val="005D0AE6"/>
    <w:rsid w:val="005D1009"/>
    <w:rsid w:val="005D1103"/>
    <w:rsid w:val="005D1706"/>
    <w:rsid w:val="005D1940"/>
    <w:rsid w:val="005D1B77"/>
    <w:rsid w:val="005D206E"/>
    <w:rsid w:val="005D2380"/>
    <w:rsid w:val="005D25F1"/>
    <w:rsid w:val="005D3644"/>
    <w:rsid w:val="005D3885"/>
    <w:rsid w:val="005D3AA4"/>
    <w:rsid w:val="005D3B44"/>
    <w:rsid w:val="005D3DB3"/>
    <w:rsid w:val="005D3F0B"/>
    <w:rsid w:val="005D3FFE"/>
    <w:rsid w:val="005D40DA"/>
    <w:rsid w:val="005D425D"/>
    <w:rsid w:val="005D43FA"/>
    <w:rsid w:val="005D46D0"/>
    <w:rsid w:val="005D487E"/>
    <w:rsid w:val="005D488E"/>
    <w:rsid w:val="005D4890"/>
    <w:rsid w:val="005D49A9"/>
    <w:rsid w:val="005D4B2B"/>
    <w:rsid w:val="005D5965"/>
    <w:rsid w:val="005D5AAB"/>
    <w:rsid w:val="005D5DBA"/>
    <w:rsid w:val="005D5E7E"/>
    <w:rsid w:val="005D60F4"/>
    <w:rsid w:val="005D6569"/>
    <w:rsid w:val="005D6CC5"/>
    <w:rsid w:val="005D721B"/>
    <w:rsid w:val="005D7C8A"/>
    <w:rsid w:val="005E00B0"/>
    <w:rsid w:val="005E06B0"/>
    <w:rsid w:val="005E0A00"/>
    <w:rsid w:val="005E0F1A"/>
    <w:rsid w:val="005E0FC1"/>
    <w:rsid w:val="005E12F9"/>
    <w:rsid w:val="005E1600"/>
    <w:rsid w:val="005E164D"/>
    <w:rsid w:val="005E1A03"/>
    <w:rsid w:val="005E1FF0"/>
    <w:rsid w:val="005E2090"/>
    <w:rsid w:val="005E213B"/>
    <w:rsid w:val="005E2DED"/>
    <w:rsid w:val="005E346B"/>
    <w:rsid w:val="005E35A7"/>
    <w:rsid w:val="005E3881"/>
    <w:rsid w:val="005E3B99"/>
    <w:rsid w:val="005E41CD"/>
    <w:rsid w:val="005E5006"/>
    <w:rsid w:val="005E50BB"/>
    <w:rsid w:val="005E59EB"/>
    <w:rsid w:val="005E5BA0"/>
    <w:rsid w:val="005E5C58"/>
    <w:rsid w:val="005E6494"/>
    <w:rsid w:val="005E6623"/>
    <w:rsid w:val="005E6763"/>
    <w:rsid w:val="005E77E3"/>
    <w:rsid w:val="005E7808"/>
    <w:rsid w:val="005F0CCF"/>
    <w:rsid w:val="005F1160"/>
    <w:rsid w:val="005F17E9"/>
    <w:rsid w:val="005F2351"/>
    <w:rsid w:val="005F2948"/>
    <w:rsid w:val="005F2B3D"/>
    <w:rsid w:val="005F2B5D"/>
    <w:rsid w:val="005F35CD"/>
    <w:rsid w:val="005F35EF"/>
    <w:rsid w:val="005F3A9D"/>
    <w:rsid w:val="005F40E3"/>
    <w:rsid w:val="005F4284"/>
    <w:rsid w:val="005F4D98"/>
    <w:rsid w:val="005F51F2"/>
    <w:rsid w:val="005F5ED4"/>
    <w:rsid w:val="005F62FB"/>
    <w:rsid w:val="005F6644"/>
    <w:rsid w:val="005F680A"/>
    <w:rsid w:val="005F6CD5"/>
    <w:rsid w:val="005F6DD5"/>
    <w:rsid w:val="005F6E9C"/>
    <w:rsid w:val="005F7510"/>
    <w:rsid w:val="005F767F"/>
    <w:rsid w:val="005F7DA1"/>
    <w:rsid w:val="005F7E52"/>
    <w:rsid w:val="005F7F36"/>
    <w:rsid w:val="006005B3"/>
    <w:rsid w:val="00600B40"/>
    <w:rsid w:val="00600E7A"/>
    <w:rsid w:val="00601460"/>
    <w:rsid w:val="006015FA"/>
    <w:rsid w:val="00601E80"/>
    <w:rsid w:val="006023B6"/>
    <w:rsid w:val="00603417"/>
    <w:rsid w:val="00603449"/>
    <w:rsid w:val="00603B31"/>
    <w:rsid w:val="00603CE1"/>
    <w:rsid w:val="00603D70"/>
    <w:rsid w:val="006040C6"/>
    <w:rsid w:val="00604752"/>
    <w:rsid w:val="00605CDB"/>
    <w:rsid w:val="00605E73"/>
    <w:rsid w:val="0060673F"/>
    <w:rsid w:val="006067E9"/>
    <w:rsid w:val="006068EE"/>
    <w:rsid w:val="00606DAD"/>
    <w:rsid w:val="00607255"/>
    <w:rsid w:val="006072F3"/>
    <w:rsid w:val="006101FB"/>
    <w:rsid w:val="00610205"/>
    <w:rsid w:val="00610DD6"/>
    <w:rsid w:val="00610F09"/>
    <w:rsid w:val="0061107F"/>
    <w:rsid w:val="006110B3"/>
    <w:rsid w:val="00611E59"/>
    <w:rsid w:val="00612195"/>
    <w:rsid w:val="0061258D"/>
    <w:rsid w:val="00612F51"/>
    <w:rsid w:val="00613429"/>
    <w:rsid w:val="0061360A"/>
    <w:rsid w:val="00613641"/>
    <w:rsid w:val="0061370E"/>
    <w:rsid w:val="00613A3E"/>
    <w:rsid w:val="00614405"/>
    <w:rsid w:val="006144C7"/>
    <w:rsid w:val="0061477F"/>
    <w:rsid w:val="006149AA"/>
    <w:rsid w:val="006153D0"/>
    <w:rsid w:val="00615979"/>
    <w:rsid w:val="006159E3"/>
    <w:rsid w:val="00615E9F"/>
    <w:rsid w:val="0061604F"/>
    <w:rsid w:val="0061648C"/>
    <w:rsid w:val="00616753"/>
    <w:rsid w:val="00616DF4"/>
    <w:rsid w:val="00616EC9"/>
    <w:rsid w:val="006170A6"/>
    <w:rsid w:val="00617A39"/>
    <w:rsid w:val="00617C0D"/>
    <w:rsid w:val="00617CCA"/>
    <w:rsid w:val="00620539"/>
    <w:rsid w:val="00620D7D"/>
    <w:rsid w:val="00620E09"/>
    <w:rsid w:val="006212F3"/>
    <w:rsid w:val="00621403"/>
    <w:rsid w:val="006214FB"/>
    <w:rsid w:val="0062168E"/>
    <w:rsid w:val="00621709"/>
    <w:rsid w:val="00621778"/>
    <w:rsid w:val="0062189C"/>
    <w:rsid w:val="00621A71"/>
    <w:rsid w:val="006226FC"/>
    <w:rsid w:val="00622881"/>
    <w:rsid w:val="00622EA2"/>
    <w:rsid w:val="00622EDD"/>
    <w:rsid w:val="00623178"/>
    <w:rsid w:val="00623711"/>
    <w:rsid w:val="00623DE9"/>
    <w:rsid w:val="0062456E"/>
    <w:rsid w:val="00625073"/>
    <w:rsid w:val="00625257"/>
    <w:rsid w:val="006258F9"/>
    <w:rsid w:val="00625DD1"/>
    <w:rsid w:val="00625E0F"/>
    <w:rsid w:val="006260EE"/>
    <w:rsid w:val="0062684B"/>
    <w:rsid w:val="00626BD2"/>
    <w:rsid w:val="00626D6E"/>
    <w:rsid w:val="006274E6"/>
    <w:rsid w:val="00627599"/>
    <w:rsid w:val="00630646"/>
    <w:rsid w:val="0063107E"/>
    <w:rsid w:val="006318C2"/>
    <w:rsid w:val="00631DA9"/>
    <w:rsid w:val="00631DED"/>
    <w:rsid w:val="006320AA"/>
    <w:rsid w:val="006322B7"/>
    <w:rsid w:val="006324EA"/>
    <w:rsid w:val="0063287C"/>
    <w:rsid w:val="00632CF7"/>
    <w:rsid w:val="00632D21"/>
    <w:rsid w:val="0063350E"/>
    <w:rsid w:val="0063355C"/>
    <w:rsid w:val="00634099"/>
    <w:rsid w:val="00634B84"/>
    <w:rsid w:val="006350B8"/>
    <w:rsid w:val="00635252"/>
    <w:rsid w:val="00635D92"/>
    <w:rsid w:val="0063600B"/>
    <w:rsid w:val="0063610E"/>
    <w:rsid w:val="006363EC"/>
    <w:rsid w:val="006364A9"/>
    <w:rsid w:val="0063699F"/>
    <w:rsid w:val="00636BBA"/>
    <w:rsid w:val="00637279"/>
    <w:rsid w:val="0063746D"/>
    <w:rsid w:val="00637798"/>
    <w:rsid w:val="006377B1"/>
    <w:rsid w:val="0063791C"/>
    <w:rsid w:val="00637FCA"/>
    <w:rsid w:val="006401CE"/>
    <w:rsid w:val="00640248"/>
    <w:rsid w:val="00640483"/>
    <w:rsid w:val="00640C78"/>
    <w:rsid w:val="00640E31"/>
    <w:rsid w:val="006412B6"/>
    <w:rsid w:val="0064152F"/>
    <w:rsid w:val="00641B73"/>
    <w:rsid w:val="00641BEE"/>
    <w:rsid w:val="006427FE"/>
    <w:rsid w:val="0064335D"/>
    <w:rsid w:val="00643AFE"/>
    <w:rsid w:val="00643B08"/>
    <w:rsid w:val="00643C3E"/>
    <w:rsid w:val="00643E14"/>
    <w:rsid w:val="006440B3"/>
    <w:rsid w:val="00644DF6"/>
    <w:rsid w:val="006455DC"/>
    <w:rsid w:val="006458F3"/>
    <w:rsid w:val="00645B05"/>
    <w:rsid w:val="00645E1E"/>
    <w:rsid w:val="00646190"/>
    <w:rsid w:val="00646A0C"/>
    <w:rsid w:val="00646B46"/>
    <w:rsid w:val="00646DB1"/>
    <w:rsid w:val="00646E36"/>
    <w:rsid w:val="00647B75"/>
    <w:rsid w:val="00647F0B"/>
    <w:rsid w:val="00650ACC"/>
    <w:rsid w:val="00650AF4"/>
    <w:rsid w:val="0065111C"/>
    <w:rsid w:val="0065184C"/>
    <w:rsid w:val="00651C90"/>
    <w:rsid w:val="00652433"/>
    <w:rsid w:val="006525E6"/>
    <w:rsid w:val="006532D6"/>
    <w:rsid w:val="00653872"/>
    <w:rsid w:val="00653E3F"/>
    <w:rsid w:val="0065448A"/>
    <w:rsid w:val="00654817"/>
    <w:rsid w:val="00654A6D"/>
    <w:rsid w:val="00655462"/>
    <w:rsid w:val="0065548F"/>
    <w:rsid w:val="00655502"/>
    <w:rsid w:val="00655921"/>
    <w:rsid w:val="00657483"/>
    <w:rsid w:val="006608C9"/>
    <w:rsid w:val="006609BD"/>
    <w:rsid w:val="0066125C"/>
    <w:rsid w:val="00661793"/>
    <w:rsid w:val="00661880"/>
    <w:rsid w:val="00662340"/>
    <w:rsid w:val="00662513"/>
    <w:rsid w:val="006629A0"/>
    <w:rsid w:val="00662B72"/>
    <w:rsid w:val="00662D36"/>
    <w:rsid w:val="0066320E"/>
    <w:rsid w:val="006635FE"/>
    <w:rsid w:val="00663652"/>
    <w:rsid w:val="0066388E"/>
    <w:rsid w:val="00663DB0"/>
    <w:rsid w:val="00663E79"/>
    <w:rsid w:val="0066489D"/>
    <w:rsid w:val="00664BB0"/>
    <w:rsid w:val="00664BF1"/>
    <w:rsid w:val="00664D32"/>
    <w:rsid w:val="00664E68"/>
    <w:rsid w:val="006655BD"/>
    <w:rsid w:val="00665DFB"/>
    <w:rsid w:val="0066688A"/>
    <w:rsid w:val="006668F3"/>
    <w:rsid w:val="00666B21"/>
    <w:rsid w:val="00666DE8"/>
    <w:rsid w:val="006676A6"/>
    <w:rsid w:val="0066789E"/>
    <w:rsid w:val="00667C88"/>
    <w:rsid w:val="00667D71"/>
    <w:rsid w:val="006701FB"/>
    <w:rsid w:val="0067057B"/>
    <w:rsid w:val="00670689"/>
    <w:rsid w:val="0067138E"/>
    <w:rsid w:val="00671440"/>
    <w:rsid w:val="00671EB7"/>
    <w:rsid w:val="00671EC8"/>
    <w:rsid w:val="0067277D"/>
    <w:rsid w:val="00672959"/>
    <w:rsid w:val="006732A5"/>
    <w:rsid w:val="00673886"/>
    <w:rsid w:val="00673C4C"/>
    <w:rsid w:val="006745D9"/>
    <w:rsid w:val="00674A01"/>
    <w:rsid w:val="00674D80"/>
    <w:rsid w:val="006753DC"/>
    <w:rsid w:val="00675539"/>
    <w:rsid w:val="00675658"/>
    <w:rsid w:val="006758CA"/>
    <w:rsid w:val="006763BF"/>
    <w:rsid w:val="0067658C"/>
    <w:rsid w:val="00676653"/>
    <w:rsid w:val="006766D4"/>
    <w:rsid w:val="00677327"/>
    <w:rsid w:val="00677430"/>
    <w:rsid w:val="0068016A"/>
    <w:rsid w:val="006806E2"/>
    <w:rsid w:val="0068078B"/>
    <w:rsid w:val="00680EE5"/>
    <w:rsid w:val="00680FDA"/>
    <w:rsid w:val="00681560"/>
    <w:rsid w:val="0068158B"/>
    <w:rsid w:val="00681648"/>
    <w:rsid w:val="00681A58"/>
    <w:rsid w:val="0068206E"/>
    <w:rsid w:val="006822C8"/>
    <w:rsid w:val="006824E4"/>
    <w:rsid w:val="006827C5"/>
    <w:rsid w:val="00682E7C"/>
    <w:rsid w:val="00682EBC"/>
    <w:rsid w:val="00683027"/>
    <w:rsid w:val="00683172"/>
    <w:rsid w:val="00683A3E"/>
    <w:rsid w:val="00684055"/>
    <w:rsid w:val="006846AB"/>
    <w:rsid w:val="00685213"/>
    <w:rsid w:val="006859E4"/>
    <w:rsid w:val="006860AC"/>
    <w:rsid w:val="00686B2F"/>
    <w:rsid w:val="00686D0C"/>
    <w:rsid w:val="00686DCF"/>
    <w:rsid w:val="00687110"/>
    <w:rsid w:val="006871C6"/>
    <w:rsid w:val="00687D6D"/>
    <w:rsid w:val="00687E1C"/>
    <w:rsid w:val="0069073D"/>
    <w:rsid w:val="006908E5"/>
    <w:rsid w:val="006916A1"/>
    <w:rsid w:val="0069195A"/>
    <w:rsid w:val="00691E88"/>
    <w:rsid w:val="00691F9C"/>
    <w:rsid w:val="00692043"/>
    <w:rsid w:val="00692290"/>
    <w:rsid w:val="00692471"/>
    <w:rsid w:val="00692519"/>
    <w:rsid w:val="00692930"/>
    <w:rsid w:val="00692971"/>
    <w:rsid w:val="0069299D"/>
    <w:rsid w:val="0069304F"/>
    <w:rsid w:val="00693086"/>
    <w:rsid w:val="0069371F"/>
    <w:rsid w:val="00693EF6"/>
    <w:rsid w:val="0069428B"/>
    <w:rsid w:val="0069429F"/>
    <w:rsid w:val="00694AAA"/>
    <w:rsid w:val="00694B90"/>
    <w:rsid w:val="00694BE5"/>
    <w:rsid w:val="00695184"/>
    <w:rsid w:val="00696728"/>
    <w:rsid w:val="006968C7"/>
    <w:rsid w:val="00697456"/>
    <w:rsid w:val="00697CC8"/>
    <w:rsid w:val="00697DA7"/>
    <w:rsid w:val="00697EF8"/>
    <w:rsid w:val="00697F8A"/>
    <w:rsid w:val="006A0B3C"/>
    <w:rsid w:val="006A0B51"/>
    <w:rsid w:val="006A0ED2"/>
    <w:rsid w:val="006A0F3F"/>
    <w:rsid w:val="006A17E2"/>
    <w:rsid w:val="006A2191"/>
    <w:rsid w:val="006A25C2"/>
    <w:rsid w:val="006A2B42"/>
    <w:rsid w:val="006A35E9"/>
    <w:rsid w:val="006A3AB2"/>
    <w:rsid w:val="006A4348"/>
    <w:rsid w:val="006A4A25"/>
    <w:rsid w:val="006A4BE5"/>
    <w:rsid w:val="006A4D01"/>
    <w:rsid w:val="006A63FB"/>
    <w:rsid w:val="006A6640"/>
    <w:rsid w:val="006A6A1E"/>
    <w:rsid w:val="006A6A38"/>
    <w:rsid w:val="006A7367"/>
    <w:rsid w:val="006A7890"/>
    <w:rsid w:val="006A78C3"/>
    <w:rsid w:val="006B01A1"/>
    <w:rsid w:val="006B02BB"/>
    <w:rsid w:val="006B090C"/>
    <w:rsid w:val="006B0E0B"/>
    <w:rsid w:val="006B0F80"/>
    <w:rsid w:val="006B1195"/>
    <w:rsid w:val="006B12FF"/>
    <w:rsid w:val="006B130E"/>
    <w:rsid w:val="006B1628"/>
    <w:rsid w:val="006B1E44"/>
    <w:rsid w:val="006B2E19"/>
    <w:rsid w:val="006B31A2"/>
    <w:rsid w:val="006B3312"/>
    <w:rsid w:val="006B35F6"/>
    <w:rsid w:val="006B369F"/>
    <w:rsid w:val="006B3AE7"/>
    <w:rsid w:val="006B3CAD"/>
    <w:rsid w:val="006B3FF0"/>
    <w:rsid w:val="006B4057"/>
    <w:rsid w:val="006B4314"/>
    <w:rsid w:val="006B4D84"/>
    <w:rsid w:val="006B4E9E"/>
    <w:rsid w:val="006B587A"/>
    <w:rsid w:val="006B614E"/>
    <w:rsid w:val="006B6278"/>
    <w:rsid w:val="006B65C2"/>
    <w:rsid w:val="006B78FE"/>
    <w:rsid w:val="006B7BA1"/>
    <w:rsid w:val="006C0372"/>
    <w:rsid w:val="006C0492"/>
    <w:rsid w:val="006C09B0"/>
    <w:rsid w:val="006C09FA"/>
    <w:rsid w:val="006C0C27"/>
    <w:rsid w:val="006C12F0"/>
    <w:rsid w:val="006C15B0"/>
    <w:rsid w:val="006C164E"/>
    <w:rsid w:val="006C20CD"/>
    <w:rsid w:val="006C2278"/>
    <w:rsid w:val="006C2595"/>
    <w:rsid w:val="006C2D58"/>
    <w:rsid w:val="006C2D84"/>
    <w:rsid w:val="006C342D"/>
    <w:rsid w:val="006C3B53"/>
    <w:rsid w:val="006C3D23"/>
    <w:rsid w:val="006C3ED3"/>
    <w:rsid w:val="006C3FCC"/>
    <w:rsid w:val="006C3FE0"/>
    <w:rsid w:val="006C4290"/>
    <w:rsid w:val="006C4746"/>
    <w:rsid w:val="006C483D"/>
    <w:rsid w:val="006C4968"/>
    <w:rsid w:val="006C4F7B"/>
    <w:rsid w:val="006C5041"/>
    <w:rsid w:val="006C56CF"/>
    <w:rsid w:val="006C6D40"/>
    <w:rsid w:val="006C6F39"/>
    <w:rsid w:val="006C7097"/>
    <w:rsid w:val="006C7243"/>
    <w:rsid w:val="006C7774"/>
    <w:rsid w:val="006C78D3"/>
    <w:rsid w:val="006C79AB"/>
    <w:rsid w:val="006C7AC5"/>
    <w:rsid w:val="006C7F43"/>
    <w:rsid w:val="006D03ED"/>
    <w:rsid w:val="006D04BA"/>
    <w:rsid w:val="006D0C5F"/>
    <w:rsid w:val="006D132D"/>
    <w:rsid w:val="006D1B10"/>
    <w:rsid w:val="006D1BFD"/>
    <w:rsid w:val="006D1D7A"/>
    <w:rsid w:val="006D2837"/>
    <w:rsid w:val="006D2BD3"/>
    <w:rsid w:val="006D2DCC"/>
    <w:rsid w:val="006D317C"/>
    <w:rsid w:val="006D3251"/>
    <w:rsid w:val="006D3BD4"/>
    <w:rsid w:val="006D4D2E"/>
    <w:rsid w:val="006D61CC"/>
    <w:rsid w:val="006D6697"/>
    <w:rsid w:val="006D6774"/>
    <w:rsid w:val="006D6963"/>
    <w:rsid w:val="006D6B83"/>
    <w:rsid w:val="006D7616"/>
    <w:rsid w:val="006D76F1"/>
    <w:rsid w:val="006D7D1C"/>
    <w:rsid w:val="006E00BC"/>
    <w:rsid w:val="006E0EAE"/>
    <w:rsid w:val="006E0F38"/>
    <w:rsid w:val="006E10A2"/>
    <w:rsid w:val="006E197E"/>
    <w:rsid w:val="006E214A"/>
    <w:rsid w:val="006E22A8"/>
    <w:rsid w:val="006E3780"/>
    <w:rsid w:val="006E3AB3"/>
    <w:rsid w:val="006E3E68"/>
    <w:rsid w:val="006E4686"/>
    <w:rsid w:val="006E475A"/>
    <w:rsid w:val="006E4ADF"/>
    <w:rsid w:val="006E4E86"/>
    <w:rsid w:val="006E5304"/>
    <w:rsid w:val="006E5872"/>
    <w:rsid w:val="006E5DCF"/>
    <w:rsid w:val="006E63CD"/>
    <w:rsid w:val="006E65F9"/>
    <w:rsid w:val="006E690F"/>
    <w:rsid w:val="006E6F3C"/>
    <w:rsid w:val="006E79BC"/>
    <w:rsid w:val="006E7BC9"/>
    <w:rsid w:val="006E7D98"/>
    <w:rsid w:val="006F0B5D"/>
    <w:rsid w:val="006F0DCC"/>
    <w:rsid w:val="006F2056"/>
    <w:rsid w:val="006F25C2"/>
    <w:rsid w:val="006F2C42"/>
    <w:rsid w:val="006F3044"/>
    <w:rsid w:val="006F3140"/>
    <w:rsid w:val="006F34A0"/>
    <w:rsid w:val="006F3839"/>
    <w:rsid w:val="006F3C63"/>
    <w:rsid w:val="006F4E38"/>
    <w:rsid w:val="006F5846"/>
    <w:rsid w:val="006F64B4"/>
    <w:rsid w:val="006F665F"/>
    <w:rsid w:val="006F6A4B"/>
    <w:rsid w:val="006F6A4F"/>
    <w:rsid w:val="006F7131"/>
    <w:rsid w:val="006F71D0"/>
    <w:rsid w:val="007000FB"/>
    <w:rsid w:val="0070044C"/>
    <w:rsid w:val="0070047A"/>
    <w:rsid w:val="007008A0"/>
    <w:rsid w:val="00700F0E"/>
    <w:rsid w:val="00700F18"/>
    <w:rsid w:val="0070174E"/>
    <w:rsid w:val="0070196D"/>
    <w:rsid w:val="00701A76"/>
    <w:rsid w:val="00701B3D"/>
    <w:rsid w:val="00701BF7"/>
    <w:rsid w:val="00702682"/>
    <w:rsid w:val="0070356E"/>
    <w:rsid w:val="00703B26"/>
    <w:rsid w:val="00703DAC"/>
    <w:rsid w:val="00703F55"/>
    <w:rsid w:val="00704158"/>
    <w:rsid w:val="007044D5"/>
    <w:rsid w:val="00704B94"/>
    <w:rsid w:val="00704C0A"/>
    <w:rsid w:val="00705296"/>
    <w:rsid w:val="007059F3"/>
    <w:rsid w:val="00706146"/>
    <w:rsid w:val="00706586"/>
    <w:rsid w:val="007067A4"/>
    <w:rsid w:val="0070695E"/>
    <w:rsid w:val="007074DC"/>
    <w:rsid w:val="0070765D"/>
    <w:rsid w:val="00707F07"/>
    <w:rsid w:val="00707FFE"/>
    <w:rsid w:val="00710271"/>
    <w:rsid w:val="00710544"/>
    <w:rsid w:val="00710662"/>
    <w:rsid w:val="0071155B"/>
    <w:rsid w:val="00711ABF"/>
    <w:rsid w:val="00711C31"/>
    <w:rsid w:val="0071249A"/>
    <w:rsid w:val="00712740"/>
    <w:rsid w:val="00712750"/>
    <w:rsid w:val="0071279C"/>
    <w:rsid w:val="00712DB6"/>
    <w:rsid w:val="00713070"/>
    <w:rsid w:val="00713871"/>
    <w:rsid w:val="007142F2"/>
    <w:rsid w:val="007146E9"/>
    <w:rsid w:val="007147CF"/>
    <w:rsid w:val="00715243"/>
    <w:rsid w:val="00715412"/>
    <w:rsid w:val="00716323"/>
    <w:rsid w:val="00716654"/>
    <w:rsid w:val="007167A1"/>
    <w:rsid w:val="00716EA1"/>
    <w:rsid w:val="00716F17"/>
    <w:rsid w:val="0071795B"/>
    <w:rsid w:val="00717EAD"/>
    <w:rsid w:val="007206AF"/>
    <w:rsid w:val="007207DC"/>
    <w:rsid w:val="00720A2D"/>
    <w:rsid w:val="00720F9B"/>
    <w:rsid w:val="00721AE0"/>
    <w:rsid w:val="00721B8B"/>
    <w:rsid w:val="007220AE"/>
    <w:rsid w:val="00722370"/>
    <w:rsid w:val="007227E9"/>
    <w:rsid w:val="00722815"/>
    <w:rsid w:val="00722D53"/>
    <w:rsid w:val="00722D9B"/>
    <w:rsid w:val="00723449"/>
    <w:rsid w:val="0072363A"/>
    <w:rsid w:val="00723AE6"/>
    <w:rsid w:val="00723EBE"/>
    <w:rsid w:val="00724536"/>
    <w:rsid w:val="0072453A"/>
    <w:rsid w:val="0072460D"/>
    <w:rsid w:val="00724AF7"/>
    <w:rsid w:val="00724E3A"/>
    <w:rsid w:val="00724FFC"/>
    <w:rsid w:val="007256F3"/>
    <w:rsid w:val="00725718"/>
    <w:rsid w:val="0072593B"/>
    <w:rsid w:val="00725A5D"/>
    <w:rsid w:val="00725E96"/>
    <w:rsid w:val="00725FE8"/>
    <w:rsid w:val="007261B8"/>
    <w:rsid w:val="007268AF"/>
    <w:rsid w:val="00726D61"/>
    <w:rsid w:val="007270AC"/>
    <w:rsid w:val="007270D5"/>
    <w:rsid w:val="00727148"/>
    <w:rsid w:val="00727178"/>
    <w:rsid w:val="007272EE"/>
    <w:rsid w:val="00727592"/>
    <w:rsid w:val="00727EC1"/>
    <w:rsid w:val="0073088E"/>
    <w:rsid w:val="00730D40"/>
    <w:rsid w:val="00731152"/>
    <w:rsid w:val="00731380"/>
    <w:rsid w:val="007313EC"/>
    <w:rsid w:val="007316E0"/>
    <w:rsid w:val="00731734"/>
    <w:rsid w:val="0073180E"/>
    <w:rsid w:val="007319DD"/>
    <w:rsid w:val="00731ED9"/>
    <w:rsid w:val="00732024"/>
    <w:rsid w:val="00732D2E"/>
    <w:rsid w:val="00732F17"/>
    <w:rsid w:val="00732F31"/>
    <w:rsid w:val="00733147"/>
    <w:rsid w:val="007331C3"/>
    <w:rsid w:val="007338A7"/>
    <w:rsid w:val="00734206"/>
    <w:rsid w:val="0073441D"/>
    <w:rsid w:val="007348B4"/>
    <w:rsid w:val="00734928"/>
    <w:rsid w:val="00734D44"/>
    <w:rsid w:val="0073526E"/>
    <w:rsid w:val="0073575A"/>
    <w:rsid w:val="00735F61"/>
    <w:rsid w:val="007362A7"/>
    <w:rsid w:val="00736538"/>
    <w:rsid w:val="007366B0"/>
    <w:rsid w:val="00736BA5"/>
    <w:rsid w:val="00736E58"/>
    <w:rsid w:val="007376B2"/>
    <w:rsid w:val="00737FFE"/>
    <w:rsid w:val="0074032B"/>
    <w:rsid w:val="00740AE0"/>
    <w:rsid w:val="00740C79"/>
    <w:rsid w:val="007413C1"/>
    <w:rsid w:val="007414DE"/>
    <w:rsid w:val="007418C5"/>
    <w:rsid w:val="007418EC"/>
    <w:rsid w:val="00742AB1"/>
    <w:rsid w:val="00742CF1"/>
    <w:rsid w:val="00742EA4"/>
    <w:rsid w:val="00742F2F"/>
    <w:rsid w:val="007432F2"/>
    <w:rsid w:val="00743583"/>
    <w:rsid w:val="00743959"/>
    <w:rsid w:val="00743A58"/>
    <w:rsid w:val="00744259"/>
    <w:rsid w:val="0074446B"/>
    <w:rsid w:val="00744626"/>
    <w:rsid w:val="00744F51"/>
    <w:rsid w:val="0074502A"/>
    <w:rsid w:val="007450D0"/>
    <w:rsid w:val="007451AD"/>
    <w:rsid w:val="00745734"/>
    <w:rsid w:val="00745970"/>
    <w:rsid w:val="00745B7B"/>
    <w:rsid w:val="007464D5"/>
    <w:rsid w:val="00746989"/>
    <w:rsid w:val="00746CAC"/>
    <w:rsid w:val="00746F9A"/>
    <w:rsid w:val="00746FCB"/>
    <w:rsid w:val="007475F8"/>
    <w:rsid w:val="00747697"/>
    <w:rsid w:val="0074799C"/>
    <w:rsid w:val="007506B6"/>
    <w:rsid w:val="0075085A"/>
    <w:rsid w:val="007508AF"/>
    <w:rsid w:val="00750CCD"/>
    <w:rsid w:val="00751785"/>
    <w:rsid w:val="00751A8F"/>
    <w:rsid w:val="00751ADE"/>
    <w:rsid w:val="007525E2"/>
    <w:rsid w:val="007527A5"/>
    <w:rsid w:val="00752CCB"/>
    <w:rsid w:val="00752FD5"/>
    <w:rsid w:val="0075338A"/>
    <w:rsid w:val="00753A8B"/>
    <w:rsid w:val="0075444A"/>
    <w:rsid w:val="00754A39"/>
    <w:rsid w:val="00754B37"/>
    <w:rsid w:val="00754E63"/>
    <w:rsid w:val="00754F7E"/>
    <w:rsid w:val="00754FA5"/>
    <w:rsid w:val="0075501C"/>
    <w:rsid w:val="007550D8"/>
    <w:rsid w:val="0075521A"/>
    <w:rsid w:val="00755B7E"/>
    <w:rsid w:val="00755C56"/>
    <w:rsid w:val="007566A8"/>
    <w:rsid w:val="00756734"/>
    <w:rsid w:val="0075690D"/>
    <w:rsid w:val="00756916"/>
    <w:rsid w:val="00756A39"/>
    <w:rsid w:val="00757F8F"/>
    <w:rsid w:val="00760643"/>
    <w:rsid w:val="00760946"/>
    <w:rsid w:val="00760B87"/>
    <w:rsid w:val="00760C3D"/>
    <w:rsid w:val="00760DDE"/>
    <w:rsid w:val="0076104A"/>
    <w:rsid w:val="00761F93"/>
    <w:rsid w:val="00762DB2"/>
    <w:rsid w:val="007634CF"/>
    <w:rsid w:val="00764AF6"/>
    <w:rsid w:val="00764C60"/>
    <w:rsid w:val="00764CEA"/>
    <w:rsid w:val="00764E87"/>
    <w:rsid w:val="00764EC5"/>
    <w:rsid w:val="00764ED9"/>
    <w:rsid w:val="007658FA"/>
    <w:rsid w:val="00765E83"/>
    <w:rsid w:val="00766E3A"/>
    <w:rsid w:val="00766F93"/>
    <w:rsid w:val="00767138"/>
    <w:rsid w:val="007677F0"/>
    <w:rsid w:val="00767888"/>
    <w:rsid w:val="00767BF7"/>
    <w:rsid w:val="00767D6B"/>
    <w:rsid w:val="007702DE"/>
    <w:rsid w:val="00770535"/>
    <w:rsid w:val="00770724"/>
    <w:rsid w:val="00770AAF"/>
    <w:rsid w:val="00771516"/>
    <w:rsid w:val="0077159D"/>
    <w:rsid w:val="00771651"/>
    <w:rsid w:val="007718B9"/>
    <w:rsid w:val="00772283"/>
    <w:rsid w:val="0077290D"/>
    <w:rsid w:val="00772ED2"/>
    <w:rsid w:val="0077375D"/>
    <w:rsid w:val="00773E9E"/>
    <w:rsid w:val="00773EA7"/>
    <w:rsid w:val="00774860"/>
    <w:rsid w:val="00774896"/>
    <w:rsid w:val="00774B99"/>
    <w:rsid w:val="00774BD7"/>
    <w:rsid w:val="007755C6"/>
    <w:rsid w:val="00775B9E"/>
    <w:rsid w:val="00775ED8"/>
    <w:rsid w:val="00776440"/>
    <w:rsid w:val="00776836"/>
    <w:rsid w:val="0077694E"/>
    <w:rsid w:val="00776AD5"/>
    <w:rsid w:val="007800E2"/>
    <w:rsid w:val="007802EF"/>
    <w:rsid w:val="0078088C"/>
    <w:rsid w:val="00780B96"/>
    <w:rsid w:val="00781059"/>
    <w:rsid w:val="00781157"/>
    <w:rsid w:val="00781B0E"/>
    <w:rsid w:val="00781D63"/>
    <w:rsid w:val="00781E48"/>
    <w:rsid w:val="0078230A"/>
    <w:rsid w:val="0078259F"/>
    <w:rsid w:val="00782BBB"/>
    <w:rsid w:val="00782CE7"/>
    <w:rsid w:val="00783126"/>
    <w:rsid w:val="0078359C"/>
    <w:rsid w:val="007835D6"/>
    <w:rsid w:val="0078389F"/>
    <w:rsid w:val="00783F02"/>
    <w:rsid w:val="0078452A"/>
    <w:rsid w:val="007853B7"/>
    <w:rsid w:val="00785E5A"/>
    <w:rsid w:val="00785EA6"/>
    <w:rsid w:val="007862B2"/>
    <w:rsid w:val="00786509"/>
    <w:rsid w:val="00786D69"/>
    <w:rsid w:val="007902D3"/>
    <w:rsid w:val="0079092C"/>
    <w:rsid w:val="00790B30"/>
    <w:rsid w:val="0079163C"/>
    <w:rsid w:val="00791FE8"/>
    <w:rsid w:val="0079221B"/>
    <w:rsid w:val="0079229C"/>
    <w:rsid w:val="007925FD"/>
    <w:rsid w:val="00792C0B"/>
    <w:rsid w:val="00793025"/>
    <w:rsid w:val="00793A5F"/>
    <w:rsid w:val="00793A94"/>
    <w:rsid w:val="00793ACD"/>
    <w:rsid w:val="00793E6F"/>
    <w:rsid w:val="007948F4"/>
    <w:rsid w:val="00794C82"/>
    <w:rsid w:val="007953EC"/>
    <w:rsid w:val="00795407"/>
    <w:rsid w:val="0079575B"/>
    <w:rsid w:val="0079576A"/>
    <w:rsid w:val="007957AF"/>
    <w:rsid w:val="00795829"/>
    <w:rsid w:val="00795A5C"/>
    <w:rsid w:val="0079649C"/>
    <w:rsid w:val="007965F6"/>
    <w:rsid w:val="007967B3"/>
    <w:rsid w:val="00796879"/>
    <w:rsid w:val="00796EC5"/>
    <w:rsid w:val="0079730B"/>
    <w:rsid w:val="007976E6"/>
    <w:rsid w:val="007A01B3"/>
    <w:rsid w:val="007A01D4"/>
    <w:rsid w:val="007A061E"/>
    <w:rsid w:val="007A086E"/>
    <w:rsid w:val="007A0CEF"/>
    <w:rsid w:val="007A0DC0"/>
    <w:rsid w:val="007A0FB8"/>
    <w:rsid w:val="007A18BE"/>
    <w:rsid w:val="007A196E"/>
    <w:rsid w:val="007A1CF8"/>
    <w:rsid w:val="007A1D1A"/>
    <w:rsid w:val="007A1E54"/>
    <w:rsid w:val="007A2415"/>
    <w:rsid w:val="007A2535"/>
    <w:rsid w:val="007A2777"/>
    <w:rsid w:val="007A28CA"/>
    <w:rsid w:val="007A2C57"/>
    <w:rsid w:val="007A43D5"/>
    <w:rsid w:val="007A4469"/>
    <w:rsid w:val="007A4625"/>
    <w:rsid w:val="007A5F03"/>
    <w:rsid w:val="007A6291"/>
    <w:rsid w:val="007A6821"/>
    <w:rsid w:val="007A7A51"/>
    <w:rsid w:val="007A7DD3"/>
    <w:rsid w:val="007B03BA"/>
    <w:rsid w:val="007B1285"/>
    <w:rsid w:val="007B1904"/>
    <w:rsid w:val="007B1F64"/>
    <w:rsid w:val="007B2840"/>
    <w:rsid w:val="007B2B30"/>
    <w:rsid w:val="007B2BC9"/>
    <w:rsid w:val="007B2BD5"/>
    <w:rsid w:val="007B2F75"/>
    <w:rsid w:val="007B375D"/>
    <w:rsid w:val="007B3A07"/>
    <w:rsid w:val="007B3C9F"/>
    <w:rsid w:val="007B42A6"/>
    <w:rsid w:val="007B44D6"/>
    <w:rsid w:val="007B4AD9"/>
    <w:rsid w:val="007B51F8"/>
    <w:rsid w:val="007B56F1"/>
    <w:rsid w:val="007B5A8E"/>
    <w:rsid w:val="007B5F0F"/>
    <w:rsid w:val="007B6678"/>
    <w:rsid w:val="007B670D"/>
    <w:rsid w:val="007B6C1F"/>
    <w:rsid w:val="007B6CD2"/>
    <w:rsid w:val="007B6D20"/>
    <w:rsid w:val="007B6EE1"/>
    <w:rsid w:val="007B6F7D"/>
    <w:rsid w:val="007B76BA"/>
    <w:rsid w:val="007B79D5"/>
    <w:rsid w:val="007B7A44"/>
    <w:rsid w:val="007B7C96"/>
    <w:rsid w:val="007B7CC5"/>
    <w:rsid w:val="007B7E2A"/>
    <w:rsid w:val="007B7FAB"/>
    <w:rsid w:val="007C04AA"/>
    <w:rsid w:val="007C0B86"/>
    <w:rsid w:val="007C0D66"/>
    <w:rsid w:val="007C0F1C"/>
    <w:rsid w:val="007C1108"/>
    <w:rsid w:val="007C12F8"/>
    <w:rsid w:val="007C1723"/>
    <w:rsid w:val="007C17EC"/>
    <w:rsid w:val="007C1A2B"/>
    <w:rsid w:val="007C1B92"/>
    <w:rsid w:val="007C1C89"/>
    <w:rsid w:val="007C20BF"/>
    <w:rsid w:val="007C279D"/>
    <w:rsid w:val="007C2A37"/>
    <w:rsid w:val="007C2B77"/>
    <w:rsid w:val="007C2D69"/>
    <w:rsid w:val="007C2F6B"/>
    <w:rsid w:val="007C33B4"/>
    <w:rsid w:val="007C35BE"/>
    <w:rsid w:val="007C37C0"/>
    <w:rsid w:val="007C3BD7"/>
    <w:rsid w:val="007C3C32"/>
    <w:rsid w:val="007C4B11"/>
    <w:rsid w:val="007C524D"/>
    <w:rsid w:val="007C589D"/>
    <w:rsid w:val="007C5E18"/>
    <w:rsid w:val="007C62C7"/>
    <w:rsid w:val="007C6B8A"/>
    <w:rsid w:val="007C6C40"/>
    <w:rsid w:val="007C7070"/>
    <w:rsid w:val="007C737F"/>
    <w:rsid w:val="007C7814"/>
    <w:rsid w:val="007C793F"/>
    <w:rsid w:val="007C797E"/>
    <w:rsid w:val="007C7AEE"/>
    <w:rsid w:val="007C7BD0"/>
    <w:rsid w:val="007C7DA0"/>
    <w:rsid w:val="007D02E2"/>
    <w:rsid w:val="007D0BA5"/>
    <w:rsid w:val="007D113F"/>
    <w:rsid w:val="007D140E"/>
    <w:rsid w:val="007D15AB"/>
    <w:rsid w:val="007D1732"/>
    <w:rsid w:val="007D1A6D"/>
    <w:rsid w:val="007D20E2"/>
    <w:rsid w:val="007D23A5"/>
    <w:rsid w:val="007D23CE"/>
    <w:rsid w:val="007D25CD"/>
    <w:rsid w:val="007D2DB9"/>
    <w:rsid w:val="007D2EB3"/>
    <w:rsid w:val="007D2F75"/>
    <w:rsid w:val="007D309A"/>
    <w:rsid w:val="007D339A"/>
    <w:rsid w:val="007D444F"/>
    <w:rsid w:val="007D4D72"/>
    <w:rsid w:val="007D53F3"/>
    <w:rsid w:val="007D591E"/>
    <w:rsid w:val="007D5F90"/>
    <w:rsid w:val="007D6287"/>
    <w:rsid w:val="007D6363"/>
    <w:rsid w:val="007D699E"/>
    <w:rsid w:val="007D6A0A"/>
    <w:rsid w:val="007D6CBE"/>
    <w:rsid w:val="007D72B0"/>
    <w:rsid w:val="007D7928"/>
    <w:rsid w:val="007E0160"/>
    <w:rsid w:val="007E055A"/>
    <w:rsid w:val="007E081F"/>
    <w:rsid w:val="007E0879"/>
    <w:rsid w:val="007E095F"/>
    <w:rsid w:val="007E1943"/>
    <w:rsid w:val="007E1DB9"/>
    <w:rsid w:val="007E249B"/>
    <w:rsid w:val="007E29CF"/>
    <w:rsid w:val="007E3435"/>
    <w:rsid w:val="007E3983"/>
    <w:rsid w:val="007E438C"/>
    <w:rsid w:val="007E442F"/>
    <w:rsid w:val="007E523A"/>
    <w:rsid w:val="007E5525"/>
    <w:rsid w:val="007E5FCB"/>
    <w:rsid w:val="007E615D"/>
    <w:rsid w:val="007E7130"/>
    <w:rsid w:val="007E7974"/>
    <w:rsid w:val="007E7BE4"/>
    <w:rsid w:val="007E7C0D"/>
    <w:rsid w:val="007E7C56"/>
    <w:rsid w:val="007F032D"/>
    <w:rsid w:val="007F0482"/>
    <w:rsid w:val="007F10BE"/>
    <w:rsid w:val="007F1599"/>
    <w:rsid w:val="007F162A"/>
    <w:rsid w:val="007F17BB"/>
    <w:rsid w:val="007F1979"/>
    <w:rsid w:val="007F1E38"/>
    <w:rsid w:val="007F2C7D"/>
    <w:rsid w:val="007F2E0E"/>
    <w:rsid w:val="007F35F7"/>
    <w:rsid w:val="007F3661"/>
    <w:rsid w:val="007F36ED"/>
    <w:rsid w:val="007F3A4B"/>
    <w:rsid w:val="007F472D"/>
    <w:rsid w:val="007F4AF0"/>
    <w:rsid w:val="007F57A8"/>
    <w:rsid w:val="007F58D8"/>
    <w:rsid w:val="007F5D8C"/>
    <w:rsid w:val="007F5D93"/>
    <w:rsid w:val="007F6C32"/>
    <w:rsid w:val="007F6DB3"/>
    <w:rsid w:val="007F726E"/>
    <w:rsid w:val="007F728C"/>
    <w:rsid w:val="007F74F5"/>
    <w:rsid w:val="00800BA4"/>
    <w:rsid w:val="00801788"/>
    <w:rsid w:val="00801ACC"/>
    <w:rsid w:val="00802033"/>
    <w:rsid w:val="008021A1"/>
    <w:rsid w:val="00802CD5"/>
    <w:rsid w:val="00803358"/>
    <w:rsid w:val="008035A5"/>
    <w:rsid w:val="008039D8"/>
    <w:rsid w:val="00803DA0"/>
    <w:rsid w:val="00804062"/>
    <w:rsid w:val="008042E3"/>
    <w:rsid w:val="00805A96"/>
    <w:rsid w:val="00806559"/>
    <w:rsid w:val="00806575"/>
    <w:rsid w:val="00806619"/>
    <w:rsid w:val="00806E87"/>
    <w:rsid w:val="00806E94"/>
    <w:rsid w:val="00807825"/>
    <w:rsid w:val="00807ACA"/>
    <w:rsid w:val="008107FA"/>
    <w:rsid w:val="00810E31"/>
    <w:rsid w:val="00810EBC"/>
    <w:rsid w:val="008110DA"/>
    <w:rsid w:val="008112B1"/>
    <w:rsid w:val="008112D2"/>
    <w:rsid w:val="0081147F"/>
    <w:rsid w:val="00811E50"/>
    <w:rsid w:val="0081221C"/>
    <w:rsid w:val="0081230C"/>
    <w:rsid w:val="00812A44"/>
    <w:rsid w:val="00813176"/>
    <w:rsid w:val="00813EEE"/>
    <w:rsid w:val="008142CF"/>
    <w:rsid w:val="008142F8"/>
    <w:rsid w:val="008143AD"/>
    <w:rsid w:val="0081498B"/>
    <w:rsid w:val="00815308"/>
    <w:rsid w:val="008154B4"/>
    <w:rsid w:val="00815CF7"/>
    <w:rsid w:val="0081646F"/>
    <w:rsid w:val="00816511"/>
    <w:rsid w:val="00816BE3"/>
    <w:rsid w:val="00817254"/>
    <w:rsid w:val="0081767F"/>
    <w:rsid w:val="00817742"/>
    <w:rsid w:val="00817885"/>
    <w:rsid w:val="0081798C"/>
    <w:rsid w:val="0082066C"/>
    <w:rsid w:val="00820BE4"/>
    <w:rsid w:val="00820E3C"/>
    <w:rsid w:val="00821CA9"/>
    <w:rsid w:val="0082207A"/>
    <w:rsid w:val="00822E96"/>
    <w:rsid w:val="00823604"/>
    <w:rsid w:val="00823637"/>
    <w:rsid w:val="00823C3A"/>
    <w:rsid w:val="00824679"/>
    <w:rsid w:val="008249B7"/>
    <w:rsid w:val="00824DC4"/>
    <w:rsid w:val="00824F1D"/>
    <w:rsid w:val="00825289"/>
    <w:rsid w:val="008252CC"/>
    <w:rsid w:val="00825432"/>
    <w:rsid w:val="008258B1"/>
    <w:rsid w:val="0082633C"/>
    <w:rsid w:val="008267A8"/>
    <w:rsid w:val="00826810"/>
    <w:rsid w:val="00826BC2"/>
    <w:rsid w:val="00826E34"/>
    <w:rsid w:val="00826FCA"/>
    <w:rsid w:val="008270F2"/>
    <w:rsid w:val="0082726D"/>
    <w:rsid w:val="008272B1"/>
    <w:rsid w:val="0082737C"/>
    <w:rsid w:val="0082755A"/>
    <w:rsid w:val="00827593"/>
    <w:rsid w:val="00827636"/>
    <w:rsid w:val="00827A0E"/>
    <w:rsid w:val="008300F4"/>
    <w:rsid w:val="0083046B"/>
    <w:rsid w:val="00830872"/>
    <w:rsid w:val="00830C43"/>
    <w:rsid w:val="00830EB4"/>
    <w:rsid w:val="00831F55"/>
    <w:rsid w:val="0083308E"/>
    <w:rsid w:val="00833101"/>
    <w:rsid w:val="0083312E"/>
    <w:rsid w:val="0083331E"/>
    <w:rsid w:val="00833C4C"/>
    <w:rsid w:val="00833C69"/>
    <w:rsid w:val="00833E24"/>
    <w:rsid w:val="0083429E"/>
    <w:rsid w:val="0083431F"/>
    <w:rsid w:val="00834E6F"/>
    <w:rsid w:val="00835143"/>
    <w:rsid w:val="00836004"/>
    <w:rsid w:val="00836875"/>
    <w:rsid w:val="00837051"/>
    <w:rsid w:val="008370A9"/>
    <w:rsid w:val="008371D6"/>
    <w:rsid w:val="008371EC"/>
    <w:rsid w:val="0083745F"/>
    <w:rsid w:val="0084020D"/>
    <w:rsid w:val="0084036C"/>
    <w:rsid w:val="008408C9"/>
    <w:rsid w:val="00840940"/>
    <w:rsid w:val="008415DB"/>
    <w:rsid w:val="008417F5"/>
    <w:rsid w:val="00841C03"/>
    <w:rsid w:val="00842176"/>
    <w:rsid w:val="008425C3"/>
    <w:rsid w:val="00842716"/>
    <w:rsid w:val="00842996"/>
    <w:rsid w:val="00843302"/>
    <w:rsid w:val="0084440C"/>
    <w:rsid w:val="00844986"/>
    <w:rsid w:val="00844A56"/>
    <w:rsid w:val="00844B99"/>
    <w:rsid w:val="0084537F"/>
    <w:rsid w:val="00845C80"/>
    <w:rsid w:val="00845CC8"/>
    <w:rsid w:val="00845D5C"/>
    <w:rsid w:val="00846502"/>
    <w:rsid w:val="00846906"/>
    <w:rsid w:val="00846CFC"/>
    <w:rsid w:val="00846E7B"/>
    <w:rsid w:val="008472C4"/>
    <w:rsid w:val="0084741F"/>
    <w:rsid w:val="00847936"/>
    <w:rsid w:val="00847DB8"/>
    <w:rsid w:val="00847FBA"/>
    <w:rsid w:val="008504DD"/>
    <w:rsid w:val="00850505"/>
    <w:rsid w:val="00851555"/>
    <w:rsid w:val="0085198C"/>
    <w:rsid w:val="00851D16"/>
    <w:rsid w:val="00851F45"/>
    <w:rsid w:val="00852324"/>
    <w:rsid w:val="008529C5"/>
    <w:rsid w:val="00852B39"/>
    <w:rsid w:val="00852E9C"/>
    <w:rsid w:val="008530A4"/>
    <w:rsid w:val="0085325F"/>
    <w:rsid w:val="00853F57"/>
    <w:rsid w:val="00853FE6"/>
    <w:rsid w:val="00853FFE"/>
    <w:rsid w:val="008549A6"/>
    <w:rsid w:val="00854D8A"/>
    <w:rsid w:val="00854DA3"/>
    <w:rsid w:val="00854F46"/>
    <w:rsid w:val="008551ED"/>
    <w:rsid w:val="00855434"/>
    <w:rsid w:val="008557A2"/>
    <w:rsid w:val="00855CC4"/>
    <w:rsid w:val="00855EAC"/>
    <w:rsid w:val="00855FDB"/>
    <w:rsid w:val="0085652F"/>
    <w:rsid w:val="00856ADB"/>
    <w:rsid w:val="00856C75"/>
    <w:rsid w:val="00856DF2"/>
    <w:rsid w:val="00857224"/>
    <w:rsid w:val="00857401"/>
    <w:rsid w:val="00857B5E"/>
    <w:rsid w:val="00857B6F"/>
    <w:rsid w:val="00860151"/>
    <w:rsid w:val="0086037B"/>
    <w:rsid w:val="0086076E"/>
    <w:rsid w:val="00861172"/>
    <w:rsid w:val="00861650"/>
    <w:rsid w:val="0086172F"/>
    <w:rsid w:val="0086207B"/>
    <w:rsid w:val="00862729"/>
    <w:rsid w:val="00862A34"/>
    <w:rsid w:val="00862DE0"/>
    <w:rsid w:val="00862E8B"/>
    <w:rsid w:val="0086339E"/>
    <w:rsid w:val="008637C1"/>
    <w:rsid w:val="00863C97"/>
    <w:rsid w:val="00865582"/>
    <w:rsid w:val="008656A0"/>
    <w:rsid w:val="00865837"/>
    <w:rsid w:val="0086593A"/>
    <w:rsid w:val="00865A6E"/>
    <w:rsid w:val="008662B3"/>
    <w:rsid w:val="008669D2"/>
    <w:rsid w:val="00866B5A"/>
    <w:rsid w:val="00866BAC"/>
    <w:rsid w:val="00866BC2"/>
    <w:rsid w:val="00866EC3"/>
    <w:rsid w:val="00866F4A"/>
    <w:rsid w:val="00867167"/>
    <w:rsid w:val="00867B49"/>
    <w:rsid w:val="00867F23"/>
    <w:rsid w:val="00870237"/>
    <w:rsid w:val="00870883"/>
    <w:rsid w:val="008708E1"/>
    <w:rsid w:val="00870EC7"/>
    <w:rsid w:val="00871328"/>
    <w:rsid w:val="008713C1"/>
    <w:rsid w:val="00871C16"/>
    <w:rsid w:val="00871EE4"/>
    <w:rsid w:val="008724C4"/>
    <w:rsid w:val="0087261B"/>
    <w:rsid w:val="00873115"/>
    <w:rsid w:val="00873A6C"/>
    <w:rsid w:val="00873BC6"/>
    <w:rsid w:val="0087403A"/>
    <w:rsid w:val="008742B5"/>
    <w:rsid w:val="00874466"/>
    <w:rsid w:val="0087486F"/>
    <w:rsid w:val="00874C05"/>
    <w:rsid w:val="00874EBE"/>
    <w:rsid w:val="008754E3"/>
    <w:rsid w:val="008759E3"/>
    <w:rsid w:val="00875BE3"/>
    <w:rsid w:val="00876507"/>
    <w:rsid w:val="008765C2"/>
    <w:rsid w:val="0087690C"/>
    <w:rsid w:val="0087691A"/>
    <w:rsid w:val="008769C8"/>
    <w:rsid w:val="008773CA"/>
    <w:rsid w:val="008775AD"/>
    <w:rsid w:val="00877D39"/>
    <w:rsid w:val="00880838"/>
    <w:rsid w:val="00880B06"/>
    <w:rsid w:val="00880CAE"/>
    <w:rsid w:val="00880EAC"/>
    <w:rsid w:val="00880F3C"/>
    <w:rsid w:val="008810AD"/>
    <w:rsid w:val="00881C14"/>
    <w:rsid w:val="008828AB"/>
    <w:rsid w:val="00882ADF"/>
    <w:rsid w:val="00882F57"/>
    <w:rsid w:val="00883CCD"/>
    <w:rsid w:val="00883DCF"/>
    <w:rsid w:val="00883DF4"/>
    <w:rsid w:val="00884579"/>
    <w:rsid w:val="0088478C"/>
    <w:rsid w:val="00884960"/>
    <w:rsid w:val="00884962"/>
    <w:rsid w:val="00884C7D"/>
    <w:rsid w:val="00884F9B"/>
    <w:rsid w:val="008852A5"/>
    <w:rsid w:val="0088531E"/>
    <w:rsid w:val="00885878"/>
    <w:rsid w:val="00885A8C"/>
    <w:rsid w:val="00885C2F"/>
    <w:rsid w:val="00886A84"/>
    <w:rsid w:val="00887308"/>
    <w:rsid w:val="008877BF"/>
    <w:rsid w:val="00887839"/>
    <w:rsid w:val="00887FEE"/>
    <w:rsid w:val="00890905"/>
    <w:rsid w:val="0089101E"/>
    <w:rsid w:val="0089158C"/>
    <w:rsid w:val="008916E5"/>
    <w:rsid w:val="00891786"/>
    <w:rsid w:val="008933E9"/>
    <w:rsid w:val="008934D4"/>
    <w:rsid w:val="008938E6"/>
    <w:rsid w:val="00894049"/>
    <w:rsid w:val="008942CB"/>
    <w:rsid w:val="00894466"/>
    <w:rsid w:val="008948B8"/>
    <w:rsid w:val="00894A88"/>
    <w:rsid w:val="00894AF1"/>
    <w:rsid w:val="00894CF1"/>
    <w:rsid w:val="008950C6"/>
    <w:rsid w:val="00895AB4"/>
    <w:rsid w:val="00896861"/>
    <w:rsid w:val="00896DB1"/>
    <w:rsid w:val="00896EC0"/>
    <w:rsid w:val="00896F84"/>
    <w:rsid w:val="00896F95"/>
    <w:rsid w:val="00897073"/>
    <w:rsid w:val="008975EB"/>
    <w:rsid w:val="00897710"/>
    <w:rsid w:val="00897E4D"/>
    <w:rsid w:val="008A0131"/>
    <w:rsid w:val="008A0A7C"/>
    <w:rsid w:val="008A0B73"/>
    <w:rsid w:val="008A0C6B"/>
    <w:rsid w:val="008A0E88"/>
    <w:rsid w:val="008A0ECC"/>
    <w:rsid w:val="008A0FC7"/>
    <w:rsid w:val="008A142F"/>
    <w:rsid w:val="008A1F69"/>
    <w:rsid w:val="008A2B86"/>
    <w:rsid w:val="008A2DD9"/>
    <w:rsid w:val="008A35A4"/>
    <w:rsid w:val="008A3A12"/>
    <w:rsid w:val="008A3AB1"/>
    <w:rsid w:val="008A4526"/>
    <w:rsid w:val="008A48C2"/>
    <w:rsid w:val="008A55F7"/>
    <w:rsid w:val="008A57F8"/>
    <w:rsid w:val="008A5A1A"/>
    <w:rsid w:val="008A6105"/>
    <w:rsid w:val="008A6197"/>
    <w:rsid w:val="008A63FF"/>
    <w:rsid w:val="008A656F"/>
    <w:rsid w:val="008A65F3"/>
    <w:rsid w:val="008A6AFB"/>
    <w:rsid w:val="008A6C7A"/>
    <w:rsid w:val="008A7025"/>
    <w:rsid w:val="008A71F4"/>
    <w:rsid w:val="008A757A"/>
    <w:rsid w:val="008B02A6"/>
    <w:rsid w:val="008B03B6"/>
    <w:rsid w:val="008B05DE"/>
    <w:rsid w:val="008B08AF"/>
    <w:rsid w:val="008B18A4"/>
    <w:rsid w:val="008B1C1C"/>
    <w:rsid w:val="008B228C"/>
    <w:rsid w:val="008B234A"/>
    <w:rsid w:val="008B244F"/>
    <w:rsid w:val="008B26B5"/>
    <w:rsid w:val="008B32DB"/>
    <w:rsid w:val="008B42D9"/>
    <w:rsid w:val="008B4F22"/>
    <w:rsid w:val="008B60EB"/>
    <w:rsid w:val="008B636F"/>
    <w:rsid w:val="008B63EB"/>
    <w:rsid w:val="008B652D"/>
    <w:rsid w:val="008B6656"/>
    <w:rsid w:val="008B6EF1"/>
    <w:rsid w:val="008B72F3"/>
    <w:rsid w:val="008B74D6"/>
    <w:rsid w:val="008C0037"/>
    <w:rsid w:val="008C03AD"/>
    <w:rsid w:val="008C04C8"/>
    <w:rsid w:val="008C0919"/>
    <w:rsid w:val="008C11CD"/>
    <w:rsid w:val="008C14D1"/>
    <w:rsid w:val="008C2A63"/>
    <w:rsid w:val="008C2AB9"/>
    <w:rsid w:val="008C2DDF"/>
    <w:rsid w:val="008C32B9"/>
    <w:rsid w:val="008C3BA9"/>
    <w:rsid w:val="008C3D61"/>
    <w:rsid w:val="008C3D75"/>
    <w:rsid w:val="008C3DA5"/>
    <w:rsid w:val="008C3EAB"/>
    <w:rsid w:val="008C3EFB"/>
    <w:rsid w:val="008C440F"/>
    <w:rsid w:val="008C4740"/>
    <w:rsid w:val="008C48BA"/>
    <w:rsid w:val="008C48F7"/>
    <w:rsid w:val="008C49F5"/>
    <w:rsid w:val="008C4A8B"/>
    <w:rsid w:val="008C4ACA"/>
    <w:rsid w:val="008C5A97"/>
    <w:rsid w:val="008C5B8C"/>
    <w:rsid w:val="008C63C1"/>
    <w:rsid w:val="008C67D3"/>
    <w:rsid w:val="008C6955"/>
    <w:rsid w:val="008C6D37"/>
    <w:rsid w:val="008C6F47"/>
    <w:rsid w:val="008C76FE"/>
    <w:rsid w:val="008C7CDC"/>
    <w:rsid w:val="008D0061"/>
    <w:rsid w:val="008D02F7"/>
    <w:rsid w:val="008D0382"/>
    <w:rsid w:val="008D0456"/>
    <w:rsid w:val="008D0A39"/>
    <w:rsid w:val="008D14B4"/>
    <w:rsid w:val="008D1F95"/>
    <w:rsid w:val="008D23E0"/>
    <w:rsid w:val="008D26D6"/>
    <w:rsid w:val="008D27CD"/>
    <w:rsid w:val="008D2DEF"/>
    <w:rsid w:val="008D3A9E"/>
    <w:rsid w:val="008D3C96"/>
    <w:rsid w:val="008D3E58"/>
    <w:rsid w:val="008D476A"/>
    <w:rsid w:val="008D48CB"/>
    <w:rsid w:val="008D4DF4"/>
    <w:rsid w:val="008D567E"/>
    <w:rsid w:val="008D5DDE"/>
    <w:rsid w:val="008D5E7D"/>
    <w:rsid w:val="008D6046"/>
    <w:rsid w:val="008D634B"/>
    <w:rsid w:val="008D64C1"/>
    <w:rsid w:val="008D65A4"/>
    <w:rsid w:val="008D682D"/>
    <w:rsid w:val="008D6925"/>
    <w:rsid w:val="008D6C65"/>
    <w:rsid w:val="008D6F08"/>
    <w:rsid w:val="008D74A5"/>
    <w:rsid w:val="008D79B7"/>
    <w:rsid w:val="008D7A94"/>
    <w:rsid w:val="008E0189"/>
    <w:rsid w:val="008E01A9"/>
    <w:rsid w:val="008E0D4E"/>
    <w:rsid w:val="008E0EBC"/>
    <w:rsid w:val="008E0EFC"/>
    <w:rsid w:val="008E146D"/>
    <w:rsid w:val="008E1EE8"/>
    <w:rsid w:val="008E21F0"/>
    <w:rsid w:val="008E2C67"/>
    <w:rsid w:val="008E2D48"/>
    <w:rsid w:val="008E2E29"/>
    <w:rsid w:val="008E32E9"/>
    <w:rsid w:val="008E333C"/>
    <w:rsid w:val="008E38F8"/>
    <w:rsid w:val="008E46F4"/>
    <w:rsid w:val="008E47FA"/>
    <w:rsid w:val="008E4973"/>
    <w:rsid w:val="008E4C17"/>
    <w:rsid w:val="008E53AD"/>
    <w:rsid w:val="008E59A1"/>
    <w:rsid w:val="008E6392"/>
    <w:rsid w:val="008E64E5"/>
    <w:rsid w:val="008E7147"/>
    <w:rsid w:val="008E714A"/>
    <w:rsid w:val="008E7A59"/>
    <w:rsid w:val="008E7F89"/>
    <w:rsid w:val="008F0274"/>
    <w:rsid w:val="008F04E6"/>
    <w:rsid w:val="008F05C7"/>
    <w:rsid w:val="008F0A16"/>
    <w:rsid w:val="008F0FF3"/>
    <w:rsid w:val="008F12E6"/>
    <w:rsid w:val="008F1BE2"/>
    <w:rsid w:val="008F2C1F"/>
    <w:rsid w:val="008F3116"/>
    <w:rsid w:val="008F340D"/>
    <w:rsid w:val="008F364A"/>
    <w:rsid w:val="008F3957"/>
    <w:rsid w:val="008F3AAB"/>
    <w:rsid w:val="008F3C6E"/>
    <w:rsid w:val="008F3EAE"/>
    <w:rsid w:val="008F4078"/>
    <w:rsid w:val="008F4855"/>
    <w:rsid w:val="008F4C72"/>
    <w:rsid w:val="008F5CE1"/>
    <w:rsid w:val="008F62ED"/>
    <w:rsid w:val="008F6DD2"/>
    <w:rsid w:val="008F7087"/>
    <w:rsid w:val="009001C0"/>
    <w:rsid w:val="00900A07"/>
    <w:rsid w:val="00900EFE"/>
    <w:rsid w:val="00901197"/>
    <w:rsid w:val="00902A09"/>
    <w:rsid w:val="00902A67"/>
    <w:rsid w:val="00903232"/>
    <w:rsid w:val="009033B9"/>
    <w:rsid w:val="00903CDF"/>
    <w:rsid w:val="009045F7"/>
    <w:rsid w:val="00905038"/>
    <w:rsid w:val="0090589C"/>
    <w:rsid w:val="0090591E"/>
    <w:rsid w:val="00905ECE"/>
    <w:rsid w:val="0090603D"/>
    <w:rsid w:val="00906D10"/>
    <w:rsid w:val="00907217"/>
    <w:rsid w:val="009101DD"/>
    <w:rsid w:val="00910238"/>
    <w:rsid w:val="0091087D"/>
    <w:rsid w:val="00910A33"/>
    <w:rsid w:val="00910BEF"/>
    <w:rsid w:val="00911798"/>
    <w:rsid w:val="00911BA5"/>
    <w:rsid w:val="00911C62"/>
    <w:rsid w:val="00912668"/>
    <w:rsid w:val="00912BBA"/>
    <w:rsid w:val="00912E23"/>
    <w:rsid w:val="009130D2"/>
    <w:rsid w:val="009133EA"/>
    <w:rsid w:val="00913B1E"/>
    <w:rsid w:val="00914338"/>
    <w:rsid w:val="00914494"/>
    <w:rsid w:val="0091480C"/>
    <w:rsid w:val="009157BE"/>
    <w:rsid w:val="00915C98"/>
    <w:rsid w:val="0091603F"/>
    <w:rsid w:val="009161B8"/>
    <w:rsid w:val="009163E5"/>
    <w:rsid w:val="00917781"/>
    <w:rsid w:val="00917857"/>
    <w:rsid w:val="00917DBB"/>
    <w:rsid w:val="00917FF7"/>
    <w:rsid w:val="0092015A"/>
    <w:rsid w:val="0092018E"/>
    <w:rsid w:val="009203BD"/>
    <w:rsid w:val="009205E5"/>
    <w:rsid w:val="00920809"/>
    <w:rsid w:val="00920D14"/>
    <w:rsid w:val="009212F6"/>
    <w:rsid w:val="00921874"/>
    <w:rsid w:val="00922116"/>
    <w:rsid w:val="009222E5"/>
    <w:rsid w:val="009228FB"/>
    <w:rsid w:val="00922D90"/>
    <w:rsid w:val="00922F4C"/>
    <w:rsid w:val="009233BD"/>
    <w:rsid w:val="0092387A"/>
    <w:rsid w:val="00923ADF"/>
    <w:rsid w:val="00923C1A"/>
    <w:rsid w:val="00924427"/>
    <w:rsid w:val="009247D9"/>
    <w:rsid w:val="00924C5E"/>
    <w:rsid w:val="00924F35"/>
    <w:rsid w:val="0092536F"/>
    <w:rsid w:val="00925BB4"/>
    <w:rsid w:val="00925BD9"/>
    <w:rsid w:val="00925BDB"/>
    <w:rsid w:val="00927E06"/>
    <w:rsid w:val="009301A8"/>
    <w:rsid w:val="00930604"/>
    <w:rsid w:val="0093079B"/>
    <w:rsid w:val="00930832"/>
    <w:rsid w:val="00931185"/>
    <w:rsid w:val="0093143E"/>
    <w:rsid w:val="009315A6"/>
    <w:rsid w:val="00931D56"/>
    <w:rsid w:val="00932421"/>
    <w:rsid w:val="00932A02"/>
    <w:rsid w:val="00932EB3"/>
    <w:rsid w:val="00933039"/>
    <w:rsid w:val="00933869"/>
    <w:rsid w:val="00934111"/>
    <w:rsid w:val="009349C9"/>
    <w:rsid w:val="00934CFE"/>
    <w:rsid w:val="0093502C"/>
    <w:rsid w:val="009351AB"/>
    <w:rsid w:val="00935365"/>
    <w:rsid w:val="0093580E"/>
    <w:rsid w:val="00935A93"/>
    <w:rsid w:val="00936060"/>
    <w:rsid w:val="00936560"/>
    <w:rsid w:val="009371AD"/>
    <w:rsid w:val="009377F9"/>
    <w:rsid w:val="009379AA"/>
    <w:rsid w:val="00937CC9"/>
    <w:rsid w:val="00940976"/>
    <w:rsid w:val="00940E4A"/>
    <w:rsid w:val="009412B3"/>
    <w:rsid w:val="0094131D"/>
    <w:rsid w:val="0094190A"/>
    <w:rsid w:val="00941D74"/>
    <w:rsid w:val="00942643"/>
    <w:rsid w:val="009429FE"/>
    <w:rsid w:val="00942B39"/>
    <w:rsid w:val="00942CD8"/>
    <w:rsid w:val="00942D13"/>
    <w:rsid w:val="009430F1"/>
    <w:rsid w:val="0094311B"/>
    <w:rsid w:val="009433D2"/>
    <w:rsid w:val="009434E6"/>
    <w:rsid w:val="00944008"/>
    <w:rsid w:val="0094419B"/>
    <w:rsid w:val="00944427"/>
    <w:rsid w:val="0094471A"/>
    <w:rsid w:val="0094537E"/>
    <w:rsid w:val="00945414"/>
    <w:rsid w:val="009458A1"/>
    <w:rsid w:val="00946BE8"/>
    <w:rsid w:val="00946C11"/>
    <w:rsid w:val="00946EF2"/>
    <w:rsid w:val="00946F47"/>
    <w:rsid w:val="00946F57"/>
    <w:rsid w:val="00947074"/>
    <w:rsid w:val="0095027F"/>
    <w:rsid w:val="00950790"/>
    <w:rsid w:val="00950928"/>
    <w:rsid w:val="009509F6"/>
    <w:rsid w:val="00950B93"/>
    <w:rsid w:val="00950CB2"/>
    <w:rsid w:val="00952880"/>
    <w:rsid w:val="00952978"/>
    <w:rsid w:val="00952B08"/>
    <w:rsid w:val="00952F15"/>
    <w:rsid w:val="00953960"/>
    <w:rsid w:val="00953D89"/>
    <w:rsid w:val="009544FC"/>
    <w:rsid w:val="00954AAD"/>
    <w:rsid w:val="009557B4"/>
    <w:rsid w:val="00955D3C"/>
    <w:rsid w:val="00955F81"/>
    <w:rsid w:val="009562BE"/>
    <w:rsid w:val="00956460"/>
    <w:rsid w:val="00956B1D"/>
    <w:rsid w:val="00956C11"/>
    <w:rsid w:val="00957292"/>
    <w:rsid w:val="009576C9"/>
    <w:rsid w:val="00957938"/>
    <w:rsid w:val="00957BB8"/>
    <w:rsid w:val="00957BDF"/>
    <w:rsid w:val="00957DD0"/>
    <w:rsid w:val="00957F5E"/>
    <w:rsid w:val="00960259"/>
    <w:rsid w:val="00960876"/>
    <w:rsid w:val="009609A7"/>
    <w:rsid w:val="00960BD4"/>
    <w:rsid w:val="00960C4A"/>
    <w:rsid w:val="00961141"/>
    <w:rsid w:val="00961211"/>
    <w:rsid w:val="00961DE3"/>
    <w:rsid w:val="009625DD"/>
    <w:rsid w:val="0096286B"/>
    <w:rsid w:val="009629FB"/>
    <w:rsid w:val="00962C5A"/>
    <w:rsid w:val="009630C8"/>
    <w:rsid w:val="00963345"/>
    <w:rsid w:val="00963C2B"/>
    <w:rsid w:val="00964296"/>
    <w:rsid w:val="00964539"/>
    <w:rsid w:val="0096513B"/>
    <w:rsid w:val="00965898"/>
    <w:rsid w:val="00965DA4"/>
    <w:rsid w:val="009665A5"/>
    <w:rsid w:val="009669B5"/>
    <w:rsid w:val="009676F3"/>
    <w:rsid w:val="0096782E"/>
    <w:rsid w:val="00967E18"/>
    <w:rsid w:val="00970080"/>
    <w:rsid w:val="0097013A"/>
    <w:rsid w:val="00970CAD"/>
    <w:rsid w:val="00970D13"/>
    <w:rsid w:val="00970D19"/>
    <w:rsid w:val="009717E1"/>
    <w:rsid w:val="00971BB2"/>
    <w:rsid w:val="00971C7D"/>
    <w:rsid w:val="0097210B"/>
    <w:rsid w:val="00972E03"/>
    <w:rsid w:val="00972F70"/>
    <w:rsid w:val="009730A6"/>
    <w:rsid w:val="009732A4"/>
    <w:rsid w:val="009732E3"/>
    <w:rsid w:val="00973654"/>
    <w:rsid w:val="009737EE"/>
    <w:rsid w:val="009745C7"/>
    <w:rsid w:val="0097521A"/>
    <w:rsid w:val="009753AB"/>
    <w:rsid w:val="00976224"/>
    <w:rsid w:val="009768B0"/>
    <w:rsid w:val="00976CC9"/>
    <w:rsid w:val="00977207"/>
    <w:rsid w:val="009773DD"/>
    <w:rsid w:val="0097742A"/>
    <w:rsid w:val="00977471"/>
    <w:rsid w:val="00977783"/>
    <w:rsid w:val="00977A7C"/>
    <w:rsid w:val="00977AC1"/>
    <w:rsid w:val="00980103"/>
    <w:rsid w:val="009804B7"/>
    <w:rsid w:val="00980CCF"/>
    <w:rsid w:val="00980E11"/>
    <w:rsid w:val="0098149A"/>
    <w:rsid w:val="0098162C"/>
    <w:rsid w:val="00982255"/>
    <w:rsid w:val="00982308"/>
    <w:rsid w:val="0098272F"/>
    <w:rsid w:val="00982943"/>
    <w:rsid w:val="00982A6B"/>
    <w:rsid w:val="00982F05"/>
    <w:rsid w:val="0098307D"/>
    <w:rsid w:val="00983F32"/>
    <w:rsid w:val="00983F7D"/>
    <w:rsid w:val="00983FED"/>
    <w:rsid w:val="0098401B"/>
    <w:rsid w:val="009843C7"/>
    <w:rsid w:val="0098494E"/>
    <w:rsid w:val="00984C18"/>
    <w:rsid w:val="00985181"/>
    <w:rsid w:val="009851B3"/>
    <w:rsid w:val="009855F1"/>
    <w:rsid w:val="00985A02"/>
    <w:rsid w:val="00985A13"/>
    <w:rsid w:val="00985B59"/>
    <w:rsid w:val="009860F1"/>
    <w:rsid w:val="00986846"/>
    <w:rsid w:val="00986C50"/>
    <w:rsid w:val="00986C6C"/>
    <w:rsid w:val="00987018"/>
    <w:rsid w:val="00987675"/>
    <w:rsid w:val="009876C5"/>
    <w:rsid w:val="00990091"/>
    <w:rsid w:val="0099032F"/>
    <w:rsid w:val="00990966"/>
    <w:rsid w:val="00991236"/>
    <w:rsid w:val="00991756"/>
    <w:rsid w:val="0099245B"/>
    <w:rsid w:val="00992DAB"/>
    <w:rsid w:val="00993105"/>
    <w:rsid w:val="009950EE"/>
    <w:rsid w:val="00995260"/>
    <w:rsid w:val="009953C3"/>
    <w:rsid w:val="0099544C"/>
    <w:rsid w:val="00995F84"/>
    <w:rsid w:val="00996816"/>
    <w:rsid w:val="0099695D"/>
    <w:rsid w:val="00996CE1"/>
    <w:rsid w:val="009975A2"/>
    <w:rsid w:val="00997727"/>
    <w:rsid w:val="0099786C"/>
    <w:rsid w:val="009A05CB"/>
    <w:rsid w:val="009A0730"/>
    <w:rsid w:val="009A0771"/>
    <w:rsid w:val="009A07F7"/>
    <w:rsid w:val="009A099C"/>
    <w:rsid w:val="009A0A8D"/>
    <w:rsid w:val="009A0E66"/>
    <w:rsid w:val="009A1000"/>
    <w:rsid w:val="009A1521"/>
    <w:rsid w:val="009A1B1E"/>
    <w:rsid w:val="009A1E57"/>
    <w:rsid w:val="009A2055"/>
    <w:rsid w:val="009A24B3"/>
    <w:rsid w:val="009A254B"/>
    <w:rsid w:val="009A274D"/>
    <w:rsid w:val="009A36AC"/>
    <w:rsid w:val="009A385C"/>
    <w:rsid w:val="009A3922"/>
    <w:rsid w:val="009A3932"/>
    <w:rsid w:val="009A3B48"/>
    <w:rsid w:val="009A4133"/>
    <w:rsid w:val="009A414E"/>
    <w:rsid w:val="009A4917"/>
    <w:rsid w:val="009A539D"/>
    <w:rsid w:val="009A53E3"/>
    <w:rsid w:val="009A56FD"/>
    <w:rsid w:val="009A59E1"/>
    <w:rsid w:val="009A6777"/>
    <w:rsid w:val="009A695F"/>
    <w:rsid w:val="009A6A60"/>
    <w:rsid w:val="009A6AA9"/>
    <w:rsid w:val="009A6E3C"/>
    <w:rsid w:val="009A709F"/>
    <w:rsid w:val="009A716F"/>
    <w:rsid w:val="009A72BF"/>
    <w:rsid w:val="009A7AB1"/>
    <w:rsid w:val="009A7EBA"/>
    <w:rsid w:val="009A7F5F"/>
    <w:rsid w:val="009B086B"/>
    <w:rsid w:val="009B108C"/>
    <w:rsid w:val="009B11CB"/>
    <w:rsid w:val="009B1445"/>
    <w:rsid w:val="009B1520"/>
    <w:rsid w:val="009B185E"/>
    <w:rsid w:val="009B18C3"/>
    <w:rsid w:val="009B1DFD"/>
    <w:rsid w:val="009B2082"/>
    <w:rsid w:val="009B232A"/>
    <w:rsid w:val="009B2333"/>
    <w:rsid w:val="009B2BE1"/>
    <w:rsid w:val="009B338A"/>
    <w:rsid w:val="009B3529"/>
    <w:rsid w:val="009B35FE"/>
    <w:rsid w:val="009B3E45"/>
    <w:rsid w:val="009B44CA"/>
    <w:rsid w:val="009B482E"/>
    <w:rsid w:val="009B4C74"/>
    <w:rsid w:val="009B5382"/>
    <w:rsid w:val="009B5A20"/>
    <w:rsid w:val="009B5C48"/>
    <w:rsid w:val="009B5CDC"/>
    <w:rsid w:val="009B60BE"/>
    <w:rsid w:val="009B62CF"/>
    <w:rsid w:val="009B633F"/>
    <w:rsid w:val="009B634A"/>
    <w:rsid w:val="009B6397"/>
    <w:rsid w:val="009B6763"/>
    <w:rsid w:val="009B67CE"/>
    <w:rsid w:val="009B67D1"/>
    <w:rsid w:val="009B6A14"/>
    <w:rsid w:val="009B6B0A"/>
    <w:rsid w:val="009B6C4C"/>
    <w:rsid w:val="009B6EC0"/>
    <w:rsid w:val="009B72CA"/>
    <w:rsid w:val="009B7636"/>
    <w:rsid w:val="009B795A"/>
    <w:rsid w:val="009B7B0C"/>
    <w:rsid w:val="009C09FB"/>
    <w:rsid w:val="009C0BE4"/>
    <w:rsid w:val="009C1374"/>
    <w:rsid w:val="009C172B"/>
    <w:rsid w:val="009C177A"/>
    <w:rsid w:val="009C191F"/>
    <w:rsid w:val="009C2318"/>
    <w:rsid w:val="009C24B8"/>
    <w:rsid w:val="009C2583"/>
    <w:rsid w:val="009C359E"/>
    <w:rsid w:val="009C45CB"/>
    <w:rsid w:val="009C5197"/>
    <w:rsid w:val="009C5385"/>
    <w:rsid w:val="009C5CF8"/>
    <w:rsid w:val="009C763F"/>
    <w:rsid w:val="009C76E3"/>
    <w:rsid w:val="009C7FF1"/>
    <w:rsid w:val="009D013D"/>
    <w:rsid w:val="009D0611"/>
    <w:rsid w:val="009D0BCF"/>
    <w:rsid w:val="009D0CFB"/>
    <w:rsid w:val="009D0FDF"/>
    <w:rsid w:val="009D1090"/>
    <w:rsid w:val="009D1743"/>
    <w:rsid w:val="009D1B0C"/>
    <w:rsid w:val="009D1B11"/>
    <w:rsid w:val="009D1CF7"/>
    <w:rsid w:val="009D21FD"/>
    <w:rsid w:val="009D23E1"/>
    <w:rsid w:val="009D3CD2"/>
    <w:rsid w:val="009D3D59"/>
    <w:rsid w:val="009D3FF8"/>
    <w:rsid w:val="009D490E"/>
    <w:rsid w:val="009D4C62"/>
    <w:rsid w:val="009D5244"/>
    <w:rsid w:val="009D5FBC"/>
    <w:rsid w:val="009D61DC"/>
    <w:rsid w:val="009D74FD"/>
    <w:rsid w:val="009D7B84"/>
    <w:rsid w:val="009D7F56"/>
    <w:rsid w:val="009E021C"/>
    <w:rsid w:val="009E0732"/>
    <w:rsid w:val="009E0AF5"/>
    <w:rsid w:val="009E1399"/>
    <w:rsid w:val="009E1410"/>
    <w:rsid w:val="009E17E1"/>
    <w:rsid w:val="009E1DB9"/>
    <w:rsid w:val="009E203D"/>
    <w:rsid w:val="009E2314"/>
    <w:rsid w:val="009E2629"/>
    <w:rsid w:val="009E2683"/>
    <w:rsid w:val="009E27C3"/>
    <w:rsid w:val="009E282D"/>
    <w:rsid w:val="009E315C"/>
    <w:rsid w:val="009E37C4"/>
    <w:rsid w:val="009E37D1"/>
    <w:rsid w:val="009E3ADB"/>
    <w:rsid w:val="009E3B01"/>
    <w:rsid w:val="009E3DD2"/>
    <w:rsid w:val="009E4597"/>
    <w:rsid w:val="009E45C7"/>
    <w:rsid w:val="009E4615"/>
    <w:rsid w:val="009E4A58"/>
    <w:rsid w:val="009E4BD2"/>
    <w:rsid w:val="009E5266"/>
    <w:rsid w:val="009E5487"/>
    <w:rsid w:val="009E54D6"/>
    <w:rsid w:val="009E5548"/>
    <w:rsid w:val="009E5A61"/>
    <w:rsid w:val="009E5ECF"/>
    <w:rsid w:val="009E6A0E"/>
    <w:rsid w:val="009E707B"/>
    <w:rsid w:val="009E72E4"/>
    <w:rsid w:val="009E77E0"/>
    <w:rsid w:val="009E77F7"/>
    <w:rsid w:val="009E78ED"/>
    <w:rsid w:val="009E7DB6"/>
    <w:rsid w:val="009F060E"/>
    <w:rsid w:val="009F0708"/>
    <w:rsid w:val="009F0A1C"/>
    <w:rsid w:val="009F0E46"/>
    <w:rsid w:val="009F0E64"/>
    <w:rsid w:val="009F0F44"/>
    <w:rsid w:val="009F117F"/>
    <w:rsid w:val="009F1CE5"/>
    <w:rsid w:val="009F1DD4"/>
    <w:rsid w:val="009F1FC0"/>
    <w:rsid w:val="009F2677"/>
    <w:rsid w:val="009F30E6"/>
    <w:rsid w:val="009F32E5"/>
    <w:rsid w:val="009F3302"/>
    <w:rsid w:val="009F36DD"/>
    <w:rsid w:val="009F3789"/>
    <w:rsid w:val="009F37E1"/>
    <w:rsid w:val="009F383A"/>
    <w:rsid w:val="009F3FC5"/>
    <w:rsid w:val="009F4748"/>
    <w:rsid w:val="009F4D2E"/>
    <w:rsid w:val="009F4D44"/>
    <w:rsid w:val="009F5E5C"/>
    <w:rsid w:val="009F7502"/>
    <w:rsid w:val="009F76E0"/>
    <w:rsid w:val="009F7885"/>
    <w:rsid w:val="009F7F34"/>
    <w:rsid w:val="00A00070"/>
    <w:rsid w:val="00A000C2"/>
    <w:rsid w:val="00A005CF"/>
    <w:rsid w:val="00A00A90"/>
    <w:rsid w:val="00A01160"/>
    <w:rsid w:val="00A01299"/>
    <w:rsid w:val="00A01424"/>
    <w:rsid w:val="00A01B47"/>
    <w:rsid w:val="00A02754"/>
    <w:rsid w:val="00A02782"/>
    <w:rsid w:val="00A027CE"/>
    <w:rsid w:val="00A0296D"/>
    <w:rsid w:val="00A034AC"/>
    <w:rsid w:val="00A0366E"/>
    <w:rsid w:val="00A03E98"/>
    <w:rsid w:val="00A040E5"/>
    <w:rsid w:val="00A044C0"/>
    <w:rsid w:val="00A05AA9"/>
    <w:rsid w:val="00A05D9A"/>
    <w:rsid w:val="00A0604E"/>
    <w:rsid w:val="00A0608D"/>
    <w:rsid w:val="00A06786"/>
    <w:rsid w:val="00A06930"/>
    <w:rsid w:val="00A070BC"/>
    <w:rsid w:val="00A073F2"/>
    <w:rsid w:val="00A07DC0"/>
    <w:rsid w:val="00A07E54"/>
    <w:rsid w:val="00A07E8F"/>
    <w:rsid w:val="00A1006A"/>
    <w:rsid w:val="00A10161"/>
    <w:rsid w:val="00A11306"/>
    <w:rsid w:val="00A113D6"/>
    <w:rsid w:val="00A11D3F"/>
    <w:rsid w:val="00A11D61"/>
    <w:rsid w:val="00A11D67"/>
    <w:rsid w:val="00A11E85"/>
    <w:rsid w:val="00A1237E"/>
    <w:rsid w:val="00A1274F"/>
    <w:rsid w:val="00A127BB"/>
    <w:rsid w:val="00A12AB9"/>
    <w:rsid w:val="00A12D3D"/>
    <w:rsid w:val="00A12EFD"/>
    <w:rsid w:val="00A13256"/>
    <w:rsid w:val="00A1326C"/>
    <w:rsid w:val="00A1371D"/>
    <w:rsid w:val="00A141E5"/>
    <w:rsid w:val="00A145DE"/>
    <w:rsid w:val="00A148C9"/>
    <w:rsid w:val="00A14A24"/>
    <w:rsid w:val="00A15AAA"/>
    <w:rsid w:val="00A15CAC"/>
    <w:rsid w:val="00A1602F"/>
    <w:rsid w:val="00A16589"/>
    <w:rsid w:val="00A1660B"/>
    <w:rsid w:val="00A16910"/>
    <w:rsid w:val="00A169B9"/>
    <w:rsid w:val="00A16C5A"/>
    <w:rsid w:val="00A16EB4"/>
    <w:rsid w:val="00A17176"/>
    <w:rsid w:val="00A171E6"/>
    <w:rsid w:val="00A171F2"/>
    <w:rsid w:val="00A1763F"/>
    <w:rsid w:val="00A17B64"/>
    <w:rsid w:val="00A20474"/>
    <w:rsid w:val="00A20BEA"/>
    <w:rsid w:val="00A20CCB"/>
    <w:rsid w:val="00A21397"/>
    <w:rsid w:val="00A2165C"/>
    <w:rsid w:val="00A21A04"/>
    <w:rsid w:val="00A21DF6"/>
    <w:rsid w:val="00A2298A"/>
    <w:rsid w:val="00A22BB4"/>
    <w:rsid w:val="00A22CDA"/>
    <w:rsid w:val="00A233B6"/>
    <w:rsid w:val="00A23C99"/>
    <w:rsid w:val="00A24933"/>
    <w:rsid w:val="00A2495D"/>
    <w:rsid w:val="00A24DCA"/>
    <w:rsid w:val="00A25103"/>
    <w:rsid w:val="00A25473"/>
    <w:rsid w:val="00A25DF8"/>
    <w:rsid w:val="00A2610D"/>
    <w:rsid w:val="00A26195"/>
    <w:rsid w:val="00A26B14"/>
    <w:rsid w:val="00A26E90"/>
    <w:rsid w:val="00A27ECB"/>
    <w:rsid w:val="00A27F6D"/>
    <w:rsid w:val="00A27F84"/>
    <w:rsid w:val="00A302C4"/>
    <w:rsid w:val="00A3049A"/>
    <w:rsid w:val="00A30596"/>
    <w:rsid w:val="00A30804"/>
    <w:rsid w:val="00A3115C"/>
    <w:rsid w:val="00A318A6"/>
    <w:rsid w:val="00A31B64"/>
    <w:rsid w:val="00A31BDB"/>
    <w:rsid w:val="00A31C01"/>
    <w:rsid w:val="00A31C9E"/>
    <w:rsid w:val="00A32396"/>
    <w:rsid w:val="00A32B9B"/>
    <w:rsid w:val="00A33705"/>
    <w:rsid w:val="00A337AF"/>
    <w:rsid w:val="00A33A11"/>
    <w:rsid w:val="00A33D49"/>
    <w:rsid w:val="00A33E58"/>
    <w:rsid w:val="00A34FA7"/>
    <w:rsid w:val="00A350CD"/>
    <w:rsid w:val="00A355E3"/>
    <w:rsid w:val="00A356BA"/>
    <w:rsid w:val="00A35722"/>
    <w:rsid w:val="00A35872"/>
    <w:rsid w:val="00A35F73"/>
    <w:rsid w:val="00A36120"/>
    <w:rsid w:val="00A3766A"/>
    <w:rsid w:val="00A3773B"/>
    <w:rsid w:val="00A378BA"/>
    <w:rsid w:val="00A37C67"/>
    <w:rsid w:val="00A37C7E"/>
    <w:rsid w:val="00A37FD3"/>
    <w:rsid w:val="00A41117"/>
    <w:rsid w:val="00A41315"/>
    <w:rsid w:val="00A4142A"/>
    <w:rsid w:val="00A4184F"/>
    <w:rsid w:val="00A41DE9"/>
    <w:rsid w:val="00A4282F"/>
    <w:rsid w:val="00A42AC7"/>
    <w:rsid w:val="00A42B68"/>
    <w:rsid w:val="00A431CE"/>
    <w:rsid w:val="00A4341F"/>
    <w:rsid w:val="00A43D3B"/>
    <w:rsid w:val="00A43E80"/>
    <w:rsid w:val="00A4487C"/>
    <w:rsid w:val="00A44D91"/>
    <w:rsid w:val="00A458FC"/>
    <w:rsid w:val="00A45978"/>
    <w:rsid w:val="00A45AE0"/>
    <w:rsid w:val="00A45B56"/>
    <w:rsid w:val="00A45C96"/>
    <w:rsid w:val="00A45D56"/>
    <w:rsid w:val="00A464E3"/>
    <w:rsid w:val="00A46A09"/>
    <w:rsid w:val="00A46C3A"/>
    <w:rsid w:val="00A46D27"/>
    <w:rsid w:val="00A47335"/>
    <w:rsid w:val="00A47848"/>
    <w:rsid w:val="00A47D3B"/>
    <w:rsid w:val="00A500C3"/>
    <w:rsid w:val="00A5069B"/>
    <w:rsid w:val="00A506C4"/>
    <w:rsid w:val="00A5076E"/>
    <w:rsid w:val="00A51685"/>
    <w:rsid w:val="00A51A27"/>
    <w:rsid w:val="00A51DB1"/>
    <w:rsid w:val="00A523B9"/>
    <w:rsid w:val="00A52735"/>
    <w:rsid w:val="00A52773"/>
    <w:rsid w:val="00A52E25"/>
    <w:rsid w:val="00A52E85"/>
    <w:rsid w:val="00A5314C"/>
    <w:rsid w:val="00A53D0E"/>
    <w:rsid w:val="00A53D13"/>
    <w:rsid w:val="00A54203"/>
    <w:rsid w:val="00A551E6"/>
    <w:rsid w:val="00A55AAC"/>
    <w:rsid w:val="00A55B36"/>
    <w:rsid w:val="00A55F2E"/>
    <w:rsid w:val="00A56581"/>
    <w:rsid w:val="00A56AEE"/>
    <w:rsid w:val="00A56DA8"/>
    <w:rsid w:val="00A57AA6"/>
    <w:rsid w:val="00A57CFC"/>
    <w:rsid w:val="00A6011F"/>
    <w:rsid w:val="00A604E3"/>
    <w:rsid w:val="00A608CE"/>
    <w:rsid w:val="00A60D42"/>
    <w:rsid w:val="00A6136F"/>
    <w:rsid w:val="00A6191B"/>
    <w:rsid w:val="00A61BD2"/>
    <w:rsid w:val="00A62496"/>
    <w:rsid w:val="00A624B1"/>
    <w:rsid w:val="00A62645"/>
    <w:rsid w:val="00A62668"/>
    <w:rsid w:val="00A62844"/>
    <w:rsid w:val="00A62C56"/>
    <w:rsid w:val="00A6301A"/>
    <w:rsid w:val="00A630E1"/>
    <w:rsid w:val="00A636F6"/>
    <w:rsid w:val="00A64184"/>
    <w:rsid w:val="00A64F8C"/>
    <w:rsid w:val="00A65B5C"/>
    <w:rsid w:val="00A66425"/>
    <w:rsid w:val="00A6656F"/>
    <w:rsid w:val="00A66913"/>
    <w:rsid w:val="00A66D5B"/>
    <w:rsid w:val="00A66F0B"/>
    <w:rsid w:val="00A67500"/>
    <w:rsid w:val="00A6768F"/>
    <w:rsid w:val="00A67D78"/>
    <w:rsid w:val="00A67DAD"/>
    <w:rsid w:val="00A67FC0"/>
    <w:rsid w:val="00A714CF"/>
    <w:rsid w:val="00A718C2"/>
    <w:rsid w:val="00A719B6"/>
    <w:rsid w:val="00A71A9C"/>
    <w:rsid w:val="00A71FE0"/>
    <w:rsid w:val="00A72126"/>
    <w:rsid w:val="00A72457"/>
    <w:rsid w:val="00A72655"/>
    <w:rsid w:val="00A73788"/>
    <w:rsid w:val="00A7389F"/>
    <w:rsid w:val="00A73961"/>
    <w:rsid w:val="00A739BD"/>
    <w:rsid w:val="00A73A12"/>
    <w:rsid w:val="00A740F0"/>
    <w:rsid w:val="00A7445F"/>
    <w:rsid w:val="00A7489A"/>
    <w:rsid w:val="00A755B1"/>
    <w:rsid w:val="00A75C5A"/>
    <w:rsid w:val="00A75DAF"/>
    <w:rsid w:val="00A76105"/>
    <w:rsid w:val="00A76212"/>
    <w:rsid w:val="00A76332"/>
    <w:rsid w:val="00A76806"/>
    <w:rsid w:val="00A76D54"/>
    <w:rsid w:val="00A76F08"/>
    <w:rsid w:val="00A76F7C"/>
    <w:rsid w:val="00A772DD"/>
    <w:rsid w:val="00A77517"/>
    <w:rsid w:val="00A7751D"/>
    <w:rsid w:val="00A77ED5"/>
    <w:rsid w:val="00A804C1"/>
    <w:rsid w:val="00A80966"/>
    <w:rsid w:val="00A80A6D"/>
    <w:rsid w:val="00A810CD"/>
    <w:rsid w:val="00A8167B"/>
    <w:rsid w:val="00A816A5"/>
    <w:rsid w:val="00A818B5"/>
    <w:rsid w:val="00A81E0F"/>
    <w:rsid w:val="00A82080"/>
    <w:rsid w:val="00A82109"/>
    <w:rsid w:val="00A821D2"/>
    <w:rsid w:val="00A829CA"/>
    <w:rsid w:val="00A830D4"/>
    <w:rsid w:val="00A83AFE"/>
    <w:rsid w:val="00A83E75"/>
    <w:rsid w:val="00A83F26"/>
    <w:rsid w:val="00A84016"/>
    <w:rsid w:val="00A840BE"/>
    <w:rsid w:val="00A8419D"/>
    <w:rsid w:val="00A8457B"/>
    <w:rsid w:val="00A84665"/>
    <w:rsid w:val="00A84CB8"/>
    <w:rsid w:val="00A862DB"/>
    <w:rsid w:val="00A86D0B"/>
    <w:rsid w:val="00A86DC8"/>
    <w:rsid w:val="00A87B93"/>
    <w:rsid w:val="00A87DAD"/>
    <w:rsid w:val="00A905DA"/>
    <w:rsid w:val="00A90843"/>
    <w:rsid w:val="00A90DDB"/>
    <w:rsid w:val="00A91246"/>
    <w:rsid w:val="00A91F0B"/>
    <w:rsid w:val="00A92A49"/>
    <w:rsid w:val="00A92CE8"/>
    <w:rsid w:val="00A92CF5"/>
    <w:rsid w:val="00A93BE2"/>
    <w:rsid w:val="00A942DC"/>
    <w:rsid w:val="00A94856"/>
    <w:rsid w:val="00A94C3E"/>
    <w:rsid w:val="00A95043"/>
    <w:rsid w:val="00A9504B"/>
    <w:rsid w:val="00A96D7D"/>
    <w:rsid w:val="00A976A8"/>
    <w:rsid w:val="00A97D52"/>
    <w:rsid w:val="00A97FC3"/>
    <w:rsid w:val="00AA01FC"/>
    <w:rsid w:val="00AA05C5"/>
    <w:rsid w:val="00AA0840"/>
    <w:rsid w:val="00AA0847"/>
    <w:rsid w:val="00AA0BC2"/>
    <w:rsid w:val="00AA0F32"/>
    <w:rsid w:val="00AA165C"/>
    <w:rsid w:val="00AA1963"/>
    <w:rsid w:val="00AA261F"/>
    <w:rsid w:val="00AA35F0"/>
    <w:rsid w:val="00AA36A4"/>
    <w:rsid w:val="00AA3792"/>
    <w:rsid w:val="00AA3A0F"/>
    <w:rsid w:val="00AA3CC2"/>
    <w:rsid w:val="00AA3E2B"/>
    <w:rsid w:val="00AA440B"/>
    <w:rsid w:val="00AA4B6F"/>
    <w:rsid w:val="00AA4F8D"/>
    <w:rsid w:val="00AA5242"/>
    <w:rsid w:val="00AA5455"/>
    <w:rsid w:val="00AA5738"/>
    <w:rsid w:val="00AA57BF"/>
    <w:rsid w:val="00AA5BF6"/>
    <w:rsid w:val="00AA5F6D"/>
    <w:rsid w:val="00AA60C8"/>
    <w:rsid w:val="00AA6368"/>
    <w:rsid w:val="00AA65EF"/>
    <w:rsid w:val="00AA6A04"/>
    <w:rsid w:val="00AA6EFB"/>
    <w:rsid w:val="00AA7238"/>
    <w:rsid w:val="00AA7359"/>
    <w:rsid w:val="00AA73AF"/>
    <w:rsid w:val="00AA75A3"/>
    <w:rsid w:val="00AA7650"/>
    <w:rsid w:val="00AA76AB"/>
    <w:rsid w:val="00AB06D1"/>
    <w:rsid w:val="00AB0C51"/>
    <w:rsid w:val="00AB11C0"/>
    <w:rsid w:val="00AB14B7"/>
    <w:rsid w:val="00AB170A"/>
    <w:rsid w:val="00AB1C1E"/>
    <w:rsid w:val="00AB1E8D"/>
    <w:rsid w:val="00AB1EB3"/>
    <w:rsid w:val="00AB226B"/>
    <w:rsid w:val="00AB2324"/>
    <w:rsid w:val="00AB25D8"/>
    <w:rsid w:val="00AB2839"/>
    <w:rsid w:val="00AB303B"/>
    <w:rsid w:val="00AB3653"/>
    <w:rsid w:val="00AB3B9E"/>
    <w:rsid w:val="00AB427E"/>
    <w:rsid w:val="00AB4542"/>
    <w:rsid w:val="00AB4927"/>
    <w:rsid w:val="00AB4AE0"/>
    <w:rsid w:val="00AB4FD4"/>
    <w:rsid w:val="00AB52F7"/>
    <w:rsid w:val="00AB5316"/>
    <w:rsid w:val="00AB56EC"/>
    <w:rsid w:val="00AB59D7"/>
    <w:rsid w:val="00AB62EC"/>
    <w:rsid w:val="00AB63CF"/>
    <w:rsid w:val="00AB6A81"/>
    <w:rsid w:val="00AB6A8E"/>
    <w:rsid w:val="00AB6D14"/>
    <w:rsid w:val="00AB6E8F"/>
    <w:rsid w:val="00AB7DC1"/>
    <w:rsid w:val="00AC04A4"/>
    <w:rsid w:val="00AC0619"/>
    <w:rsid w:val="00AC08F0"/>
    <w:rsid w:val="00AC0A71"/>
    <w:rsid w:val="00AC0D82"/>
    <w:rsid w:val="00AC0DF1"/>
    <w:rsid w:val="00AC3346"/>
    <w:rsid w:val="00AC35BD"/>
    <w:rsid w:val="00AC416B"/>
    <w:rsid w:val="00AC43EC"/>
    <w:rsid w:val="00AC442A"/>
    <w:rsid w:val="00AC496A"/>
    <w:rsid w:val="00AC49E1"/>
    <w:rsid w:val="00AC5944"/>
    <w:rsid w:val="00AC5F4C"/>
    <w:rsid w:val="00AC5F5F"/>
    <w:rsid w:val="00AC6033"/>
    <w:rsid w:val="00AC6602"/>
    <w:rsid w:val="00AC6EF1"/>
    <w:rsid w:val="00AD00AC"/>
    <w:rsid w:val="00AD04C4"/>
    <w:rsid w:val="00AD05B7"/>
    <w:rsid w:val="00AD06C5"/>
    <w:rsid w:val="00AD07D5"/>
    <w:rsid w:val="00AD087D"/>
    <w:rsid w:val="00AD11FF"/>
    <w:rsid w:val="00AD12CC"/>
    <w:rsid w:val="00AD1A35"/>
    <w:rsid w:val="00AD1E9B"/>
    <w:rsid w:val="00AD24BB"/>
    <w:rsid w:val="00AD30E9"/>
    <w:rsid w:val="00AD3A0A"/>
    <w:rsid w:val="00AD3A93"/>
    <w:rsid w:val="00AD46F0"/>
    <w:rsid w:val="00AD5228"/>
    <w:rsid w:val="00AD527A"/>
    <w:rsid w:val="00AD5CBE"/>
    <w:rsid w:val="00AD64FD"/>
    <w:rsid w:val="00AD65C7"/>
    <w:rsid w:val="00AD6A09"/>
    <w:rsid w:val="00AD6ECA"/>
    <w:rsid w:val="00AD74FD"/>
    <w:rsid w:val="00AD7BAC"/>
    <w:rsid w:val="00AE0185"/>
    <w:rsid w:val="00AE0BC8"/>
    <w:rsid w:val="00AE0F2D"/>
    <w:rsid w:val="00AE0FAF"/>
    <w:rsid w:val="00AE1868"/>
    <w:rsid w:val="00AE1D10"/>
    <w:rsid w:val="00AE25BB"/>
    <w:rsid w:val="00AE291C"/>
    <w:rsid w:val="00AE2962"/>
    <w:rsid w:val="00AE2B71"/>
    <w:rsid w:val="00AE2BA7"/>
    <w:rsid w:val="00AE2BCF"/>
    <w:rsid w:val="00AE3AC3"/>
    <w:rsid w:val="00AE3CB9"/>
    <w:rsid w:val="00AE42EF"/>
    <w:rsid w:val="00AE45F4"/>
    <w:rsid w:val="00AE491F"/>
    <w:rsid w:val="00AE49D0"/>
    <w:rsid w:val="00AE4CA8"/>
    <w:rsid w:val="00AE4EB4"/>
    <w:rsid w:val="00AE56A0"/>
    <w:rsid w:val="00AE5D73"/>
    <w:rsid w:val="00AE6155"/>
    <w:rsid w:val="00AE62CA"/>
    <w:rsid w:val="00AE67FC"/>
    <w:rsid w:val="00AE7305"/>
    <w:rsid w:val="00AE7376"/>
    <w:rsid w:val="00AE7DA3"/>
    <w:rsid w:val="00AF06CF"/>
    <w:rsid w:val="00AF1033"/>
    <w:rsid w:val="00AF1102"/>
    <w:rsid w:val="00AF1183"/>
    <w:rsid w:val="00AF13E2"/>
    <w:rsid w:val="00AF1BF0"/>
    <w:rsid w:val="00AF1E6E"/>
    <w:rsid w:val="00AF2904"/>
    <w:rsid w:val="00AF2B88"/>
    <w:rsid w:val="00AF31D4"/>
    <w:rsid w:val="00AF33C5"/>
    <w:rsid w:val="00AF3496"/>
    <w:rsid w:val="00AF38BD"/>
    <w:rsid w:val="00AF3B31"/>
    <w:rsid w:val="00AF3F02"/>
    <w:rsid w:val="00AF44FD"/>
    <w:rsid w:val="00AF4BA1"/>
    <w:rsid w:val="00AF4EBF"/>
    <w:rsid w:val="00AF5852"/>
    <w:rsid w:val="00AF5BB9"/>
    <w:rsid w:val="00AF62E7"/>
    <w:rsid w:val="00AF67B0"/>
    <w:rsid w:val="00AF691C"/>
    <w:rsid w:val="00AF6E1A"/>
    <w:rsid w:val="00AF7296"/>
    <w:rsid w:val="00AF783C"/>
    <w:rsid w:val="00AF7843"/>
    <w:rsid w:val="00AF7D14"/>
    <w:rsid w:val="00AF7DA4"/>
    <w:rsid w:val="00AF7DCA"/>
    <w:rsid w:val="00B004E1"/>
    <w:rsid w:val="00B015F1"/>
    <w:rsid w:val="00B01744"/>
    <w:rsid w:val="00B018D9"/>
    <w:rsid w:val="00B01C2D"/>
    <w:rsid w:val="00B01DAA"/>
    <w:rsid w:val="00B01E9D"/>
    <w:rsid w:val="00B0245D"/>
    <w:rsid w:val="00B02720"/>
    <w:rsid w:val="00B02A2E"/>
    <w:rsid w:val="00B02F75"/>
    <w:rsid w:val="00B035E8"/>
    <w:rsid w:val="00B0489D"/>
    <w:rsid w:val="00B04935"/>
    <w:rsid w:val="00B05527"/>
    <w:rsid w:val="00B057D4"/>
    <w:rsid w:val="00B059C4"/>
    <w:rsid w:val="00B05CF3"/>
    <w:rsid w:val="00B05E1A"/>
    <w:rsid w:val="00B06523"/>
    <w:rsid w:val="00B06A81"/>
    <w:rsid w:val="00B06FF5"/>
    <w:rsid w:val="00B073E9"/>
    <w:rsid w:val="00B076B0"/>
    <w:rsid w:val="00B076B5"/>
    <w:rsid w:val="00B07E70"/>
    <w:rsid w:val="00B10015"/>
    <w:rsid w:val="00B10359"/>
    <w:rsid w:val="00B111C6"/>
    <w:rsid w:val="00B1140E"/>
    <w:rsid w:val="00B114A9"/>
    <w:rsid w:val="00B11503"/>
    <w:rsid w:val="00B115C2"/>
    <w:rsid w:val="00B116A5"/>
    <w:rsid w:val="00B117A5"/>
    <w:rsid w:val="00B13281"/>
    <w:rsid w:val="00B133C8"/>
    <w:rsid w:val="00B13887"/>
    <w:rsid w:val="00B13DEE"/>
    <w:rsid w:val="00B14F52"/>
    <w:rsid w:val="00B15134"/>
    <w:rsid w:val="00B154A6"/>
    <w:rsid w:val="00B15552"/>
    <w:rsid w:val="00B155E1"/>
    <w:rsid w:val="00B15F97"/>
    <w:rsid w:val="00B164CB"/>
    <w:rsid w:val="00B16737"/>
    <w:rsid w:val="00B16963"/>
    <w:rsid w:val="00B16AC4"/>
    <w:rsid w:val="00B16B6B"/>
    <w:rsid w:val="00B16BA7"/>
    <w:rsid w:val="00B17312"/>
    <w:rsid w:val="00B17792"/>
    <w:rsid w:val="00B177C8"/>
    <w:rsid w:val="00B17C9F"/>
    <w:rsid w:val="00B17D86"/>
    <w:rsid w:val="00B202B1"/>
    <w:rsid w:val="00B204EF"/>
    <w:rsid w:val="00B20796"/>
    <w:rsid w:val="00B20BFB"/>
    <w:rsid w:val="00B21104"/>
    <w:rsid w:val="00B21124"/>
    <w:rsid w:val="00B2181D"/>
    <w:rsid w:val="00B21AFF"/>
    <w:rsid w:val="00B22654"/>
    <w:rsid w:val="00B22A82"/>
    <w:rsid w:val="00B22F65"/>
    <w:rsid w:val="00B2337B"/>
    <w:rsid w:val="00B2398C"/>
    <w:rsid w:val="00B23A77"/>
    <w:rsid w:val="00B23CA3"/>
    <w:rsid w:val="00B23EC8"/>
    <w:rsid w:val="00B23F5F"/>
    <w:rsid w:val="00B240B4"/>
    <w:rsid w:val="00B241C3"/>
    <w:rsid w:val="00B24ABA"/>
    <w:rsid w:val="00B24C21"/>
    <w:rsid w:val="00B25157"/>
    <w:rsid w:val="00B252EA"/>
    <w:rsid w:val="00B25A90"/>
    <w:rsid w:val="00B26691"/>
    <w:rsid w:val="00B267A2"/>
    <w:rsid w:val="00B26895"/>
    <w:rsid w:val="00B270FB"/>
    <w:rsid w:val="00B27320"/>
    <w:rsid w:val="00B27860"/>
    <w:rsid w:val="00B27A39"/>
    <w:rsid w:val="00B3030E"/>
    <w:rsid w:val="00B30384"/>
    <w:rsid w:val="00B308D2"/>
    <w:rsid w:val="00B30B33"/>
    <w:rsid w:val="00B31165"/>
    <w:rsid w:val="00B3143A"/>
    <w:rsid w:val="00B315E0"/>
    <w:rsid w:val="00B315ED"/>
    <w:rsid w:val="00B320B6"/>
    <w:rsid w:val="00B32AB1"/>
    <w:rsid w:val="00B33452"/>
    <w:rsid w:val="00B33BB3"/>
    <w:rsid w:val="00B33D6C"/>
    <w:rsid w:val="00B341BD"/>
    <w:rsid w:val="00B34C1E"/>
    <w:rsid w:val="00B34E6C"/>
    <w:rsid w:val="00B35186"/>
    <w:rsid w:val="00B35281"/>
    <w:rsid w:val="00B35C32"/>
    <w:rsid w:val="00B3659E"/>
    <w:rsid w:val="00B367AB"/>
    <w:rsid w:val="00B36D4A"/>
    <w:rsid w:val="00B36F70"/>
    <w:rsid w:val="00B37029"/>
    <w:rsid w:val="00B371DC"/>
    <w:rsid w:val="00B3774F"/>
    <w:rsid w:val="00B37CC3"/>
    <w:rsid w:val="00B37DE1"/>
    <w:rsid w:val="00B4003A"/>
    <w:rsid w:val="00B40EB4"/>
    <w:rsid w:val="00B41471"/>
    <w:rsid w:val="00B41714"/>
    <w:rsid w:val="00B41C49"/>
    <w:rsid w:val="00B41DDE"/>
    <w:rsid w:val="00B42204"/>
    <w:rsid w:val="00B429F9"/>
    <w:rsid w:val="00B431CE"/>
    <w:rsid w:val="00B43B45"/>
    <w:rsid w:val="00B44425"/>
    <w:rsid w:val="00B4489B"/>
    <w:rsid w:val="00B44D0C"/>
    <w:rsid w:val="00B44E33"/>
    <w:rsid w:val="00B45738"/>
    <w:rsid w:val="00B459DF"/>
    <w:rsid w:val="00B464D1"/>
    <w:rsid w:val="00B464D5"/>
    <w:rsid w:val="00B46676"/>
    <w:rsid w:val="00B46BFF"/>
    <w:rsid w:val="00B47338"/>
    <w:rsid w:val="00B4789E"/>
    <w:rsid w:val="00B47F3E"/>
    <w:rsid w:val="00B5134D"/>
    <w:rsid w:val="00B5192E"/>
    <w:rsid w:val="00B519AC"/>
    <w:rsid w:val="00B51DA2"/>
    <w:rsid w:val="00B52244"/>
    <w:rsid w:val="00B52363"/>
    <w:rsid w:val="00B524B8"/>
    <w:rsid w:val="00B52904"/>
    <w:rsid w:val="00B52995"/>
    <w:rsid w:val="00B530E1"/>
    <w:rsid w:val="00B532D7"/>
    <w:rsid w:val="00B53511"/>
    <w:rsid w:val="00B53BF6"/>
    <w:rsid w:val="00B54066"/>
    <w:rsid w:val="00B543C1"/>
    <w:rsid w:val="00B54453"/>
    <w:rsid w:val="00B5451E"/>
    <w:rsid w:val="00B54FB5"/>
    <w:rsid w:val="00B55584"/>
    <w:rsid w:val="00B5610F"/>
    <w:rsid w:val="00B565BB"/>
    <w:rsid w:val="00B565F1"/>
    <w:rsid w:val="00B567FF"/>
    <w:rsid w:val="00B56BEE"/>
    <w:rsid w:val="00B56DFE"/>
    <w:rsid w:val="00B573E9"/>
    <w:rsid w:val="00B57557"/>
    <w:rsid w:val="00B57588"/>
    <w:rsid w:val="00B57BC8"/>
    <w:rsid w:val="00B57CD4"/>
    <w:rsid w:val="00B57FC3"/>
    <w:rsid w:val="00B60A6B"/>
    <w:rsid w:val="00B60B75"/>
    <w:rsid w:val="00B60C2E"/>
    <w:rsid w:val="00B6196F"/>
    <w:rsid w:val="00B61B40"/>
    <w:rsid w:val="00B6202F"/>
    <w:rsid w:val="00B62069"/>
    <w:rsid w:val="00B622FA"/>
    <w:rsid w:val="00B625FC"/>
    <w:rsid w:val="00B6267D"/>
    <w:rsid w:val="00B62D2F"/>
    <w:rsid w:val="00B62E39"/>
    <w:rsid w:val="00B62ECC"/>
    <w:rsid w:val="00B62FA9"/>
    <w:rsid w:val="00B630BA"/>
    <w:rsid w:val="00B6362F"/>
    <w:rsid w:val="00B639FA"/>
    <w:rsid w:val="00B63A2A"/>
    <w:rsid w:val="00B646A2"/>
    <w:rsid w:val="00B659F4"/>
    <w:rsid w:val="00B665D9"/>
    <w:rsid w:val="00B665FD"/>
    <w:rsid w:val="00B66AC1"/>
    <w:rsid w:val="00B66C82"/>
    <w:rsid w:val="00B67E2D"/>
    <w:rsid w:val="00B7026A"/>
    <w:rsid w:val="00B70AB6"/>
    <w:rsid w:val="00B70EE4"/>
    <w:rsid w:val="00B71109"/>
    <w:rsid w:val="00B71373"/>
    <w:rsid w:val="00B71EC4"/>
    <w:rsid w:val="00B7283E"/>
    <w:rsid w:val="00B72FA3"/>
    <w:rsid w:val="00B732A0"/>
    <w:rsid w:val="00B73301"/>
    <w:rsid w:val="00B733EA"/>
    <w:rsid w:val="00B7342E"/>
    <w:rsid w:val="00B73B54"/>
    <w:rsid w:val="00B7411A"/>
    <w:rsid w:val="00B748B9"/>
    <w:rsid w:val="00B748C1"/>
    <w:rsid w:val="00B74DA3"/>
    <w:rsid w:val="00B74E2A"/>
    <w:rsid w:val="00B7510A"/>
    <w:rsid w:val="00B752E4"/>
    <w:rsid w:val="00B75930"/>
    <w:rsid w:val="00B75B76"/>
    <w:rsid w:val="00B75E20"/>
    <w:rsid w:val="00B76458"/>
    <w:rsid w:val="00B769D4"/>
    <w:rsid w:val="00B76BD9"/>
    <w:rsid w:val="00B76E7B"/>
    <w:rsid w:val="00B778F7"/>
    <w:rsid w:val="00B80555"/>
    <w:rsid w:val="00B80603"/>
    <w:rsid w:val="00B8062B"/>
    <w:rsid w:val="00B80C51"/>
    <w:rsid w:val="00B80F57"/>
    <w:rsid w:val="00B810BE"/>
    <w:rsid w:val="00B81A84"/>
    <w:rsid w:val="00B82253"/>
    <w:rsid w:val="00B822DF"/>
    <w:rsid w:val="00B834F9"/>
    <w:rsid w:val="00B84007"/>
    <w:rsid w:val="00B84140"/>
    <w:rsid w:val="00B8487A"/>
    <w:rsid w:val="00B84C4B"/>
    <w:rsid w:val="00B84D67"/>
    <w:rsid w:val="00B84F96"/>
    <w:rsid w:val="00B8510C"/>
    <w:rsid w:val="00B85939"/>
    <w:rsid w:val="00B86800"/>
    <w:rsid w:val="00B86825"/>
    <w:rsid w:val="00B86A44"/>
    <w:rsid w:val="00B86B62"/>
    <w:rsid w:val="00B873A3"/>
    <w:rsid w:val="00B878EB"/>
    <w:rsid w:val="00B8790E"/>
    <w:rsid w:val="00B87E6E"/>
    <w:rsid w:val="00B87E9B"/>
    <w:rsid w:val="00B9012F"/>
    <w:rsid w:val="00B90148"/>
    <w:rsid w:val="00B90A17"/>
    <w:rsid w:val="00B90B94"/>
    <w:rsid w:val="00B90F2F"/>
    <w:rsid w:val="00B91224"/>
    <w:rsid w:val="00B916C8"/>
    <w:rsid w:val="00B91884"/>
    <w:rsid w:val="00B91B92"/>
    <w:rsid w:val="00B92632"/>
    <w:rsid w:val="00B92A1A"/>
    <w:rsid w:val="00B92C87"/>
    <w:rsid w:val="00B9367D"/>
    <w:rsid w:val="00B93AD1"/>
    <w:rsid w:val="00B93D91"/>
    <w:rsid w:val="00B93E0D"/>
    <w:rsid w:val="00B93F37"/>
    <w:rsid w:val="00B94741"/>
    <w:rsid w:val="00B94BF9"/>
    <w:rsid w:val="00B95942"/>
    <w:rsid w:val="00B959BB"/>
    <w:rsid w:val="00B95C62"/>
    <w:rsid w:val="00B9665E"/>
    <w:rsid w:val="00B966B5"/>
    <w:rsid w:val="00B96874"/>
    <w:rsid w:val="00B97802"/>
    <w:rsid w:val="00B978BF"/>
    <w:rsid w:val="00B97EC8"/>
    <w:rsid w:val="00B97F8E"/>
    <w:rsid w:val="00BA0770"/>
    <w:rsid w:val="00BA0940"/>
    <w:rsid w:val="00BA0DD3"/>
    <w:rsid w:val="00BA1997"/>
    <w:rsid w:val="00BA19E3"/>
    <w:rsid w:val="00BA1A77"/>
    <w:rsid w:val="00BA1CE3"/>
    <w:rsid w:val="00BA1D99"/>
    <w:rsid w:val="00BA2299"/>
    <w:rsid w:val="00BA2469"/>
    <w:rsid w:val="00BA251B"/>
    <w:rsid w:val="00BA2E4D"/>
    <w:rsid w:val="00BA2E8D"/>
    <w:rsid w:val="00BA37B1"/>
    <w:rsid w:val="00BA4833"/>
    <w:rsid w:val="00BA4EF8"/>
    <w:rsid w:val="00BA4F34"/>
    <w:rsid w:val="00BA570D"/>
    <w:rsid w:val="00BA59C3"/>
    <w:rsid w:val="00BA5CD1"/>
    <w:rsid w:val="00BA5D1C"/>
    <w:rsid w:val="00BA6255"/>
    <w:rsid w:val="00BA6498"/>
    <w:rsid w:val="00BA67D5"/>
    <w:rsid w:val="00BA68AF"/>
    <w:rsid w:val="00BA6EBD"/>
    <w:rsid w:val="00BA775A"/>
    <w:rsid w:val="00BA7C83"/>
    <w:rsid w:val="00BA7C9F"/>
    <w:rsid w:val="00BA7CD1"/>
    <w:rsid w:val="00BA7D52"/>
    <w:rsid w:val="00BB00AC"/>
    <w:rsid w:val="00BB0335"/>
    <w:rsid w:val="00BB056D"/>
    <w:rsid w:val="00BB0CC1"/>
    <w:rsid w:val="00BB0F02"/>
    <w:rsid w:val="00BB1065"/>
    <w:rsid w:val="00BB1186"/>
    <w:rsid w:val="00BB12CE"/>
    <w:rsid w:val="00BB1502"/>
    <w:rsid w:val="00BB1B91"/>
    <w:rsid w:val="00BB23E7"/>
    <w:rsid w:val="00BB2BAA"/>
    <w:rsid w:val="00BB3291"/>
    <w:rsid w:val="00BB3E46"/>
    <w:rsid w:val="00BB437D"/>
    <w:rsid w:val="00BB443E"/>
    <w:rsid w:val="00BB473F"/>
    <w:rsid w:val="00BB4BB4"/>
    <w:rsid w:val="00BB52B1"/>
    <w:rsid w:val="00BB6F51"/>
    <w:rsid w:val="00BB71B3"/>
    <w:rsid w:val="00BB7781"/>
    <w:rsid w:val="00BB790E"/>
    <w:rsid w:val="00BB7F27"/>
    <w:rsid w:val="00BB7FF7"/>
    <w:rsid w:val="00BC060A"/>
    <w:rsid w:val="00BC13EC"/>
    <w:rsid w:val="00BC157F"/>
    <w:rsid w:val="00BC1B60"/>
    <w:rsid w:val="00BC217B"/>
    <w:rsid w:val="00BC275A"/>
    <w:rsid w:val="00BC2FB8"/>
    <w:rsid w:val="00BC30E2"/>
    <w:rsid w:val="00BC352D"/>
    <w:rsid w:val="00BC3CCE"/>
    <w:rsid w:val="00BC4020"/>
    <w:rsid w:val="00BC43E8"/>
    <w:rsid w:val="00BC444B"/>
    <w:rsid w:val="00BC4527"/>
    <w:rsid w:val="00BC45B4"/>
    <w:rsid w:val="00BC47CC"/>
    <w:rsid w:val="00BC492A"/>
    <w:rsid w:val="00BC4A6D"/>
    <w:rsid w:val="00BC4CCD"/>
    <w:rsid w:val="00BC51E1"/>
    <w:rsid w:val="00BC5A2B"/>
    <w:rsid w:val="00BC5C90"/>
    <w:rsid w:val="00BC63B5"/>
    <w:rsid w:val="00BC63D5"/>
    <w:rsid w:val="00BC6C56"/>
    <w:rsid w:val="00BC6D6D"/>
    <w:rsid w:val="00BC75AA"/>
    <w:rsid w:val="00BC77ED"/>
    <w:rsid w:val="00BC7BD2"/>
    <w:rsid w:val="00BD078F"/>
    <w:rsid w:val="00BD0B2B"/>
    <w:rsid w:val="00BD0CC6"/>
    <w:rsid w:val="00BD1196"/>
    <w:rsid w:val="00BD12C8"/>
    <w:rsid w:val="00BD1416"/>
    <w:rsid w:val="00BD14AD"/>
    <w:rsid w:val="00BD15A8"/>
    <w:rsid w:val="00BD172B"/>
    <w:rsid w:val="00BD177F"/>
    <w:rsid w:val="00BD17B5"/>
    <w:rsid w:val="00BD1C38"/>
    <w:rsid w:val="00BD21C1"/>
    <w:rsid w:val="00BD25BB"/>
    <w:rsid w:val="00BD2E35"/>
    <w:rsid w:val="00BD3813"/>
    <w:rsid w:val="00BD489B"/>
    <w:rsid w:val="00BD4AC4"/>
    <w:rsid w:val="00BD4C8C"/>
    <w:rsid w:val="00BD5603"/>
    <w:rsid w:val="00BD58C9"/>
    <w:rsid w:val="00BD5A9E"/>
    <w:rsid w:val="00BD5D0C"/>
    <w:rsid w:val="00BD5EE6"/>
    <w:rsid w:val="00BD667B"/>
    <w:rsid w:val="00BD67BB"/>
    <w:rsid w:val="00BD7557"/>
    <w:rsid w:val="00BD7BB5"/>
    <w:rsid w:val="00BD7FD2"/>
    <w:rsid w:val="00BE0BD5"/>
    <w:rsid w:val="00BE0CD6"/>
    <w:rsid w:val="00BE0D82"/>
    <w:rsid w:val="00BE171E"/>
    <w:rsid w:val="00BE1A1A"/>
    <w:rsid w:val="00BE1A6A"/>
    <w:rsid w:val="00BE246C"/>
    <w:rsid w:val="00BE2A45"/>
    <w:rsid w:val="00BE2E99"/>
    <w:rsid w:val="00BE340D"/>
    <w:rsid w:val="00BE3783"/>
    <w:rsid w:val="00BE37B4"/>
    <w:rsid w:val="00BE38E3"/>
    <w:rsid w:val="00BE38E4"/>
    <w:rsid w:val="00BE3A29"/>
    <w:rsid w:val="00BE41E2"/>
    <w:rsid w:val="00BE41E5"/>
    <w:rsid w:val="00BE4301"/>
    <w:rsid w:val="00BE4EE3"/>
    <w:rsid w:val="00BE517A"/>
    <w:rsid w:val="00BE5749"/>
    <w:rsid w:val="00BE586E"/>
    <w:rsid w:val="00BE5A0D"/>
    <w:rsid w:val="00BE5DA1"/>
    <w:rsid w:val="00BE6564"/>
    <w:rsid w:val="00BE65A0"/>
    <w:rsid w:val="00BE6C7A"/>
    <w:rsid w:val="00BE6E41"/>
    <w:rsid w:val="00BE7096"/>
    <w:rsid w:val="00BE7949"/>
    <w:rsid w:val="00BF00AF"/>
    <w:rsid w:val="00BF04D2"/>
    <w:rsid w:val="00BF0747"/>
    <w:rsid w:val="00BF0890"/>
    <w:rsid w:val="00BF125F"/>
    <w:rsid w:val="00BF15AE"/>
    <w:rsid w:val="00BF163D"/>
    <w:rsid w:val="00BF184A"/>
    <w:rsid w:val="00BF1B1A"/>
    <w:rsid w:val="00BF1C81"/>
    <w:rsid w:val="00BF2059"/>
    <w:rsid w:val="00BF24D8"/>
    <w:rsid w:val="00BF253D"/>
    <w:rsid w:val="00BF280C"/>
    <w:rsid w:val="00BF2856"/>
    <w:rsid w:val="00BF2D84"/>
    <w:rsid w:val="00BF2E93"/>
    <w:rsid w:val="00BF369E"/>
    <w:rsid w:val="00BF3B68"/>
    <w:rsid w:val="00BF446E"/>
    <w:rsid w:val="00BF4B8A"/>
    <w:rsid w:val="00BF4C32"/>
    <w:rsid w:val="00BF4D51"/>
    <w:rsid w:val="00BF5221"/>
    <w:rsid w:val="00BF58E6"/>
    <w:rsid w:val="00BF5EEE"/>
    <w:rsid w:val="00BF5F2C"/>
    <w:rsid w:val="00BF62F4"/>
    <w:rsid w:val="00BF68F7"/>
    <w:rsid w:val="00BF6926"/>
    <w:rsid w:val="00BF6BDC"/>
    <w:rsid w:val="00BF6E66"/>
    <w:rsid w:val="00BF7622"/>
    <w:rsid w:val="00BF7FC9"/>
    <w:rsid w:val="00C003F0"/>
    <w:rsid w:val="00C01ADF"/>
    <w:rsid w:val="00C01DCB"/>
    <w:rsid w:val="00C02DE7"/>
    <w:rsid w:val="00C02E7E"/>
    <w:rsid w:val="00C0300F"/>
    <w:rsid w:val="00C03118"/>
    <w:rsid w:val="00C03205"/>
    <w:rsid w:val="00C03547"/>
    <w:rsid w:val="00C0398F"/>
    <w:rsid w:val="00C03B71"/>
    <w:rsid w:val="00C05268"/>
    <w:rsid w:val="00C05F6E"/>
    <w:rsid w:val="00C0647B"/>
    <w:rsid w:val="00C06633"/>
    <w:rsid w:val="00C0699C"/>
    <w:rsid w:val="00C06DE8"/>
    <w:rsid w:val="00C0700C"/>
    <w:rsid w:val="00C0725A"/>
    <w:rsid w:val="00C07D39"/>
    <w:rsid w:val="00C103A7"/>
    <w:rsid w:val="00C10CAF"/>
    <w:rsid w:val="00C10EB3"/>
    <w:rsid w:val="00C1113E"/>
    <w:rsid w:val="00C111F5"/>
    <w:rsid w:val="00C113B7"/>
    <w:rsid w:val="00C114B6"/>
    <w:rsid w:val="00C11829"/>
    <w:rsid w:val="00C119BF"/>
    <w:rsid w:val="00C11F76"/>
    <w:rsid w:val="00C122EE"/>
    <w:rsid w:val="00C1244A"/>
    <w:rsid w:val="00C124CB"/>
    <w:rsid w:val="00C125B1"/>
    <w:rsid w:val="00C12687"/>
    <w:rsid w:val="00C12A09"/>
    <w:rsid w:val="00C12E93"/>
    <w:rsid w:val="00C12FE5"/>
    <w:rsid w:val="00C131EE"/>
    <w:rsid w:val="00C13290"/>
    <w:rsid w:val="00C13907"/>
    <w:rsid w:val="00C13FBB"/>
    <w:rsid w:val="00C13FD6"/>
    <w:rsid w:val="00C14376"/>
    <w:rsid w:val="00C14A91"/>
    <w:rsid w:val="00C15B93"/>
    <w:rsid w:val="00C15CFE"/>
    <w:rsid w:val="00C16517"/>
    <w:rsid w:val="00C1694F"/>
    <w:rsid w:val="00C1695E"/>
    <w:rsid w:val="00C16C4A"/>
    <w:rsid w:val="00C17899"/>
    <w:rsid w:val="00C17D96"/>
    <w:rsid w:val="00C17E61"/>
    <w:rsid w:val="00C200C9"/>
    <w:rsid w:val="00C202CE"/>
    <w:rsid w:val="00C20450"/>
    <w:rsid w:val="00C20D4D"/>
    <w:rsid w:val="00C20EE9"/>
    <w:rsid w:val="00C20FD0"/>
    <w:rsid w:val="00C21AE8"/>
    <w:rsid w:val="00C22441"/>
    <w:rsid w:val="00C22982"/>
    <w:rsid w:val="00C230A2"/>
    <w:rsid w:val="00C23C5A"/>
    <w:rsid w:val="00C23EB6"/>
    <w:rsid w:val="00C23F67"/>
    <w:rsid w:val="00C242C0"/>
    <w:rsid w:val="00C258A7"/>
    <w:rsid w:val="00C25965"/>
    <w:rsid w:val="00C26E67"/>
    <w:rsid w:val="00C26F04"/>
    <w:rsid w:val="00C27102"/>
    <w:rsid w:val="00C276D6"/>
    <w:rsid w:val="00C277A3"/>
    <w:rsid w:val="00C3047C"/>
    <w:rsid w:val="00C3066F"/>
    <w:rsid w:val="00C30B80"/>
    <w:rsid w:val="00C31C60"/>
    <w:rsid w:val="00C322C8"/>
    <w:rsid w:val="00C32407"/>
    <w:rsid w:val="00C32651"/>
    <w:rsid w:val="00C32B5D"/>
    <w:rsid w:val="00C3333F"/>
    <w:rsid w:val="00C33508"/>
    <w:rsid w:val="00C335F0"/>
    <w:rsid w:val="00C33B55"/>
    <w:rsid w:val="00C33C0C"/>
    <w:rsid w:val="00C33C79"/>
    <w:rsid w:val="00C33D5A"/>
    <w:rsid w:val="00C340F8"/>
    <w:rsid w:val="00C34473"/>
    <w:rsid w:val="00C350ED"/>
    <w:rsid w:val="00C35237"/>
    <w:rsid w:val="00C35680"/>
    <w:rsid w:val="00C362EC"/>
    <w:rsid w:val="00C36665"/>
    <w:rsid w:val="00C36EAF"/>
    <w:rsid w:val="00C3702A"/>
    <w:rsid w:val="00C379E0"/>
    <w:rsid w:val="00C40702"/>
    <w:rsid w:val="00C40733"/>
    <w:rsid w:val="00C40B69"/>
    <w:rsid w:val="00C416AF"/>
    <w:rsid w:val="00C41B5D"/>
    <w:rsid w:val="00C42407"/>
    <w:rsid w:val="00C42839"/>
    <w:rsid w:val="00C42865"/>
    <w:rsid w:val="00C4315B"/>
    <w:rsid w:val="00C4316C"/>
    <w:rsid w:val="00C4336C"/>
    <w:rsid w:val="00C43491"/>
    <w:rsid w:val="00C43E77"/>
    <w:rsid w:val="00C4451E"/>
    <w:rsid w:val="00C44727"/>
    <w:rsid w:val="00C44F55"/>
    <w:rsid w:val="00C452CE"/>
    <w:rsid w:val="00C45375"/>
    <w:rsid w:val="00C45A4D"/>
    <w:rsid w:val="00C45F0E"/>
    <w:rsid w:val="00C463F1"/>
    <w:rsid w:val="00C46AC9"/>
    <w:rsid w:val="00C47CCE"/>
    <w:rsid w:val="00C47E07"/>
    <w:rsid w:val="00C50C2F"/>
    <w:rsid w:val="00C50EA9"/>
    <w:rsid w:val="00C510D5"/>
    <w:rsid w:val="00C515BB"/>
    <w:rsid w:val="00C51A28"/>
    <w:rsid w:val="00C51ACE"/>
    <w:rsid w:val="00C520D1"/>
    <w:rsid w:val="00C5245B"/>
    <w:rsid w:val="00C52D7C"/>
    <w:rsid w:val="00C532A2"/>
    <w:rsid w:val="00C532A8"/>
    <w:rsid w:val="00C53CDF"/>
    <w:rsid w:val="00C53E73"/>
    <w:rsid w:val="00C54001"/>
    <w:rsid w:val="00C54954"/>
    <w:rsid w:val="00C54BE9"/>
    <w:rsid w:val="00C54D3C"/>
    <w:rsid w:val="00C54DF2"/>
    <w:rsid w:val="00C55334"/>
    <w:rsid w:val="00C55348"/>
    <w:rsid w:val="00C55B97"/>
    <w:rsid w:val="00C56597"/>
    <w:rsid w:val="00C56617"/>
    <w:rsid w:val="00C56D35"/>
    <w:rsid w:val="00C56F1D"/>
    <w:rsid w:val="00C5710F"/>
    <w:rsid w:val="00C5749B"/>
    <w:rsid w:val="00C57AB8"/>
    <w:rsid w:val="00C60170"/>
    <w:rsid w:val="00C604D0"/>
    <w:rsid w:val="00C608F7"/>
    <w:rsid w:val="00C6099B"/>
    <w:rsid w:val="00C60E6E"/>
    <w:rsid w:val="00C60F38"/>
    <w:rsid w:val="00C613A1"/>
    <w:rsid w:val="00C61635"/>
    <w:rsid w:val="00C618B3"/>
    <w:rsid w:val="00C61B5F"/>
    <w:rsid w:val="00C62990"/>
    <w:rsid w:val="00C629F9"/>
    <w:rsid w:val="00C636CF"/>
    <w:rsid w:val="00C63A6C"/>
    <w:rsid w:val="00C63E3A"/>
    <w:rsid w:val="00C64A1A"/>
    <w:rsid w:val="00C64CFC"/>
    <w:rsid w:val="00C64E6F"/>
    <w:rsid w:val="00C65481"/>
    <w:rsid w:val="00C65E1A"/>
    <w:rsid w:val="00C66A10"/>
    <w:rsid w:val="00C672DE"/>
    <w:rsid w:val="00C673BB"/>
    <w:rsid w:val="00C676D6"/>
    <w:rsid w:val="00C6772B"/>
    <w:rsid w:val="00C67EC2"/>
    <w:rsid w:val="00C67EFE"/>
    <w:rsid w:val="00C705CB"/>
    <w:rsid w:val="00C70B4F"/>
    <w:rsid w:val="00C70E1B"/>
    <w:rsid w:val="00C70FB8"/>
    <w:rsid w:val="00C71518"/>
    <w:rsid w:val="00C7197D"/>
    <w:rsid w:val="00C71C46"/>
    <w:rsid w:val="00C721AE"/>
    <w:rsid w:val="00C7274C"/>
    <w:rsid w:val="00C730F6"/>
    <w:rsid w:val="00C73A01"/>
    <w:rsid w:val="00C73D8F"/>
    <w:rsid w:val="00C74776"/>
    <w:rsid w:val="00C74866"/>
    <w:rsid w:val="00C74BDF"/>
    <w:rsid w:val="00C74CA8"/>
    <w:rsid w:val="00C75499"/>
    <w:rsid w:val="00C757C3"/>
    <w:rsid w:val="00C75FB2"/>
    <w:rsid w:val="00C761D1"/>
    <w:rsid w:val="00C77111"/>
    <w:rsid w:val="00C7716A"/>
    <w:rsid w:val="00C772E3"/>
    <w:rsid w:val="00C774CD"/>
    <w:rsid w:val="00C77574"/>
    <w:rsid w:val="00C777D7"/>
    <w:rsid w:val="00C77A2D"/>
    <w:rsid w:val="00C77B0F"/>
    <w:rsid w:val="00C805F7"/>
    <w:rsid w:val="00C806A0"/>
    <w:rsid w:val="00C80870"/>
    <w:rsid w:val="00C80A97"/>
    <w:rsid w:val="00C80DC2"/>
    <w:rsid w:val="00C81C80"/>
    <w:rsid w:val="00C81DB5"/>
    <w:rsid w:val="00C81E82"/>
    <w:rsid w:val="00C82813"/>
    <w:rsid w:val="00C82A24"/>
    <w:rsid w:val="00C82FD5"/>
    <w:rsid w:val="00C830BC"/>
    <w:rsid w:val="00C83CC0"/>
    <w:rsid w:val="00C84323"/>
    <w:rsid w:val="00C84C16"/>
    <w:rsid w:val="00C84E1A"/>
    <w:rsid w:val="00C84F73"/>
    <w:rsid w:val="00C8534D"/>
    <w:rsid w:val="00C85D26"/>
    <w:rsid w:val="00C85E00"/>
    <w:rsid w:val="00C861CA"/>
    <w:rsid w:val="00C8694A"/>
    <w:rsid w:val="00C86A38"/>
    <w:rsid w:val="00C86B31"/>
    <w:rsid w:val="00C86C4F"/>
    <w:rsid w:val="00C872D9"/>
    <w:rsid w:val="00C875B2"/>
    <w:rsid w:val="00C87905"/>
    <w:rsid w:val="00C87CBD"/>
    <w:rsid w:val="00C87D5A"/>
    <w:rsid w:val="00C907CA"/>
    <w:rsid w:val="00C90BE6"/>
    <w:rsid w:val="00C91013"/>
    <w:rsid w:val="00C9187E"/>
    <w:rsid w:val="00C925E1"/>
    <w:rsid w:val="00C92960"/>
    <w:rsid w:val="00C93346"/>
    <w:rsid w:val="00C9347E"/>
    <w:rsid w:val="00C94287"/>
    <w:rsid w:val="00C94B15"/>
    <w:rsid w:val="00C9508B"/>
    <w:rsid w:val="00C959EB"/>
    <w:rsid w:val="00C95BA7"/>
    <w:rsid w:val="00C961C3"/>
    <w:rsid w:val="00C962CA"/>
    <w:rsid w:val="00C963FD"/>
    <w:rsid w:val="00C9692A"/>
    <w:rsid w:val="00C97874"/>
    <w:rsid w:val="00C97988"/>
    <w:rsid w:val="00CA051C"/>
    <w:rsid w:val="00CA0819"/>
    <w:rsid w:val="00CA0B4A"/>
    <w:rsid w:val="00CA0C38"/>
    <w:rsid w:val="00CA0E6F"/>
    <w:rsid w:val="00CA0FB6"/>
    <w:rsid w:val="00CA1672"/>
    <w:rsid w:val="00CA1921"/>
    <w:rsid w:val="00CA2185"/>
    <w:rsid w:val="00CA2722"/>
    <w:rsid w:val="00CA2962"/>
    <w:rsid w:val="00CA2D42"/>
    <w:rsid w:val="00CA2D62"/>
    <w:rsid w:val="00CA2F92"/>
    <w:rsid w:val="00CA3471"/>
    <w:rsid w:val="00CA357A"/>
    <w:rsid w:val="00CA3CE0"/>
    <w:rsid w:val="00CA419F"/>
    <w:rsid w:val="00CA433D"/>
    <w:rsid w:val="00CA48C9"/>
    <w:rsid w:val="00CA4C46"/>
    <w:rsid w:val="00CA55B2"/>
    <w:rsid w:val="00CA570B"/>
    <w:rsid w:val="00CA60FD"/>
    <w:rsid w:val="00CA62C3"/>
    <w:rsid w:val="00CA6CCD"/>
    <w:rsid w:val="00CA6F9E"/>
    <w:rsid w:val="00CA773D"/>
    <w:rsid w:val="00CA7D6F"/>
    <w:rsid w:val="00CB0009"/>
    <w:rsid w:val="00CB0B3B"/>
    <w:rsid w:val="00CB1285"/>
    <w:rsid w:val="00CB14ED"/>
    <w:rsid w:val="00CB192D"/>
    <w:rsid w:val="00CB1C2E"/>
    <w:rsid w:val="00CB1FC7"/>
    <w:rsid w:val="00CB28AC"/>
    <w:rsid w:val="00CB352C"/>
    <w:rsid w:val="00CB5841"/>
    <w:rsid w:val="00CB6225"/>
    <w:rsid w:val="00CB623F"/>
    <w:rsid w:val="00CB63A5"/>
    <w:rsid w:val="00CB653A"/>
    <w:rsid w:val="00CB686A"/>
    <w:rsid w:val="00CB6FCA"/>
    <w:rsid w:val="00CB74B0"/>
    <w:rsid w:val="00CB7555"/>
    <w:rsid w:val="00CB78F4"/>
    <w:rsid w:val="00CB7AD2"/>
    <w:rsid w:val="00CB7C47"/>
    <w:rsid w:val="00CC019F"/>
    <w:rsid w:val="00CC0875"/>
    <w:rsid w:val="00CC094E"/>
    <w:rsid w:val="00CC1071"/>
    <w:rsid w:val="00CC121D"/>
    <w:rsid w:val="00CC1AD3"/>
    <w:rsid w:val="00CC27C4"/>
    <w:rsid w:val="00CC2848"/>
    <w:rsid w:val="00CC2C33"/>
    <w:rsid w:val="00CC2C77"/>
    <w:rsid w:val="00CC2FE5"/>
    <w:rsid w:val="00CC31AB"/>
    <w:rsid w:val="00CC35CB"/>
    <w:rsid w:val="00CC3D51"/>
    <w:rsid w:val="00CC3EBC"/>
    <w:rsid w:val="00CC4010"/>
    <w:rsid w:val="00CC46BD"/>
    <w:rsid w:val="00CC5225"/>
    <w:rsid w:val="00CC557C"/>
    <w:rsid w:val="00CC5608"/>
    <w:rsid w:val="00CC629F"/>
    <w:rsid w:val="00CC63F5"/>
    <w:rsid w:val="00CC6D94"/>
    <w:rsid w:val="00CC72D0"/>
    <w:rsid w:val="00CC7B63"/>
    <w:rsid w:val="00CD1167"/>
    <w:rsid w:val="00CD12CF"/>
    <w:rsid w:val="00CD1C19"/>
    <w:rsid w:val="00CD1FED"/>
    <w:rsid w:val="00CD22BD"/>
    <w:rsid w:val="00CD2802"/>
    <w:rsid w:val="00CD2920"/>
    <w:rsid w:val="00CD2B69"/>
    <w:rsid w:val="00CD2BB4"/>
    <w:rsid w:val="00CD357B"/>
    <w:rsid w:val="00CD3CEC"/>
    <w:rsid w:val="00CD3DFC"/>
    <w:rsid w:val="00CD4880"/>
    <w:rsid w:val="00CD543F"/>
    <w:rsid w:val="00CD585C"/>
    <w:rsid w:val="00CD5B33"/>
    <w:rsid w:val="00CD5D47"/>
    <w:rsid w:val="00CD61DB"/>
    <w:rsid w:val="00CD69C3"/>
    <w:rsid w:val="00CD6B96"/>
    <w:rsid w:val="00CD6D5D"/>
    <w:rsid w:val="00CD6D9D"/>
    <w:rsid w:val="00CD6E90"/>
    <w:rsid w:val="00CD758D"/>
    <w:rsid w:val="00CD79D3"/>
    <w:rsid w:val="00CD7B21"/>
    <w:rsid w:val="00CD7CCF"/>
    <w:rsid w:val="00CD7ECE"/>
    <w:rsid w:val="00CE0157"/>
    <w:rsid w:val="00CE0386"/>
    <w:rsid w:val="00CE0FB3"/>
    <w:rsid w:val="00CE17EB"/>
    <w:rsid w:val="00CE1CC3"/>
    <w:rsid w:val="00CE24B3"/>
    <w:rsid w:val="00CE272F"/>
    <w:rsid w:val="00CE2A31"/>
    <w:rsid w:val="00CE3409"/>
    <w:rsid w:val="00CE4B64"/>
    <w:rsid w:val="00CE4D7D"/>
    <w:rsid w:val="00CE4DBE"/>
    <w:rsid w:val="00CE61D8"/>
    <w:rsid w:val="00CE7003"/>
    <w:rsid w:val="00CE70D5"/>
    <w:rsid w:val="00CE7145"/>
    <w:rsid w:val="00CE751D"/>
    <w:rsid w:val="00CE7725"/>
    <w:rsid w:val="00CE778B"/>
    <w:rsid w:val="00CE78C4"/>
    <w:rsid w:val="00CE78C6"/>
    <w:rsid w:val="00CE795C"/>
    <w:rsid w:val="00CE7C75"/>
    <w:rsid w:val="00CF012C"/>
    <w:rsid w:val="00CF06F5"/>
    <w:rsid w:val="00CF0894"/>
    <w:rsid w:val="00CF0EC7"/>
    <w:rsid w:val="00CF13C0"/>
    <w:rsid w:val="00CF14A8"/>
    <w:rsid w:val="00CF160C"/>
    <w:rsid w:val="00CF18D7"/>
    <w:rsid w:val="00CF1AED"/>
    <w:rsid w:val="00CF1BA6"/>
    <w:rsid w:val="00CF2834"/>
    <w:rsid w:val="00CF2866"/>
    <w:rsid w:val="00CF2A1F"/>
    <w:rsid w:val="00CF32FE"/>
    <w:rsid w:val="00CF3446"/>
    <w:rsid w:val="00CF3839"/>
    <w:rsid w:val="00CF3E3C"/>
    <w:rsid w:val="00CF463B"/>
    <w:rsid w:val="00CF4D09"/>
    <w:rsid w:val="00CF4F0E"/>
    <w:rsid w:val="00CF56DD"/>
    <w:rsid w:val="00CF6F31"/>
    <w:rsid w:val="00CF71C6"/>
    <w:rsid w:val="00CF748E"/>
    <w:rsid w:val="00CF7996"/>
    <w:rsid w:val="00CF7CFE"/>
    <w:rsid w:val="00D00947"/>
    <w:rsid w:val="00D014A3"/>
    <w:rsid w:val="00D01A77"/>
    <w:rsid w:val="00D01B4A"/>
    <w:rsid w:val="00D01C65"/>
    <w:rsid w:val="00D01E02"/>
    <w:rsid w:val="00D020E5"/>
    <w:rsid w:val="00D025E8"/>
    <w:rsid w:val="00D0268F"/>
    <w:rsid w:val="00D0315A"/>
    <w:rsid w:val="00D03C3C"/>
    <w:rsid w:val="00D03E23"/>
    <w:rsid w:val="00D04095"/>
    <w:rsid w:val="00D047BD"/>
    <w:rsid w:val="00D04819"/>
    <w:rsid w:val="00D04895"/>
    <w:rsid w:val="00D04F96"/>
    <w:rsid w:val="00D05291"/>
    <w:rsid w:val="00D05302"/>
    <w:rsid w:val="00D05632"/>
    <w:rsid w:val="00D058BB"/>
    <w:rsid w:val="00D059E5"/>
    <w:rsid w:val="00D05E76"/>
    <w:rsid w:val="00D06150"/>
    <w:rsid w:val="00D0699B"/>
    <w:rsid w:val="00D06A35"/>
    <w:rsid w:val="00D06C7F"/>
    <w:rsid w:val="00D07089"/>
    <w:rsid w:val="00D072D8"/>
    <w:rsid w:val="00D07B02"/>
    <w:rsid w:val="00D10164"/>
    <w:rsid w:val="00D10553"/>
    <w:rsid w:val="00D10E00"/>
    <w:rsid w:val="00D1166A"/>
    <w:rsid w:val="00D11894"/>
    <w:rsid w:val="00D11D52"/>
    <w:rsid w:val="00D12196"/>
    <w:rsid w:val="00D1225A"/>
    <w:rsid w:val="00D128DB"/>
    <w:rsid w:val="00D12EB3"/>
    <w:rsid w:val="00D12F7C"/>
    <w:rsid w:val="00D1311C"/>
    <w:rsid w:val="00D13A62"/>
    <w:rsid w:val="00D14BAC"/>
    <w:rsid w:val="00D14F4A"/>
    <w:rsid w:val="00D152E8"/>
    <w:rsid w:val="00D16CE6"/>
    <w:rsid w:val="00D17099"/>
    <w:rsid w:val="00D17267"/>
    <w:rsid w:val="00D173EB"/>
    <w:rsid w:val="00D17A22"/>
    <w:rsid w:val="00D20049"/>
    <w:rsid w:val="00D203D7"/>
    <w:rsid w:val="00D20437"/>
    <w:rsid w:val="00D20543"/>
    <w:rsid w:val="00D20C8B"/>
    <w:rsid w:val="00D20D43"/>
    <w:rsid w:val="00D20E9B"/>
    <w:rsid w:val="00D211DD"/>
    <w:rsid w:val="00D21948"/>
    <w:rsid w:val="00D224B1"/>
    <w:rsid w:val="00D2267C"/>
    <w:rsid w:val="00D232AD"/>
    <w:rsid w:val="00D233D6"/>
    <w:rsid w:val="00D244C0"/>
    <w:rsid w:val="00D24A05"/>
    <w:rsid w:val="00D24F5B"/>
    <w:rsid w:val="00D252CC"/>
    <w:rsid w:val="00D2569E"/>
    <w:rsid w:val="00D256E6"/>
    <w:rsid w:val="00D25E94"/>
    <w:rsid w:val="00D25FFE"/>
    <w:rsid w:val="00D26F27"/>
    <w:rsid w:val="00D274D6"/>
    <w:rsid w:val="00D27924"/>
    <w:rsid w:val="00D301B8"/>
    <w:rsid w:val="00D30BA5"/>
    <w:rsid w:val="00D30F8E"/>
    <w:rsid w:val="00D30FEE"/>
    <w:rsid w:val="00D31413"/>
    <w:rsid w:val="00D314E5"/>
    <w:rsid w:val="00D31622"/>
    <w:rsid w:val="00D31C59"/>
    <w:rsid w:val="00D325F7"/>
    <w:rsid w:val="00D32FBE"/>
    <w:rsid w:val="00D33594"/>
    <w:rsid w:val="00D338EA"/>
    <w:rsid w:val="00D33B21"/>
    <w:rsid w:val="00D3443A"/>
    <w:rsid w:val="00D344C4"/>
    <w:rsid w:val="00D35560"/>
    <w:rsid w:val="00D3566D"/>
    <w:rsid w:val="00D35689"/>
    <w:rsid w:val="00D35790"/>
    <w:rsid w:val="00D35B2D"/>
    <w:rsid w:val="00D35E1C"/>
    <w:rsid w:val="00D35E67"/>
    <w:rsid w:val="00D35EB3"/>
    <w:rsid w:val="00D35FF5"/>
    <w:rsid w:val="00D3656F"/>
    <w:rsid w:val="00D36AC4"/>
    <w:rsid w:val="00D3781F"/>
    <w:rsid w:val="00D378F2"/>
    <w:rsid w:val="00D37A30"/>
    <w:rsid w:val="00D40446"/>
    <w:rsid w:val="00D4063B"/>
    <w:rsid w:val="00D406E7"/>
    <w:rsid w:val="00D40BED"/>
    <w:rsid w:val="00D41251"/>
    <w:rsid w:val="00D41668"/>
    <w:rsid w:val="00D4170F"/>
    <w:rsid w:val="00D41968"/>
    <w:rsid w:val="00D42052"/>
    <w:rsid w:val="00D424E3"/>
    <w:rsid w:val="00D42BEE"/>
    <w:rsid w:val="00D42E51"/>
    <w:rsid w:val="00D43120"/>
    <w:rsid w:val="00D43251"/>
    <w:rsid w:val="00D43395"/>
    <w:rsid w:val="00D433A7"/>
    <w:rsid w:val="00D434D3"/>
    <w:rsid w:val="00D43B33"/>
    <w:rsid w:val="00D43B9F"/>
    <w:rsid w:val="00D44DCA"/>
    <w:rsid w:val="00D458E7"/>
    <w:rsid w:val="00D45C4F"/>
    <w:rsid w:val="00D46009"/>
    <w:rsid w:val="00D46567"/>
    <w:rsid w:val="00D46728"/>
    <w:rsid w:val="00D47688"/>
    <w:rsid w:val="00D47B94"/>
    <w:rsid w:val="00D501F1"/>
    <w:rsid w:val="00D50230"/>
    <w:rsid w:val="00D5132C"/>
    <w:rsid w:val="00D51885"/>
    <w:rsid w:val="00D51B09"/>
    <w:rsid w:val="00D52594"/>
    <w:rsid w:val="00D527AA"/>
    <w:rsid w:val="00D52D63"/>
    <w:rsid w:val="00D5429E"/>
    <w:rsid w:val="00D54C50"/>
    <w:rsid w:val="00D54CB4"/>
    <w:rsid w:val="00D54FBB"/>
    <w:rsid w:val="00D5514B"/>
    <w:rsid w:val="00D5545F"/>
    <w:rsid w:val="00D555EF"/>
    <w:rsid w:val="00D55816"/>
    <w:rsid w:val="00D5593F"/>
    <w:rsid w:val="00D559FA"/>
    <w:rsid w:val="00D5602F"/>
    <w:rsid w:val="00D5619D"/>
    <w:rsid w:val="00D56631"/>
    <w:rsid w:val="00D56713"/>
    <w:rsid w:val="00D57052"/>
    <w:rsid w:val="00D57321"/>
    <w:rsid w:val="00D575F4"/>
    <w:rsid w:val="00D57725"/>
    <w:rsid w:val="00D57F92"/>
    <w:rsid w:val="00D6038A"/>
    <w:rsid w:val="00D603F2"/>
    <w:rsid w:val="00D60947"/>
    <w:rsid w:val="00D61464"/>
    <w:rsid w:val="00D61E08"/>
    <w:rsid w:val="00D61F3B"/>
    <w:rsid w:val="00D61F60"/>
    <w:rsid w:val="00D620AA"/>
    <w:rsid w:val="00D62696"/>
    <w:rsid w:val="00D6272C"/>
    <w:rsid w:val="00D62899"/>
    <w:rsid w:val="00D62915"/>
    <w:rsid w:val="00D62C79"/>
    <w:rsid w:val="00D62E96"/>
    <w:rsid w:val="00D62EBB"/>
    <w:rsid w:val="00D62FD1"/>
    <w:rsid w:val="00D64A59"/>
    <w:rsid w:val="00D65462"/>
    <w:rsid w:val="00D65602"/>
    <w:rsid w:val="00D65991"/>
    <w:rsid w:val="00D65BC3"/>
    <w:rsid w:val="00D6687F"/>
    <w:rsid w:val="00D673F1"/>
    <w:rsid w:val="00D6773D"/>
    <w:rsid w:val="00D6783A"/>
    <w:rsid w:val="00D67B05"/>
    <w:rsid w:val="00D67BD5"/>
    <w:rsid w:val="00D7037E"/>
    <w:rsid w:val="00D70535"/>
    <w:rsid w:val="00D7086E"/>
    <w:rsid w:val="00D70932"/>
    <w:rsid w:val="00D71086"/>
    <w:rsid w:val="00D71837"/>
    <w:rsid w:val="00D71C2B"/>
    <w:rsid w:val="00D72481"/>
    <w:rsid w:val="00D7267B"/>
    <w:rsid w:val="00D72C3A"/>
    <w:rsid w:val="00D72E37"/>
    <w:rsid w:val="00D72E3E"/>
    <w:rsid w:val="00D73928"/>
    <w:rsid w:val="00D73CE4"/>
    <w:rsid w:val="00D7487A"/>
    <w:rsid w:val="00D749EB"/>
    <w:rsid w:val="00D74A0B"/>
    <w:rsid w:val="00D74D86"/>
    <w:rsid w:val="00D74F86"/>
    <w:rsid w:val="00D756B2"/>
    <w:rsid w:val="00D7587E"/>
    <w:rsid w:val="00D7595F"/>
    <w:rsid w:val="00D75BA3"/>
    <w:rsid w:val="00D76F04"/>
    <w:rsid w:val="00D76FD1"/>
    <w:rsid w:val="00D77680"/>
    <w:rsid w:val="00D7769D"/>
    <w:rsid w:val="00D77C63"/>
    <w:rsid w:val="00D77D31"/>
    <w:rsid w:val="00D77E41"/>
    <w:rsid w:val="00D77ED0"/>
    <w:rsid w:val="00D80049"/>
    <w:rsid w:val="00D80845"/>
    <w:rsid w:val="00D80EC2"/>
    <w:rsid w:val="00D81542"/>
    <w:rsid w:val="00D816B1"/>
    <w:rsid w:val="00D81B3D"/>
    <w:rsid w:val="00D823FF"/>
    <w:rsid w:val="00D83679"/>
    <w:rsid w:val="00D848E9"/>
    <w:rsid w:val="00D849AD"/>
    <w:rsid w:val="00D84FD4"/>
    <w:rsid w:val="00D853DB"/>
    <w:rsid w:val="00D85A29"/>
    <w:rsid w:val="00D865BF"/>
    <w:rsid w:val="00D8667C"/>
    <w:rsid w:val="00D86893"/>
    <w:rsid w:val="00D86898"/>
    <w:rsid w:val="00D86B17"/>
    <w:rsid w:val="00D86CEE"/>
    <w:rsid w:val="00D86E1C"/>
    <w:rsid w:val="00D871E6"/>
    <w:rsid w:val="00D875B7"/>
    <w:rsid w:val="00D87A18"/>
    <w:rsid w:val="00D87F86"/>
    <w:rsid w:val="00D901D1"/>
    <w:rsid w:val="00D90401"/>
    <w:rsid w:val="00D90733"/>
    <w:rsid w:val="00D90885"/>
    <w:rsid w:val="00D90A17"/>
    <w:rsid w:val="00D90BE9"/>
    <w:rsid w:val="00D90EB2"/>
    <w:rsid w:val="00D9137C"/>
    <w:rsid w:val="00D91864"/>
    <w:rsid w:val="00D91C32"/>
    <w:rsid w:val="00D91ECD"/>
    <w:rsid w:val="00D927C9"/>
    <w:rsid w:val="00D92883"/>
    <w:rsid w:val="00D92BDD"/>
    <w:rsid w:val="00D92C60"/>
    <w:rsid w:val="00D93139"/>
    <w:rsid w:val="00D93DA7"/>
    <w:rsid w:val="00D940FF"/>
    <w:rsid w:val="00D94C05"/>
    <w:rsid w:val="00D94CE7"/>
    <w:rsid w:val="00D94E07"/>
    <w:rsid w:val="00D95112"/>
    <w:rsid w:val="00D95206"/>
    <w:rsid w:val="00D952BB"/>
    <w:rsid w:val="00D96245"/>
    <w:rsid w:val="00D96A72"/>
    <w:rsid w:val="00D96F09"/>
    <w:rsid w:val="00D97435"/>
    <w:rsid w:val="00D97858"/>
    <w:rsid w:val="00D97A79"/>
    <w:rsid w:val="00D97B5A"/>
    <w:rsid w:val="00D97F7A"/>
    <w:rsid w:val="00DA0075"/>
    <w:rsid w:val="00DA050D"/>
    <w:rsid w:val="00DA0631"/>
    <w:rsid w:val="00DA09D4"/>
    <w:rsid w:val="00DA0B6F"/>
    <w:rsid w:val="00DA14F8"/>
    <w:rsid w:val="00DA15F7"/>
    <w:rsid w:val="00DA1E9E"/>
    <w:rsid w:val="00DA1F7C"/>
    <w:rsid w:val="00DA1FB1"/>
    <w:rsid w:val="00DA25E4"/>
    <w:rsid w:val="00DA2602"/>
    <w:rsid w:val="00DA275E"/>
    <w:rsid w:val="00DA2812"/>
    <w:rsid w:val="00DA2DBE"/>
    <w:rsid w:val="00DA3AB2"/>
    <w:rsid w:val="00DA3D11"/>
    <w:rsid w:val="00DA3D17"/>
    <w:rsid w:val="00DA4A5E"/>
    <w:rsid w:val="00DA4FA6"/>
    <w:rsid w:val="00DA5107"/>
    <w:rsid w:val="00DA540E"/>
    <w:rsid w:val="00DA624D"/>
    <w:rsid w:val="00DB0818"/>
    <w:rsid w:val="00DB0A90"/>
    <w:rsid w:val="00DB0AA6"/>
    <w:rsid w:val="00DB1835"/>
    <w:rsid w:val="00DB21D8"/>
    <w:rsid w:val="00DB2401"/>
    <w:rsid w:val="00DB2634"/>
    <w:rsid w:val="00DB2693"/>
    <w:rsid w:val="00DB269C"/>
    <w:rsid w:val="00DB3057"/>
    <w:rsid w:val="00DB3227"/>
    <w:rsid w:val="00DB336E"/>
    <w:rsid w:val="00DB349F"/>
    <w:rsid w:val="00DB3D61"/>
    <w:rsid w:val="00DB3F54"/>
    <w:rsid w:val="00DB4140"/>
    <w:rsid w:val="00DB43C3"/>
    <w:rsid w:val="00DB4999"/>
    <w:rsid w:val="00DB4CB3"/>
    <w:rsid w:val="00DB4E75"/>
    <w:rsid w:val="00DB5320"/>
    <w:rsid w:val="00DB5F4C"/>
    <w:rsid w:val="00DB6196"/>
    <w:rsid w:val="00DB6268"/>
    <w:rsid w:val="00DB628F"/>
    <w:rsid w:val="00DB6316"/>
    <w:rsid w:val="00DB6660"/>
    <w:rsid w:val="00DB6CD8"/>
    <w:rsid w:val="00DB6E47"/>
    <w:rsid w:val="00DB6F98"/>
    <w:rsid w:val="00DB7113"/>
    <w:rsid w:val="00DB7494"/>
    <w:rsid w:val="00DB7668"/>
    <w:rsid w:val="00DB7675"/>
    <w:rsid w:val="00DB79BB"/>
    <w:rsid w:val="00DB7C3E"/>
    <w:rsid w:val="00DB7D71"/>
    <w:rsid w:val="00DC0448"/>
    <w:rsid w:val="00DC0FAD"/>
    <w:rsid w:val="00DC13BF"/>
    <w:rsid w:val="00DC16D4"/>
    <w:rsid w:val="00DC1C90"/>
    <w:rsid w:val="00DC1E41"/>
    <w:rsid w:val="00DC2396"/>
    <w:rsid w:val="00DC2474"/>
    <w:rsid w:val="00DC31D2"/>
    <w:rsid w:val="00DC323C"/>
    <w:rsid w:val="00DC33B3"/>
    <w:rsid w:val="00DC3498"/>
    <w:rsid w:val="00DC4280"/>
    <w:rsid w:val="00DC5097"/>
    <w:rsid w:val="00DC50BE"/>
    <w:rsid w:val="00DC54EF"/>
    <w:rsid w:val="00DC59FA"/>
    <w:rsid w:val="00DC5F0C"/>
    <w:rsid w:val="00DC680E"/>
    <w:rsid w:val="00DC7985"/>
    <w:rsid w:val="00DC7995"/>
    <w:rsid w:val="00DC7AB6"/>
    <w:rsid w:val="00DC7EFF"/>
    <w:rsid w:val="00DC7F45"/>
    <w:rsid w:val="00DD0A3E"/>
    <w:rsid w:val="00DD0FB6"/>
    <w:rsid w:val="00DD196C"/>
    <w:rsid w:val="00DD2727"/>
    <w:rsid w:val="00DD33A3"/>
    <w:rsid w:val="00DD3677"/>
    <w:rsid w:val="00DD382A"/>
    <w:rsid w:val="00DD395A"/>
    <w:rsid w:val="00DD3C7B"/>
    <w:rsid w:val="00DD3F04"/>
    <w:rsid w:val="00DD3F15"/>
    <w:rsid w:val="00DD4019"/>
    <w:rsid w:val="00DD41B8"/>
    <w:rsid w:val="00DD4318"/>
    <w:rsid w:val="00DD482B"/>
    <w:rsid w:val="00DD60A3"/>
    <w:rsid w:val="00DD6328"/>
    <w:rsid w:val="00DD64AD"/>
    <w:rsid w:val="00DD6729"/>
    <w:rsid w:val="00DD678D"/>
    <w:rsid w:val="00DD6871"/>
    <w:rsid w:val="00DD6AE2"/>
    <w:rsid w:val="00DD6C1D"/>
    <w:rsid w:val="00DD6C89"/>
    <w:rsid w:val="00DD7061"/>
    <w:rsid w:val="00DD71C9"/>
    <w:rsid w:val="00DD75F3"/>
    <w:rsid w:val="00DE0933"/>
    <w:rsid w:val="00DE10E0"/>
    <w:rsid w:val="00DE1872"/>
    <w:rsid w:val="00DE1A6A"/>
    <w:rsid w:val="00DE1DFE"/>
    <w:rsid w:val="00DE1E13"/>
    <w:rsid w:val="00DE22F7"/>
    <w:rsid w:val="00DE23CF"/>
    <w:rsid w:val="00DE2892"/>
    <w:rsid w:val="00DE2BF8"/>
    <w:rsid w:val="00DE2D37"/>
    <w:rsid w:val="00DE2E5E"/>
    <w:rsid w:val="00DE330C"/>
    <w:rsid w:val="00DE3344"/>
    <w:rsid w:val="00DE45EC"/>
    <w:rsid w:val="00DE4827"/>
    <w:rsid w:val="00DE5A20"/>
    <w:rsid w:val="00DE5AA9"/>
    <w:rsid w:val="00DE5B4F"/>
    <w:rsid w:val="00DE609A"/>
    <w:rsid w:val="00DE6559"/>
    <w:rsid w:val="00DE68F2"/>
    <w:rsid w:val="00DE7359"/>
    <w:rsid w:val="00DE7C9B"/>
    <w:rsid w:val="00DF0CD2"/>
    <w:rsid w:val="00DF0D83"/>
    <w:rsid w:val="00DF113F"/>
    <w:rsid w:val="00DF11FE"/>
    <w:rsid w:val="00DF1267"/>
    <w:rsid w:val="00DF16F1"/>
    <w:rsid w:val="00DF19B6"/>
    <w:rsid w:val="00DF19F7"/>
    <w:rsid w:val="00DF1E77"/>
    <w:rsid w:val="00DF244A"/>
    <w:rsid w:val="00DF28F2"/>
    <w:rsid w:val="00DF3256"/>
    <w:rsid w:val="00DF35E6"/>
    <w:rsid w:val="00DF381D"/>
    <w:rsid w:val="00DF39FD"/>
    <w:rsid w:val="00DF3AD4"/>
    <w:rsid w:val="00DF4527"/>
    <w:rsid w:val="00DF4B2D"/>
    <w:rsid w:val="00DF4C2F"/>
    <w:rsid w:val="00DF4F99"/>
    <w:rsid w:val="00DF5A00"/>
    <w:rsid w:val="00DF61E8"/>
    <w:rsid w:val="00DF62BE"/>
    <w:rsid w:val="00DF6509"/>
    <w:rsid w:val="00DF6684"/>
    <w:rsid w:val="00DF696C"/>
    <w:rsid w:val="00DF6CC9"/>
    <w:rsid w:val="00DF6DBA"/>
    <w:rsid w:val="00DF74FE"/>
    <w:rsid w:val="00DF7A7F"/>
    <w:rsid w:val="00DF7FBA"/>
    <w:rsid w:val="00E002C5"/>
    <w:rsid w:val="00E00902"/>
    <w:rsid w:val="00E00B1E"/>
    <w:rsid w:val="00E00C30"/>
    <w:rsid w:val="00E00C35"/>
    <w:rsid w:val="00E0127A"/>
    <w:rsid w:val="00E014F3"/>
    <w:rsid w:val="00E0226E"/>
    <w:rsid w:val="00E02B6D"/>
    <w:rsid w:val="00E02E26"/>
    <w:rsid w:val="00E03537"/>
    <w:rsid w:val="00E03B5C"/>
    <w:rsid w:val="00E03D3F"/>
    <w:rsid w:val="00E03E99"/>
    <w:rsid w:val="00E0407C"/>
    <w:rsid w:val="00E04254"/>
    <w:rsid w:val="00E045FC"/>
    <w:rsid w:val="00E04662"/>
    <w:rsid w:val="00E0483D"/>
    <w:rsid w:val="00E04909"/>
    <w:rsid w:val="00E04B2C"/>
    <w:rsid w:val="00E04BB1"/>
    <w:rsid w:val="00E052FE"/>
    <w:rsid w:val="00E053D9"/>
    <w:rsid w:val="00E05D72"/>
    <w:rsid w:val="00E06537"/>
    <w:rsid w:val="00E06D34"/>
    <w:rsid w:val="00E07259"/>
    <w:rsid w:val="00E074AA"/>
    <w:rsid w:val="00E0770F"/>
    <w:rsid w:val="00E07B36"/>
    <w:rsid w:val="00E10437"/>
    <w:rsid w:val="00E10B5B"/>
    <w:rsid w:val="00E110B0"/>
    <w:rsid w:val="00E1134C"/>
    <w:rsid w:val="00E11A71"/>
    <w:rsid w:val="00E11D01"/>
    <w:rsid w:val="00E11E19"/>
    <w:rsid w:val="00E126C0"/>
    <w:rsid w:val="00E12B37"/>
    <w:rsid w:val="00E12EDC"/>
    <w:rsid w:val="00E13171"/>
    <w:rsid w:val="00E13948"/>
    <w:rsid w:val="00E14105"/>
    <w:rsid w:val="00E14113"/>
    <w:rsid w:val="00E14190"/>
    <w:rsid w:val="00E14318"/>
    <w:rsid w:val="00E14416"/>
    <w:rsid w:val="00E1441E"/>
    <w:rsid w:val="00E148BA"/>
    <w:rsid w:val="00E14904"/>
    <w:rsid w:val="00E14A05"/>
    <w:rsid w:val="00E154F7"/>
    <w:rsid w:val="00E15803"/>
    <w:rsid w:val="00E15F43"/>
    <w:rsid w:val="00E1601A"/>
    <w:rsid w:val="00E161B8"/>
    <w:rsid w:val="00E1658A"/>
    <w:rsid w:val="00E16688"/>
    <w:rsid w:val="00E16A14"/>
    <w:rsid w:val="00E16AAA"/>
    <w:rsid w:val="00E17CD6"/>
    <w:rsid w:val="00E207C7"/>
    <w:rsid w:val="00E208F8"/>
    <w:rsid w:val="00E20CCE"/>
    <w:rsid w:val="00E216F2"/>
    <w:rsid w:val="00E21F56"/>
    <w:rsid w:val="00E2238E"/>
    <w:rsid w:val="00E2299D"/>
    <w:rsid w:val="00E230D1"/>
    <w:rsid w:val="00E23256"/>
    <w:rsid w:val="00E23C9E"/>
    <w:rsid w:val="00E23CFA"/>
    <w:rsid w:val="00E2426D"/>
    <w:rsid w:val="00E24550"/>
    <w:rsid w:val="00E245FF"/>
    <w:rsid w:val="00E2476A"/>
    <w:rsid w:val="00E24AD8"/>
    <w:rsid w:val="00E24C6F"/>
    <w:rsid w:val="00E2531A"/>
    <w:rsid w:val="00E258B1"/>
    <w:rsid w:val="00E258FA"/>
    <w:rsid w:val="00E25D42"/>
    <w:rsid w:val="00E25FF0"/>
    <w:rsid w:val="00E26DBC"/>
    <w:rsid w:val="00E26F97"/>
    <w:rsid w:val="00E274EC"/>
    <w:rsid w:val="00E2777D"/>
    <w:rsid w:val="00E27F01"/>
    <w:rsid w:val="00E30466"/>
    <w:rsid w:val="00E309F7"/>
    <w:rsid w:val="00E30D20"/>
    <w:rsid w:val="00E3161F"/>
    <w:rsid w:val="00E31B53"/>
    <w:rsid w:val="00E31E90"/>
    <w:rsid w:val="00E32182"/>
    <w:rsid w:val="00E327B5"/>
    <w:rsid w:val="00E32E80"/>
    <w:rsid w:val="00E33B3D"/>
    <w:rsid w:val="00E33C8E"/>
    <w:rsid w:val="00E33E20"/>
    <w:rsid w:val="00E3418E"/>
    <w:rsid w:val="00E344B8"/>
    <w:rsid w:val="00E34674"/>
    <w:rsid w:val="00E34BF8"/>
    <w:rsid w:val="00E34CE3"/>
    <w:rsid w:val="00E34D57"/>
    <w:rsid w:val="00E354AF"/>
    <w:rsid w:val="00E355D3"/>
    <w:rsid w:val="00E361C8"/>
    <w:rsid w:val="00E368CF"/>
    <w:rsid w:val="00E36B6E"/>
    <w:rsid w:val="00E36E42"/>
    <w:rsid w:val="00E36E68"/>
    <w:rsid w:val="00E375C4"/>
    <w:rsid w:val="00E3787D"/>
    <w:rsid w:val="00E37A28"/>
    <w:rsid w:val="00E37FD8"/>
    <w:rsid w:val="00E404E8"/>
    <w:rsid w:val="00E40D39"/>
    <w:rsid w:val="00E412FB"/>
    <w:rsid w:val="00E419E1"/>
    <w:rsid w:val="00E41AAB"/>
    <w:rsid w:val="00E41BCA"/>
    <w:rsid w:val="00E41DBB"/>
    <w:rsid w:val="00E41F77"/>
    <w:rsid w:val="00E4237D"/>
    <w:rsid w:val="00E42A0D"/>
    <w:rsid w:val="00E42FED"/>
    <w:rsid w:val="00E43174"/>
    <w:rsid w:val="00E43327"/>
    <w:rsid w:val="00E4357A"/>
    <w:rsid w:val="00E44870"/>
    <w:rsid w:val="00E44B8E"/>
    <w:rsid w:val="00E44BA8"/>
    <w:rsid w:val="00E44C97"/>
    <w:rsid w:val="00E44CA4"/>
    <w:rsid w:val="00E45064"/>
    <w:rsid w:val="00E45183"/>
    <w:rsid w:val="00E456F8"/>
    <w:rsid w:val="00E459E7"/>
    <w:rsid w:val="00E46462"/>
    <w:rsid w:val="00E4747F"/>
    <w:rsid w:val="00E47913"/>
    <w:rsid w:val="00E479B2"/>
    <w:rsid w:val="00E47E5A"/>
    <w:rsid w:val="00E50A67"/>
    <w:rsid w:val="00E51699"/>
    <w:rsid w:val="00E517E6"/>
    <w:rsid w:val="00E517F3"/>
    <w:rsid w:val="00E51833"/>
    <w:rsid w:val="00E51AAB"/>
    <w:rsid w:val="00E52B05"/>
    <w:rsid w:val="00E52D02"/>
    <w:rsid w:val="00E52DC8"/>
    <w:rsid w:val="00E5364B"/>
    <w:rsid w:val="00E53767"/>
    <w:rsid w:val="00E53D7C"/>
    <w:rsid w:val="00E54209"/>
    <w:rsid w:val="00E54826"/>
    <w:rsid w:val="00E54ABC"/>
    <w:rsid w:val="00E54F78"/>
    <w:rsid w:val="00E55066"/>
    <w:rsid w:val="00E55206"/>
    <w:rsid w:val="00E554F2"/>
    <w:rsid w:val="00E55FB6"/>
    <w:rsid w:val="00E5633C"/>
    <w:rsid w:val="00E565F5"/>
    <w:rsid w:val="00E5671B"/>
    <w:rsid w:val="00E567D5"/>
    <w:rsid w:val="00E56B07"/>
    <w:rsid w:val="00E56E75"/>
    <w:rsid w:val="00E57897"/>
    <w:rsid w:val="00E5789E"/>
    <w:rsid w:val="00E579B7"/>
    <w:rsid w:val="00E57D8C"/>
    <w:rsid w:val="00E6053E"/>
    <w:rsid w:val="00E6082A"/>
    <w:rsid w:val="00E60B1E"/>
    <w:rsid w:val="00E60EA2"/>
    <w:rsid w:val="00E60EFB"/>
    <w:rsid w:val="00E616DD"/>
    <w:rsid w:val="00E61AB1"/>
    <w:rsid w:val="00E61E62"/>
    <w:rsid w:val="00E621B9"/>
    <w:rsid w:val="00E6246E"/>
    <w:rsid w:val="00E62BFF"/>
    <w:rsid w:val="00E6300C"/>
    <w:rsid w:val="00E634CF"/>
    <w:rsid w:val="00E63B93"/>
    <w:rsid w:val="00E63CAE"/>
    <w:rsid w:val="00E63E54"/>
    <w:rsid w:val="00E64163"/>
    <w:rsid w:val="00E64577"/>
    <w:rsid w:val="00E64D42"/>
    <w:rsid w:val="00E65153"/>
    <w:rsid w:val="00E65B6A"/>
    <w:rsid w:val="00E65EEB"/>
    <w:rsid w:val="00E66062"/>
    <w:rsid w:val="00E664B7"/>
    <w:rsid w:val="00E668FA"/>
    <w:rsid w:val="00E670B8"/>
    <w:rsid w:val="00E6756A"/>
    <w:rsid w:val="00E675CA"/>
    <w:rsid w:val="00E6773F"/>
    <w:rsid w:val="00E677D0"/>
    <w:rsid w:val="00E67983"/>
    <w:rsid w:val="00E706BA"/>
    <w:rsid w:val="00E70C01"/>
    <w:rsid w:val="00E71167"/>
    <w:rsid w:val="00E715A0"/>
    <w:rsid w:val="00E71A1E"/>
    <w:rsid w:val="00E71CB7"/>
    <w:rsid w:val="00E71F34"/>
    <w:rsid w:val="00E7243E"/>
    <w:rsid w:val="00E7268D"/>
    <w:rsid w:val="00E727DC"/>
    <w:rsid w:val="00E72CB8"/>
    <w:rsid w:val="00E731A2"/>
    <w:rsid w:val="00E7338D"/>
    <w:rsid w:val="00E7341A"/>
    <w:rsid w:val="00E73589"/>
    <w:rsid w:val="00E735D9"/>
    <w:rsid w:val="00E73749"/>
    <w:rsid w:val="00E73DD5"/>
    <w:rsid w:val="00E74300"/>
    <w:rsid w:val="00E74483"/>
    <w:rsid w:val="00E749AB"/>
    <w:rsid w:val="00E749D7"/>
    <w:rsid w:val="00E7578A"/>
    <w:rsid w:val="00E767E8"/>
    <w:rsid w:val="00E76C54"/>
    <w:rsid w:val="00E7700F"/>
    <w:rsid w:val="00E77336"/>
    <w:rsid w:val="00E77768"/>
    <w:rsid w:val="00E77E63"/>
    <w:rsid w:val="00E77F2E"/>
    <w:rsid w:val="00E805AB"/>
    <w:rsid w:val="00E8099C"/>
    <w:rsid w:val="00E80B0A"/>
    <w:rsid w:val="00E80B81"/>
    <w:rsid w:val="00E80D9F"/>
    <w:rsid w:val="00E82312"/>
    <w:rsid w:val="00E82750"/>
    <w:rsid w:val="00E83A57"/>
    <w:rsid w:val="00E83E6C"/>
    <w:rsid w:val="00E841D1"/>
    <w:rsid w:val="00E849F3"/>
    <w:rsid w:val="00E84B50"/>
    <w:rsid w:val="00E858F2"/>
    <w:rsid w:val="00E859F6"/>
    <w:rsid w:val="00E85A2F"/>
    <w:rsid w:val="00E85F2D"/>
    <w:rsid w:val="00E86027"/>
    <w:rsid w:val="00E86159"/>
    <w:rsid w:val="00E863E0"/>
    <w:rsid w:val="00E8644C"/>
    <w:rsid w:val="00E87AFA"/>
    <w:rsid w:val="00E87BD7"/>
    <w:rsid w:val="00E90160"/>
    <w:rsid w:val="00E90B7B"/>
    <w:rsid w:val="00E913B7"/>
    <w:rsid w:val="00E91771"/>
    <w:rsid w:val="00E91B89"/>
    <w:rsid w:val="00E9244D"/>
    <w:rsid w:val="00E9309F"/>
    <w:rsid w:val="00E93195"/>
    <w:rsid w:val="00E934C1"/>
    <w:rsid w:val="00E9380D"/>
    <w:rsid w:val="00E93E08"/>
    <w:rsid w:val="00E93E5F"/>
    <w:rsid w:val="00E94179"/>
    <w:rsid w:val="00E94A4F"/>
    <w:rsid w:val="00E95081"/>
    <w:rsid w:val="00E96399"/>
    <w:rsid w:val="00E965BE"/>
    <w:rsid w:val="00E96728"/>
    <w:rsid w:val="00E968DC"/>
    <w:rsid w:val="00E97042"/>
    <w:rsid w:val="00E97267"/>
    <w:rsid w:val="00E97655"/>
    <w:rsid w:val="00E97BF0"/>
    <w:rsid w:val="00E97EBA"/>
    <w:rsid w:val="00EA025E"/>
    <w:rsid w:val="00EA0336"/>
    <w:rsid w:val="00EA034B"/>
    <w:rsid w:val="00EA03AB"/>
    <w:rsid w:val="00EA03D4"/>
    <w:rsid w:val="00EA055F"/>
    <w:rsid w:val="00EA061D"/>
    <w:rsid w:val="00EA0DCD"/>
    <w:rsid w:val="00EA127D"/>
    <w:rsid w:val="00EA1483"/>
    <w:rsid w:val="00EA1846"/>
    <w:rsid w:val="00EA1A79"/>
    <w:rsid w:val="00EA1B79"/>
    <w:rsid w:val="00EA20BF"/>
    <w:rsid w:val="00EA2A92"/>
    <w:rsid w:val="00EA2C6F"/>
    <w:rsid w:val="00EA35D1"/>
    <w:rsid w:val="00EA3AD5"/>
    <w:rsid w:val="00EA3CA7"/>
    <w:rsid w:val="00EA43D3"/>
    <w:rsid w:val="00EA4E8E"/>
    <w:rsid w:val="00EA4F90"/>
    <w:rsid w:val="00EA4FFF"/>
    <w:rsid w:val="00EA5244"/>
    <w:rsid w:val="00EA53CE"/>
    <w:rsid w:val="00EA5698"/>
    <w:rsid w:val="00EA5B6E"/>
    <w:rsid w:val="00EA5DD6"/>
    <w:rsid w:val="00EA646D"/>
    <w:rsid w:val="00EA6CE4"/>
    <w:rsid w:val="00EA7169"/>
    <w:rsid w:val="00EA766F"/>
    <w:rsid w:val="00EA7687"/>
    <w:rsid w:val="00EA7A72"/>
    <w:rsid w:val="00EA7AC7"/>
    <w:rsid w:val="00EA7D5C"/>
    <w:rsid w:val="00EB05ED"/>
    <w:rsid w:val="00EB114A"/>
    <w:rsid w:val="00EB11DB"/>
    <w:rsid w:val="00EB1B61"/>
    <w:rsid w:val="00EB25CA"/>
    <w:rsid w:val="00EB25D2"/>
    <w:rsid w:val="00EB29C5"/>
    <w:rsid w:val="00EB34B4"/>
    <w:rsid w:val="00EB3A34"/>
    <w:rsid w:val="00EB3B03"/>
    <w:rsid w:val="00EB534C"/>
    <w:rsid w:val="00EB6052"/>
    <w:rsid w:val="00EB6366"/>
    <w:rsid w:val="00EB648F"/>
    <w:rsid w:val="00EB6D01"/>
    <w:rsid w:val="00EB6E00"/>
    <w:rsid w:val="00EB702C"/>
    <w:rsid w:val="00EB7491"/>
    <w:rsid w:val="00EB7B65"/>
    <w:rsid w:val="00EB7F20"/>
    <w:rsid w:val="00EC0067"/>
    <w:rsid w:val="00EC0133"/>
    <w:rsid w:val="00EC057D"/>
    <w:rsid w:val="00EC0E1F"/>
    <w:rsid w:val="00EC0EC6"/>
    <w:rsid w:val="00EC159B"/>
    <w:rsid w:val="00EC17ED"/>
    <w:rsid w:val="00EC2506"/>
    <w:rsid w:val="00EC2962"/>
    <w:rsid w:val="00EC2A1C"/>
    <w:rsid w:val="00EC2D40"/>
    <w:rsid w:val="00EC2EE2"/>
    <w:rsid w:val="00EC30DE"/>
    <w:rsid w:val="00EC31DB"/>
    <w:rsid w:val="00EC32FE"/>
    <w:rsid w:val="00EC34DF"/>
    <w:rsid w:val="00EC35DE"/>
    <w:rsid w:val="00EC3D0F"/>
    <w:rsid w:val="00EC3D4E"/>
    <w:rsid w:val="00EC44DE"/>
    <w:rsid w:val="00EC4570"/>
    <w:rsid w:val="00EC497C"/>
    <w:rsid w:val="00EC4B3C"/>
    <w:rsid w:val="00EC4D2B"/>
    <w:rsid w:val="00EC50C8"/>
    <w:rsid w:val="00EC5550"/>
    <w:rsid w:val="00EC55EA"/>
    <w:rsid w:val="00EC57FB"/>
    <w:rsid w:val="00EC5D5F"/>
    <w:rsid w:val="00EC6712"/>
    <w:rsid w:val="00EC6755"/>
    <w:rsid w:val="00EC6F52"/>
    <w:rsid w:val="00EC70FF"/>
    <w:rsid w:val="00EC7268"/>
    <w:rsid w:val="00ED039C"/>
    <w:rsid w:val="00ED03B8"/>
    <w:rsid w:val="00ED11DF"/>
    <w:rsid w:val="00ED1247"/>
    <w:rsid w:val="00ED14FB"/>
    <w:rsid w:val="00ED153C"/>
    <w:rsid w:val="00ED234C"/>
    <w:rsid w:val="00ED29CD"/>
    <w:rsid w:val="00ED403E"/>
    <w:rsid w:val="00ED43D4"/>
    <w:rsid w:val="00ED44CA"/>
    <w:rsid w:val="00ED4902"/>
    <w:rsid w:val="00ED4A60"/>
    <w:rsid w:val="00ED52F9"/>
    <w:rsid w:val="00ED569D"/>
    <w:rsid w:val="00ED5737"/>
    <w:rsid w:val="00ED58A3"/>
    <w:rsid w:val="00ED63D5"/>
    <w:rsid w:val="00ED6769"/>
    <w:rsid w:val="00ED6C46"/>
    <w:rsid w:val="00ED6C7C"/>
    <w:rsid w:val="00ED6DE4"/>
    <w:rsid w:val="00ED75CB"/>
    <w:rsid w:val="00ED7F3A"/>
    <w:rsid w:val="00EE02A3"/>
    <w:rsid w:val="00EE03F3"/>
    <w:rsid w:val="00EE0452"/>
    <w:rsid w:val="00EE05B8"/>
    <w:rsid w:val="00EE125A"/>
    <w:rsid w:val="00EE1440"/>
    <w:rsid w:val="00EE1857"/>
    <w:rsid w:val="00EE27C8"/>
    <w:rsid w:val="00EE2886"/>
    <w:rsid w:val="00EE2ACA"/>
    <w:rsid w:val="00EE2C22"/>
    <w:rsid w:val="00EE31DF"/>
    <w:rsid w:val="00EE3ADA"/>
    <w:rsid w:val="00EE41F9"/>
    <w:rsid w:val="00EE423C"/>
    <w:rsid w:val="00EE427E"/>
    <w:rsid w:val="00EE437D"/>
    <w:rsid w:val="00EE4414"/>
    <w:rsid w:val="00EE491E"/>
    <w:rsid w:val="00EE4E8C"/>
    <w:rsid w:val="00EE52FC"/>
    <w:rsid w:val="00EE5606"/>
    <w:rsid w:val="00EE587E"/>
    <w:rsid w:val="00EE58D7"/>
    <w:rsid w:val="00EE5BD4"/>
    <w:rsid w:val="00EE6926"/>
    <w:rsid w:val="00EE6BB2"/>
    <w:rsid w:val="00EE6C4C"/>
    <w:rsid w:val="00EE6DD3"/>
    <w:rsid w:val="00EE6E77"/>
    <w:rsid w:val="00EE70FD"/>
    <w:rsid w:val="00EE7313"/>
    <w:rsid w:val="00EE7939"/>
    <w:rsid w:val="00EE79D8"/>
    <w:rsid w:val="00EE79F4"/>
    <w:rsid w:val="00EE7B26"/>
    <w:rsid w:val="00EE7D0A"/>
    <w:rsid w:val="00EF0035"/>
    <w:rsid w:val="00EF01CD"/>
    <w:rsid w:val="00EF0604"/>
    <w:rsid w:val="00EF0F9F"/>
    <w:rsid w:val="00EF1337"/>
    <w:rsid w:val="00EF1C67"/>
    <w:rsid w:val="00EF236E"/>
    <w:rsid w:val="00EF23AD"/>
    <w:rsid w:val="00EF2515"/>
    <w:rsid w:val="00EF26CD"/>
    <w:rsid w:val="00EF272B"/>
    <w:rsid w:val="00EF28F6"/>
    <w:rsid w:val="00EF2E49"/>
    <w:rsid w:val="00EF322C"/>
    <w:rsid w:val="00EF3505"/>
    <w:rsid w:val="00EF35CD"/>
    <w:rsid w:val="00EF39F0"/>
    <w:rsid w:val="00EF42D3"/>
    <w:rsid w:val="00EF4919"/>
    <w:rsid w:val="00EF4AB2"/>
    <w:rsid w:val="00EF4BBD"/>
    <w:rsid w:val="00EF520F"/>
    <w:rsid w:val="00EF554D"/>
    <w:rsid w:val="00EF5680"/>
    <w:rsid w:val="00EF5E6D"/>
    <w:rsid w:val="00EF5FEF"/>
    <w:rsid w:val="00EF64BB"/>
    <w:rsid w:val="00EF6A2D"/>
    <w:rsid w:val="00EF6C27"/>
    <w:rsid w:val="00EF6DD8"/>
    <w:rsid w:val="00EF714C"/>
    <w:rsid w:val="00EF7169"/>
    <w:rsid w:val="00EF71DF"/>
    <w:rsid w:val="00EF73BF"/>
    <w:rsid w:val="00EF7A0D"/>
    <w:rsid w:val="00EF7AD5"/>
    <w:rsid w:val="00F0011F"/>
    <w:rsid w:val="00F00F2D"/>
    <w:rsid w:val="00F00F74"/>
    <w:rsid w:val="00F0124D"/>
    <w:rsid w:val="00F01C19"/>
    <w:rsid w:val="00F01F64"/>
    <w:rsid w:val="00F02701"/>
    <w:rsid w:val="00F033D2"/>
    <w:rsid w:val="00F03445"/>
    <w:rsid w:val="00F0357B"/>
    <w:rsid w:val="00F035E6"/>
    <w:rsid w:val="00F03AC6"/>
    <w:rsid w:val="00F03D7D"/>
    <w:rsid w:val="00F05151"/>
    <w:rsid w:val="00F052F7"/>
    <w:rsid w:val="00F055E9"/>
    <w:rsid w:val="00F05FA2"/>
    <w:rsid w:val="00F06EC5"/>
    <w:rsid w:val="00F076DD"/>
    <w:rsid w:val="00F07A65"/>
    <w:rsid w:val="00F07C04"/>
    <w:rsid w:val="00F07D5C"/>
    <w:rsid w:val="00F10289"/>
    <w:rsid w:val="00F1047C"/>
    <w:rsid w:val="00F1063A"/>
    <w:rsid w:val="00F107CA"/>
    <w:rsid w:val="00F10AB6"/>
    <w:rsid w:val="00F10C7E"/>
    <w:rsid w:val="00F11069"/>
    <w:rsid w:val="00F111DD"/>
    <w:rsid w:val="00F111E9"/>
    <w:rsid w:val="00F1141B"/>
    <w:rsid w:val="00F11BBC"/>
    <w:rsid w:val="00F11CA4"/>
    <w:rsid w:val="00F11EE5"/>
    <w:rsid w:val="00F11FE1"/>
    <w:rsid w:val="00F1257F"/>
    <w:rsid w:val="00F125E9"/>
    <w:rsid w:val="00F12E9C"/>
    <w:rsid w:val="00F1355F"/>
    <w:rsid w:val="00F1379E"/>
    <w:rsid w:val="00F1469C"/>
    <w:rsid w:val="00F14775"/>
    <w:rsid w:val="00F15772"/>
    <w:rsid w:val="00F159AB"/>
    <w:rsid w:val="00F15F67"/>
    <w:rsid w:val="00F16058"/>
    <w:rsid w:val="00F1635F"/>
    <w:rsid w:val="00F16533"/>
    <w:rsid w:val="00F17C6E"/>
    <w:rsid w:val="00F17CCA"/>
    <w:rsid w:val="00F20313"/>
    <w:rsid w:val="00F20AD7"/>
    <w:rsid w:val="00F20E92"/>
    <w:rsid w:val="00F20ECF"/>
    <w:rsid w:val="00F20EDD"/>
    <w:rsid w:val="00F2123E"/>
    <w:rsid w:val="00F21719"/>
    <w:rsid w:val="00F22263"/>
    <w:rsid w:val="00F2233C"/>
    <w:rsid w:val="00F2284B"/>
    <w:rsid w:val="00F228D9"/>
    <w:rsid w:val="00F22960"/>
    <w:rsid w:val="00F22DF5"/>
    <w:rsid w:val="00F22F0F"/>
    <w:rsid w:val="00F22F60"/>
    <w:rsid w:val="00F238F6"/>
    <w:rsid w:val="00F23C7B"/>
    <w:rsid w:val="00F24231"/>
    <w:rsid w:val="00F246FE"/>
    <w:rsid w:val="00F24805"/>
    <w:rsid w:val="00F2486C"/>
    <w:rsid w:val="00F25561"/>
    <w:rsid w:val="00F255C2"/>
    <w:rsid w:val="00F258F9"/>
    <w:rsid w:val="00F25A2C"/>
    <w:rsid w:val="00F25ABD"/>
    <w:rsid w:val="00F2605D"/>
    <w:rsid w:val="00F26AA1"/>
    <w:rsid w:val="00F26C10"/>
    <w:rsid w:val="00F26F39"/>
    <w:rsid w:val="00F271F8"/>
    <w:rsid w:val="00F272EE"/>
    <w:rsid w:val="00F27E93"/>
    <w:rsid w:val="00F30DED"/>
    <w:rsid w:val="00F30E7E"/>
    <w:rsid w:val="00F31DF1"/>
    <w:rsid w:val="00F32168"/>
    <w:rsid w:val="00F32593"/>
    <w:rsid w:val="00F32702"/>
    <w:rsid w:val="00F327BD"/>
    <w:rsid w:val="00F327E3"/>
    <w:rsid w:val="00F3323C"/>
    <w:rsid w:val="00F336E7"/>
    <w:rsid w:val="00F33A3C"/>
    <w:rsid w:val="00F33A3D"/>
    <w:rsid w:val="00F343DB"/>
    <w:rsid w:val="00F348B8"/>
    <w:rsid w:val="00F349B0"/>
    <w:rsid w:val="00F35CA6"/>
    <w:rsid w:val="00F35F35"/>
    <w:rsid w:val="00F35F5F"/>
    <w:rsid w:val="00F3665E"/>
    <w:rsid w:val="00F36758"/>
    <w:rsid w:val="00F3686E"/>
    <w:rsid w:val="00F36BEA"/>
    <w:rsid w:val="00F36C37"/>
    <w:rsid w:val="00F36DCE"/>
    <w:rsid w:val="00F36DFD"/>
    <w:rsid w:val="00F377D8"/>
    <w:rsid w:val="00F37CDC"/>
    <w:rsid w:val="00F401A8"/>
    <w:rsid w:val="00F403B4"/>
    <w:rsid w:val="00F41172"/>
    <w:rsid w:val="00F41173"/>
    <w:rsid w:val="00F415DA"/>
    <w:rsid w:val="00F41934"/>
    <w:rsid w:val="00F41B37"/>
    <w:rsid w:val="00F41BCD"/>
    <w:rsid w:val="00F420E7"/>
    <w:rsid w:val="00F42111"/>
    <w:rsid w:val="00F4217E"/>
    <w:rsid w:val="00F43940"/>
    <w:rsid w:val="00F43EEE"/>
    <w:rsid w:val="00F44593"/>
    <w:rsid w:val="00F45021"/>
    <w:rsid w:val="00F45154"/>
    <w:rsid w:val="00F451DC"/>
    <w:rsid w:val="00F45394"/>
    <w:rsid w:val="00F46C61"/>
    <w:rsid w:val="00F475F4"/>
    <w:rsid w:val="00F47A0A"/>
    <w:rsid w:val="00F47AE1"/>
    <w:rsid w:val="00F47F3C"/>
    <w:rsid w:val="00F47F76"/>
    <w:rsid w:val="00F5032B"/>
    <w:rsid w:val="00F506B0"/>
    <w:rsid w:val="00F506EF"/>
    <w:rsid w:val="00F5098B"/>
    <w:rsid w:val="00F5164D"/>
    <w:rsid w:val="00F517F1"/>
    <w:rsid w:val="00F51DF8"/>
    <w:rsid w:val="00F51E74"/>
    <w:rsid w:val="00F52227"/>
    <w:rsid w:val="00F5229B"/>
    <w:rsid w:val="00F52641"/>
    <w:rsid w:val="00F52A8A"/>
    <w:rsid w:val="00F52C82"/>
    <w:rsid w:val="00F53187"/>
    <w:rsid w:val="00F531E9"/>
    <w:rsid w:val="00F53BB7"/>
    <w:rsid w:val="00F542B4"/>
    <w:rsid w:val="00F545CE"/>
    <w:rsid w:val="00F54988"/>
    <w:rsid w:val="00F54CFA"/>
    <w:rsid w:val="00F56170"/>
    <w:rsid w:val="00F56176"/>
    <w:rsid w:val="00F565C2"/>
    <w:rsid w:val="00F5703F"/>
    <w:rsid w:val="00F5705A"/>
    <w:rsid w:val="00F57F7E"/>
    <w:rsid w:val="00F60266"/>
    <w:rsid w:val="00F6065F"/>
    <w:rsid w:val="00F60A1F"/>
    <w:rsid w:val="00F60AEA"/>
    <w:rsid w:val="00F60B32"/>
    <w:rsid w:val="00F61071"/>
    <w:rsid w:val="00F61B04"/>
    <w:rsid w:val="00F61BE2"/>
    <w:rsid w:val="00F61D95"/>
    <w:rsid w:val="00F61FCC"/>
    <w:rsid w:val="00F62220"/>
    <w:rsid w:val="00F6272F"/>
    <w:rsid w:val="00F627E3"/>
    <w:rsid w:val="00F62DA2"/>
    <w:rsid w:val="00F630E0"/>
    <w:rsid w:val="00F63E6A"/>
    <w:rsid w:val="00F63E9E"/>
    <w:rsid w:val="00F644A7"/>
    <w:rsid w:val="00F646AB"/>
    <w:rsid w:val="00F6539A"/>
    <w:rsid w:val="00F65749"/>
    <w:rsid w:val="00F65B9F"/>
    <w:rsid w:val="00F65FEF"/>
    <w:rsid w:val="00F6635C"/>
    <w:rsid w:val="00F668F0"/>
    <w:rsid w:val="00F66D56"/>
    <w:rsid w:val="00F6714C"/>
    <w:rsid w:val="00F6750C"/>
    <w:rsid w:val="00F67A6F"/>
    <w:rsid w:val="00F7021C"/>
    <w:rsid w:val="00F70D1A"/>
    <w:rsid w:val="00F70E2C"/>
    <w:rsid w:val="00F71216"/>
    <w:rsid w:val="00F72952"/>
    <w:rsid w:val="00F72A9F"/>
    <w:rsid w:val="00F72B7A"/>
    <w:rsid w:val="00F72C79"/>
    <w:rsid w:val="00F72F3F"/>
    <w:rsid w:val="00F730A3"/>
    <w:rsid w:val="00F732E3"/>
    <w:rsid w:val="00F733E2"/>
    <w:rsid w:val="00F7372F"/>
    <w:rsid w:val="00F73B17"/>
    <w:rsid w:val="00F73D1D"/>
    <w:rsid w:val="00F74289"/>
    <w:rsid w:val="00F7469F"/>
    <w:rsid w:val="00F749F8"/>
    <w:rsid w:val="00F74E47"/>
    <w:rsid w:val="00F75138"/>
    <w:rsid w:val="00F75851"/>
    <w:rsid w:val="00F75AE6"/>
    <w:rsid w:val="00F75B5F"/>
    <w:rsid w:val="00F75E10"/>
    <w:rsid w:val="00F76C41"/>
    <w:rsid w:val="00F76CFD"/>
    <w:rsid w:val="00F76FB1"/>
    <w:rsid w:val="00F7709A"/>
    <w:rsid w:val="00F7736F"/>
    <w:rsid w:val="00F80480"/>
    <w:rsid w:val="00F80494"/>
    <w:rsid w:val="00F80A56"/>
    <w:rsid w:val="00F80EB1"/>
    <w:rsid w:val="00F815AD"/>
    <w:rsid w:val="00F81986"/>
    <w:rsid w:val="00F81A88"/>
    <w:rsid w:val="00F824B8"/>
    <w:rsid w:val="00F8260E"/>
    <w:rsid w:val="00F82725"/>
    <w:rsid w:val="00F82BB7"/>
    <w:rsid w:val="00F82D46"/>
    <w:rsid w:val="00F832C9"/>
    <w:rsid w:val="00F836CF"/>
    <w:rsid w:val="00F84261"/>
    <w:rsid w:val="00F845FA"/>
    <w:rsid w:val="00F84694"/>
    <w:rsid w:val="00F84BAA"/>
    <w:rsid w:val="00F850AF"/>
    <w:rsid w:val="00F851C5"/>
    <w:rsid w:val="00F854A1"/>
    <w:rsid w:val="00F855AA"/>
    <w:rsid w:val="00F85F12"/>
    <w:rsid w:val="00F863D6"/>
    <w:rsid w:val="00F86726"/>
    <w:rsid w:val="00F8679E"/>
    <w:rsid w:val="00F86BAA"/>
    <w:rsid w:val="00F86D69"/>
    <w:rsid w:val="00F871F5"/>
    <w:rsid w:val="00F8750C"/>
    <w:rsid w:val="00F87AF8"/>
    <w:rsid w:val="00F87F70"/>
    <w:rsid w:val="00F90075"/>
    <w:rsid w:val="00F900F3"/>
    <w:rsid w:val="00F908DF"/>
    <w:rsid w:val="00F90BE0"/>
    <w:rsid w:val="00F90C43"/>
    <w:rsid w:val="00F90D43"/>
    <w:rsid w:val="00F912C8"/>
    <w:rsid w:val="00F91447"/>
    <w:rsid w:val="00F9160D"/>
    <w:rsid w:val="00F9167B"/>
    <w:rsid w:val="00F91882"/>
    <w:rsid w:val="00F91E47"/>
    <w:rsid w:val="00F920CE"/>
    <w:rsid w:val="00F92222"/>
    <w:rsid w:val="00F92A3A"/>
    <w:rsid w:val="00F92A90"/>
    <w:rsid w:val="00F93059"/>
    <w:rsid w:val="00F930D1"/>
    <w:rsid w:val="00F93182"/>
    <w:rsid w:val="00F93E34"/>
    <w:rsid w:val="00F93ED3"/>
    <w:rsid w:val="00F94A45"/>
    <w:rsid w:val="00F95717"/>
    <w:rsid w:val="00F959AA"/>
    <w:rsid w:val="00F96237"/>
    <w:rsid w:val="00F964C2"/>
    <w:rsid w:val="00F96CA2"/>
    <w:rsid w:val="00F96E98"/>
    <w:rsid w:val="00F96FF7"/>
    <w:rsid w:val="00F97FCD"/>
    <w:rsid w:val="00FA0176"/>
    <w:rsid w:val="00FA02B8"/>
    <w:rsid w:val="00FA08B1"/>
    <w:rsid w:val="00FA10E2"/>
    <w:rsid w:val="00FA122D"/>
    <w:rsid w:val="00FA1532"/>
    <w:rsid w:val="00FA1601"/>
    <w:rsid w:val="00FA2307"/>
    <w:rsid w:val="00FA24A2"/>
    <w:rsid w:val="00FA2900"/>
    <w:rsid w:val="00FA2BB5"/>
    <w:rsid w:val="00FA3055"/>
    <w:rsid w:val="00FA3424"/>
    <w:rsid w:val="00FA343D"/>
    <w:rsid w:val="00FA4027"/>
    <w:rsid w:val="00FA46C7"/>
    <w:rsid w:val="00FA47A0"/>
    <w:rsid w:val="00FA487C"/>
    <w:rsid w:val="00FA4A12"/>
    <w:rsid w:val="00FA51A4"/>
    <w:rsid w:val="00FA5549"/>
    <w:rsid w:val="00FA5B4D"/>
    <w:rsid w:val="00FA5F84"/>
    <w:rsid w:val="00FA5FFE"/>
    <w:rsid w:val="00FA6639"/>
    <w:rsid w:val="00FA6761"/>
    <w:rsid w:val="00FA6AE4"/>
    <w:rsid w:val="00FA7060"/>
    <w:rsid w:val="00FA7284"/>
    <w:rsid w:val="00FA766A"/>
    <w:rsid w:val="00FA766E"/>
    <w:rsid w:val="00FA7B19"/>
    <w:rsid w:val="00FB001E"/>
    <w:rsid w:val="00FB0135"/>
    <w:rsid w:val="00FB097B"/>
    <w:rsid w:val="00FB12A1"/>
    <w:rsid w:val="00FB1332"/>
    <w:rsid w:val="00FB1448"/>
    <w:rsid w:val="00FB195B"/>
    <w:rsid w:val="00FB2065"/>
    <w:rsid w:val="00FB2752"/>
    <w:rsid w:val="00FB2C8E"/>
    <w:rsid w:val="00FB31BD"/>
    <w:rsid w:val="00FB32D9"/>
    <w:rsid w:val="00FB41A2"/>
    <w:rsid w:val="00FB4440"/>
    <w:rsid w:val="00FB5743"/>
    <w:rsid w:val="00FB5D07"/>
    <w:rsid w:val="00FB5F75"/>
    <w:rsid w:val="00FB6002"/>
    <w:rsid w:val="00FB62F3"/>
    <w:rsid w:val="00FB63E8"/>
    <w:rsid w:val="00FB653E"/>
    <w:rsid w:val="00FB6C07"/>
    <w:rsid w:val="00FB71CF"/>
    <w:rsid w:val="00FB7543"/>
    <w:rsid w:val="00FB799C"/>
    <w:rsid w:val="00FB7F40"/>
    <w:rsid w:val="00FC092C"/>
    <w:rsid w:val="00FC0EAC"/>
    <w:rsid w:val="00FC1408"/>
    <w:rsid w:val="00FC16B2"/>
    <w:rsid w:val="00FC17F9"/>
    <w:rsid w:val="00FC1841"/>
    <w:rsid w:val="00FC1D60"/>
    <w:rsid w:val="00FC1DF9"/>
    <w:rsid w:val="00FC21F1"/>
    <w:rsid w:val="00FC2A35"/>
    <w:rsid w:val="00FC34C5"/>
    <w:rsid w:val="00FC3B6C"/>
    <w:rsid w:val="00FC40C5"/>
    <w:rsid w:val="00FC431C"/>
    <w:rsid w:val="00FC4716"/>
    <w:rsid w:val="00FC47BB"/>
    <w:rsid w:val="00FC546A"/>
    <w:rsid w:val="00FC56EB"/>
    <w:rsid w:val="00FC5984"/>
    <w:rsid w:val="00FC5D37"/>
    <w:rsid w:val="00FC60D8"/>
    <w:rsid w:val="00FC652F"/>
    <w:rsid w:val="00FC67AE"/>
    <w:rsid w:val="00FC6F7D"/>
    <w:rsid w:val="00FC732E"/>
    <w:rsid w:val="00FC7360"/>
    <w:rsid w:val="00FC79E3"/>
    <w:rsid w:val="00FC7DAC"/>
    <w:rsid w:val="00FC7DE6"/>
    <w:rsid w:val="00FC7F48"/>
    <w:rsid w:val="00FC7FFC"/>
    <w:rsid w:val="00FD0637"/>
    <w:rsid w:val="00FD06D3"/>
    <w:rsid w:val="00FD1023"/>
    <w:rsid w:val="00FD11F6"/>
    <w:rsid w:val="00FD148F"/>
    <w:rsid w:val="00FD1650"/>
    <w:rsid w:val="00FD1A98"/>
    <w:rsid w:val="00FD1B7F"/>
    <w:rsid w:val="00FD3AE4"/>
    <w:rsid w:val="00FD3C02"/>
    <w:rsid w:val="00FD3FDF"/>
    <w:rsid w:val="00FD40F9"/>
    <w:rsid w:val="00FD41A5"/>
    <w:rsid w:val="00FD44D5"/>
    <w:rsid w:val="00FD4A6D"/>
    <w:rsid w:val="00FD4DB0"/>
    <w:rsid w:val="00FD5231"/>
    <w:rsid w:val="00FD528E"/>
    <w:rsid w:val="00FD591C"/>
    <w:rsid w:val="00FD5B6D"/>
    <w:rsid w:val="00FD5DF0"/>
    <w:rsid w:val="00FD6251"/>
    <w:rsid w:val="00FD6295"/>
    <w:rsid w:val="00FD6322"/>
    <w:rsid w:val="00FD6458"/>
    <w:rsid w:val="00FD6686"/>
    <w:rsid w:val="00FD6851"/>
    <w:rsid w:val="00FD6BE3"/>
    <w:rsid w:val="00FD6F05"/>
    <w:rsid w:val="00FD7106"/>
    <w:rsid w:val="00FD79BA"/>
    <w:rsid w:val="00FD7F11"/>
    <w:rsid w:val="00FE019D"/>
    <w:rsid w:val="00FE04E3"/>
    <w:rsid w:val="00FE0FBF"/>
    <w:rsid w:val="00FE103D"/>
    <w:rsid w:val="00FE15ED"/>
    <w:rsid w:val="00FE175E"/>
    <w:rsid w:val="00FE1C1F"/>
    <w:rsid w:val="00FE2291"/>
    <w:rsid w:val="00FE2839"/>
    <w:rsid w:val="00FE2DC5"/>
    <w:rsid w:val="00FE2F0D"/>
    <w:rsid w:val="00FE2F2C"/>
    <w:rsid w:val="00FE3546"/>
    <w:rsid w:val="00FE3D25"/>
    <w:rsid w:val="00FE3D84"/>
    <w:rsid w:val="00FE427E"/>
    <w:rsid w:val="00FE4328"/>
    <w:rsid w:val="00FE46FA"/>
    <w:rsid w:val="00FE473A"/>
    <w:rsid w:val="00FE5391"/>
    <w:rsid w:val="00FE56EE"/>
    <w:rsid w:val="00FE5E1F"/>
    <w:rsid w:val="00FE5E9D"/>
    <w:rsid w:val="00FE621E"/>
    <w:rsid w:val="00FE6560"/>
    <w:rsid w:val="00FE6A77"/>
    <w:rsid w:val="00FE7A79"/>
    <w:rsid w:val="00FE7F0E"/>
    <w:rsid w:val="00FE7F5D"/>
    <w:rsid w:val="00FF013A"/>
    <w:rsid w:val="00FF03CA"/>
    <w:rsid w:val="00FF03F6"/>
    <w:rsid w:val="00FF127E"/>
    <w:rsid w:val="00FF1590"/>
    <w:rsid w:val="00FF1665"/>
    <w:rsid w:val="00FF1E99"/>
    <w:rsid w:val="00FF2019"/>
    <w:rsid w:val="00FF250E"/>
    <w:rsid w:val="00FF2FF2"/>
    <w:rsid w:val="00FF35D7"/>
    <w:rsid w:val="00FF3684"/>
    <w:rsid w:val="00FF3967"/>
    <w:rsid w:val="00FF4539"/>
    <w:rsid w:val="00FF4542"/>
    <w:rsid w:val="00FF4A11"/>
    <w:rsid w:val="00FF4D9E"/>
    <w:rsid w:val="00FF553C"/>
    <w:rsid w:val="00FF5550"/>
    <w:rsid w:val="00FF5938"/>
    <w:rsid w:val="00FF5A43"/>
    <w:rsid w:val="00FF5D8D"/>
    <w:rsid w:val="00FF7406"/>
    <w:rsid w:val="00FF7542"/>
    <w:rsid w:val="00FF77A2"/>
    <w:rsid w:val="00FF782E"/>
    <w:rsid w:val="00FF7BC8"/>
    <w:rsid w:val="00FF7BE6"/>
    <w:rsid w:val="00FF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01B0"/>
  <w15:docId w15:val="{867422C4-4255-3547-8A1F-25CB6AAA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44"/>
    <w:pPr>
      <w:numPr>
        <w:numId w:val="2"/>
      </w:numPr>
      <w:spacing w:after="0" w:line="360" w:lineRule="auto"/>
      <w:ind w:left="0" w:firstLine="0"/>
      <w:jc w:val="both"/>
    </w:pPr>
    <w:rPr>
      <w:rFonts w:ascii="Times New Roman" w:hAnsi="Times New Roman"/>
      <w:sz w:val="24"/>
    </w:rPr>
  </w:style>
  <w:style w:type="paragraph" w:styleId="Titre1">
    <w:name w:val="heading 1"/>
    <w:basedOn w:val="Normal"/>
    <w:next w:val="Normal"/>
    <w:link w:val="Titre1Car"/>
    <w:uiPriority w:val="9"/>
    <w:qFormat/>
    <w:rsid w:val="00AB3B9E"/>
    <w:pPr>
      <w:keepNext/>
      <w:keepLines/>
      <w:numPr>
        <w:numId w:val="0"/>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33C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33C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333C5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33C5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33C52"/>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33C52"/>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33C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33C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2495D"/>
    <w:pPr>
      <w:spacing w:before="100" w:beforeAutospacing="1" w:after="100" w:afterAutospacing="1" w:line="240" w:lineRule="auto"/>
    </w:pPr>
    <w:rPr>
      <w:rFonts w:eastAsia="Times New Roman" w:cs="Times New Roman"/>
      <w:szCs w:val="24"/>
      <w:lang w:eastAsia="fr-FR"/>
    </w:rPr>
  </w:style>
  <w:style w:type="paragraph" w:styleId="Notedebasdepage">
    <w:name w:val="footnote text"/>
    <w:basedOn w:val="Normal"/>
    <w:link w:val="NotedebasdepageCar"/>
    <w:uiPriority w:val="99"/>
    <w:unhideWhenUsed/>
    <w:qFormat/>
    <w:rsid w:val="00B61B40"/>
    <w:pPr>
      <w:numPr>
        <w:numId w:val="0"/>
      </w:numPr>
      <w:spacing w:line="240" w:lineRule="auto"/>
    </w:pPr>
    <w:rPr>
      <w:sz w:val="20"/>
      <w:szCs w:val="20"/>
    </w:rPr>
  </w:style>
  <w:style w:type="character" w:customStyle="1" w:styleId="NotedebasdepageCar">
    <w:name w:val="Note de bas de page Car"/>
    <w:basedOn w:val="Policepardfaut"/>
    <w:link w:val="Notedebasdepage"/>
    <w:uiPriority w:val="99"/>
    <w:rsid w:val="00B61B40"/>
    <w:rPr>
      <w:rFonts w:ascii="Times New Roman" w:hAnsi="Times New Roman"/>
      <w:sz w:val="20"/>
      <w:szCs w:val="20"/>
    </w:rPr>
  </w:style>
  <w:style w:type="character" w:styleId="Appelnotedebasdep">
    <w:name w:val="footnote reference"/>
    <w:basedOn w:val="Policepardfaut"/>
    <w:unhideWhenUsed/>
    <w:rsid w:val="00570C10"/>
    <w:rPr>
      <w:vertAlign w:val="superscript"/>
    </w:rPr>
  </w:style>
  <w:style w:type="character" w:customStyle="1" w:styleId="Caractresdenotedebasdepage">
    <w:name w:val="Caractères de note de bas de page"/>
    <w:rsid w:val="0084741F"/>
  </w:style>
  <w:style w:type="character" w:customStyle="1" w:styleId="Grillecouleur-Accent1Car">
    <w:name w:val="Grille couleur - Accent 1 Car"/>
    <w:link w:val="Grillecouleur-Accent1"/>
    <w:uiPriority w:val="29"/>
    <w:rsid w:val="0084741F"/>
    <w:rPr>
      <w:rFonts w:eastAsia="Arial Unicode MS"/>
      <w:i/>
      <w:iCs/>
      <w:color w:val="000000"/>
      <w:kern w:val="1"/>
      <w:sz w:val="24"/>
      <w:szCs w:val="24"/>
    </w:rPr>
  </w:style>
  <w:style w:type="table" w:styleId="Grillecouleur-Accent1">
    <w:name w:val="Colorful Grid Accent 1"/>
    <w:basedOn w:val="TableauNormal"/>
    <w:link w:val="Grillecouleur-Accent1Car"/>
    <w:uiPriority w:val="29"/>
    <w:rsid w:val="0084741F"/>
    <w:pPr>
      <w:spacing w:after="0" w:line="240" w:lineRule="auto"/>
    </w:pPr>
    <w:rPr>
      <w:rFonts w:eastAsia="Arial Unicode MS"/>
      <w:i/>
      <w:iCs/>
      <w:color w:val="000000"/>
      <w:kern w:val="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ansinterligne">
    <w:name w:val="No Spacing"/>
    <w:aliases w:val="CITATION"/>
    <w:basedOn w:val="Normal"/>
    <w:autoRedefine/>
    <w:uiPriority w:val="1"/>
    <w:qFormat/>
    <w:rsid w:val="009161B8"/>
    <w:pPr>
      <w:numPr>
        <w:numId w:val="0"/>
      </w:numPr>
      <w:spacing w:line="240" w:lineRule="auto"/>
      <w:ind w:left="567"/>
    </w:pPr>
    <w:rPr>
      <w:lang w:eastAsia="fr-FR"/>
    </w:rPr>
  </w:style>
  <w:style w:type="paragraph" w:styleId="Paragraphedeliste">
    <w:name w:val="List Paragraph"/>
    <w:basedOn w:val="Normal"/>
    <w:uiPriority w:val="34"/>
    <w:qFormat/>
    <w:rsid w:val="00AB3B9E"/>
    <w:pPr>
      <w:numPr>
        <w:numId w:val="0"/>
      </w:numPr>
      <w:contextualSpacing/>
    </w:pPr>
  </w:style>
  <w:style w:type="paragraph" w:styleId="En-tte">
    <w:name w:val="header"/>
    <w:basedOn w:val="Normal"/>
    <w:link w:val="En-tteCar"/>
    <w:uiPriority w:val="99"/>
    <w:unhideWhenUsed/>
    <w:rsid w:val="009161B8"/>
    <w:pPr>
      <w:numPr>
        <w:numId w:val="0"/>
      </w:numPr>
      <w:tabs>
        <w:tab w:val="center" w:pos="4536"/>
        <w:tab w:val="right" w:pos="9072"/>
      </w:tabs>
      <w:spacing w:line="240" w:lineRule="auto"/>
    </w:pPr>
  </w:style>
  <w:style w:type="character" w:customStyle="1" w:styleId="En-tteCar">
    <w:name w:val="En-tête Car"/>
    <w:basedOn w:val="Policepardfaut"/>
    <w:link w:val="En-tte"/>
    <w:uiPriority w:val="99"/>
    <w:rsid w:val="001D3FDD"/>
    <w:rPr>
      <w:rFonts w:ascii="Times New Roman" w:hAnsi="Times New Roman"/>
      <w:sz w:val="24"/>
    </w:rPr>
  </w:style>
  <w:style w:type="paragraph" w:styleId="Pieddepage">
    <w:name w:val="footer"/>
    <w:basedOn w:val="Normal"/>
    <w:link w:val="PieddepageCar"/>
    <w:uiPriority w:val="99"/>
    <w:unhideWhenUsed/>
    <w:rsid w:val="009161B8"/>
    <w:pPr>
      <w:numPr>
        <w:numId w:val="0"/>
      </w:numPr>
      <w:tabs>
        <w:tab w:val="center" w:pos="4536"/>
        <w:tab w:val="right" w:pos="9072"/>
      </w:tabs>
      <w:spacing w:line="240" w:lineRule="auto"/>
    </w:pPr>
  </w:style>
  <w:style w:type="character" w:customStyle="1" w:styleId="PieddepageCar">
    <w:name w:val="Pied de page Car"/>
    <w:basedOn w:val="Policepardfaut"/>
    <w:link w:val="Pieddepage"/>
    <w:uiPriority w:val="99"/>
    <w:rsid w:val="001D3FDD"/>
    <w:rPr>
      <w:rFonts w:ascii="Times New Roman" w:hAnsi="Times New Roman"/>
      <w:sz w:val="24"/>
    </w:rPr>
  </w:style>
  <w:style w:type="paragraph" w:styleId="Textedebulles">
    <w:name w:val="Balloon Text"/>
    <w:basedOn w:val="Normal"/>
    <w:link w:val="TextedebullesCar"/>
    <w:uiPriority w:val="99"/>
    <w:semiHidden/>
    <w:unhideWhenUsed/>
    <w:rsid w:val="001D3F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FDD"/>
    <w:rPr>
      <w:rFonts w:ascii="Tahoma" w:hAnsi="Tahoma" w:cs="Tahoma"/>
      <w:sz w:val="16"/>
      <w:szCs w:val="16"/>
    </w:rPr>
  </w:style>
  <w:style w:type="character" w:styleId="Lienhypertexte">
    <w:name w:val="Hyperlink"/>
    <w:basedOn w:val="Policepardfaut"/>
    <w:uiPriority w:val="99"/>
    <w:unhideWhenUsed/>
    <w:rsid w:val="00FE7A79"/>
    <w:rPr>
      <w:color w:val="0000FF" w:themeColor="hyperlink"/>
      <w:u w:val="single"/>
    </w:rPr>
  </w:style>
  <w:style w:type="character" w:styleId="Lienhypertextesuivivisit">
    <w:name w:val="FollowedHyperlink"/>
    <w:basedOn w:val="Policepardfaut"/>
    <w:uiPriority w:val="99"/>
    <w:semiHidden/>
    <w:unhideWhenUsed/>
    <w:rsid w:val="00865582"/>
    <w:rPr>
      <w:color w:val="800080" w:themeColor="followedHyperlink"/>
      <w:u w:val="single"/>
    </w:rPr>
  </w:style>
  <w:style w:type="paragraph" w:styleId="PrformatHTML">
    <w:name w:val="HTML Preformatted"/>
    <w:basedOn w:val="Normal"/>
    <w:link w:val="PrformatHTMLCar"/>
    <w:uiPriority w:val="99"/>
    <w:semiHidden/>
    <w:unhideWhenUsed/>
    <w:rsid w:val="00AC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C0D82"/>
    <w:rPr>
      <w:rFonts w:ascii="Courier New" w:eastAsia="Times New Roman" w:hAnsi="Courier New" w:cs="Courier New"/>
      <w:sz w:val="20"/>
      <w:szCs w:val="20"/>
      <w:lang w:eastAsia="fr-FR"/>
    </w:rPr>
  </w:style>
  <w:style w:type="paragraph" w:customStyle="1" w:styleId="THESESection">
    <w:name w:val="THESE Section"/>
    <w:basedOn w:val="Normal"/>
    <w:link w:val="THESESectionCar"/>
    <w:autoRedefine/>
    <w:qFormat/>
    <w:rsid w:val="002909DF"/>
    <w:pPr>
      <w:numPr>
        <w:numId w:val="0"/>
      </w:numPr>
      <w:spacing w:line="240" w:lineRule="auto"/>
      <w:outlineLvl w:val="3"/>
    </w:pPr>
    <w:rPr>
      <w:rFonts w:eastAsia="Times New Roman" w:cs="Times New Roman"/>
      <w:b/>
      <w:smallCaps/>
      <w:szCs w:val="24"/>
      <w:u w:val="single"/>
      <w:lang w:eastAsia="fr-FR"/>
    </w:rPr>
  </w:style>
  <w:style w:type="paragraph" w:customStyle="1" w:styleId="THESEI">
    <w:name w:val="THESE I"/>
    <w:aliases w:val="II,III"/>
    <w:basedOn w:val="THESESection"/>
    <w:link w:val="THESEICar"/>
    <w:autoRedefine/>
    <w:qFormat/>
    <w:rsid w:val="002909DF"/>
    <w:pPr>
      <w:outlineLvl w:val="4"/>
    </w:pPr>
    <w:rPr>
      <w:smallCaps w:val="0"/>
    </w:rPr>
  </w:style>
  <w:style w:type="paragraph" w:customStyle="1" w:styleId="THESEChapitre">
    <w:name w:val="THESE Chapitre"/>
    <w:basedOn w:val="THESESection"/>
    <w:link w:val="THESEChapitreCar"/>
    <w:autoRedefine/>
    <w:qFormat/>
    <w:rsid w:val="00B05CF3"/>
    <w:pPr>
      <w:jc w:val="center"/>
      <w:outlineLvl w:val="2"/>
    </w:pPr>
    <w:rPr>
      <w:sz w:val="32"/>
      <w:u w:val="none"/>
    </w:rPr>
  </w:style>
  <w:style w:type="paragraph" w:customStyle="1" w:styleId="THESETitre">
    <w:name w:val="THESE Titre"/>
    <w:basedOn w:val="THESEChapitre"/>
    <w:link w:val="THESETitreCar"/>
    <w:autoRedefine/>
    <w:qFormat/>
    <w:rsid w:val="00BF5F2C"/>
    <w:rPr>
      <w:sz w:val="36"/>
    </w:rPr>
  </w:style>
  <w:style w:type="paragraph" w:customStyle="1" w:styleId="THESEPARTIE">
    <w:name w:val="THESE PARTIE"/>
    <w:basedOn w:val="THESETitre"/>
    <w:link w:val="THESEPARTIECar"/>
    <w:autoRedefine/>
    <w:qFormat/>
    <w:rsid w:val="002909DF"/>
    <w:pPr>
      <w:outlineLvl w:val="0"/>
    </w:pPr>
    <w:rPr>
      <w:caps/>
      <w:smallCaps w:val="0"/>
      <w:sz w:val="40"/>
    </w:rPr>
  </w:style>
  <w:style w:type="paragraph" w:customStyle="1" w:styleId="THESEAMaju">
    <w:name w:val="THESE A Maju"/>
    <w:basedOn w:val="THESEI"/>
    <w:link w:val="THESEAMajuCar"/>
    <w:autoRedefine/>
    <w:qFormat/>
    <w:rsid w:val="00B308D2"/>
    <w:pPr>
      <w:outlineLvl w:val="5"/>
    </w:pPr>
    <w:rPr>
      <w:u w:val="none"/>
    </w:rPr>
  </w:style>
  <w:style w:type="paragraph" w:customStyle="1" w:styleId="THESE1">
    <w:name w:val="THESE 1"/>
    <w:aliases w:val="2,3"/>
    <w:basedOn w:val="THESEAMaju"/>
    <w:link w:val="THESE1Car"/>
    <w:autoRedefine/>
    <w:qFormat/>
    <w:rsid w:val="00FC2A35"/>
    <w:pPr>
      <w:ind w:left="851"/>
      <w:outlineLvl w:val="6"/>
    </w:pPr>
    <w:rPr>
      <w:b w:val="0"/>
      <w:u w:val="single"/>
    </w:rPr>
  </w:style>
  <w:style w:type="paragraph" w:customStyle="1" w:styleId="THESEa">
    <w:name w:val="THESE a"/>
    <w:aliases w:val="b,c"/>
    <w:basedOn w:val="THESE1"/>
    <w:link w:val="THESEaCar"/>
    <w:autoRedefine/>
    <w:qFormat/>
    <w:rsid w:val="002909DF"/>
    <w:pPr>
      <w:ind w:left="2268"/>
      <w:outlineLvl w:val="7"/>
    </w:pPr>
    <w:rPr>
      <w:i/>
      <w:u w:val="none"/>
    </w:rPr>
  </w:style>
  <w:style w:type="paragraph" w:customStyle="1" w:styleId="Standard">
    <w:name w:val="Standard"/>
    <w:rsid w:val="0083431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Footnote">
    <w:name w:val="Footnote"/>
    <w:basedOn w:val="Standard"/>
    <w:rsid w:val="0083431F"/>
    <w:pPr>
      <w:suppressLineNumbers/>
      <w:ind w:left="339" w:hanging="339"/>
      <w:jc w:val="both"/>
    </w:pPr>
    <w:rPr>
      <w:rFonts w:ascii="Times New Roman" w:eastAsia="Times New Roman" w:hAnsi="Times New Roman" w:cs="Times New Roman"/>
      <w:sz w:val="20"/>
      <w:szCs w:val="20"/>
    </w:rPr>
  </w:style>
  <w:style w:type="paragraph" w:customStyle="1" w:styleId="THSection">
    <w:name w:val="TH Section"/>
    <w:basedOn w:val="Normal"/>
    <w:link w:val="THSectionCar"/>
    <w:rsid w:val="00495D69"/>
    <w:pPr>
      <w:spacing w:after="200" w:line="276" w:lineRule="auto"/>
      <w:jc w:val="left"/>
    </w:pPr>
  </w:style>
  <w:style w:type="character" w:customStyle="1" w:styleId="THSectionCar">
    <w:name w:val="TH Section Car"/>
    <w:basedOn w:val="Policepardfaut"/>
    <w:link w:val="THSection"/>
    <w:rsid w:val="00495D69"/>
    <w:rPr>
      <w:rFonts w:ascii="Times New Roman" w:hAnsi="Times New Roman"/>
      <w:sz w:val="24"/>
    </w:rPr>
  </w:style>
  <w:style w:type="character" w:styleId="lev">
    <w:name w:val="Strong"/>
    <w:aliases w:val="Gras"/>
    <w:qFormat/>
    <w:rsid w:val="00355449"/>
    <w:rPr>
      <w:b/>
      <w:bCs/>
    </w:rPr>
  </w:style>
  <w:style w:type="character" w:styleId="Accentuation">
    <w:name w:val="Emphasis"/>
    <w:qFormat/>
    <w:rsid w:val="002514FB"/>
    <w:rPr>
      <w:i/>
      <w:iCs/>
    </w:rPr>
  </w:style>
  <w:style w:type="paragraph" w:customStyle="1" w:styleId="sdfootnote">
    <w:name w:val="sdfootnote"/>
    <w:basedOn w:val="Normal"/>
    <w:rsid w:val="009161B8"/>
    <w:pPr>
      <w:numPr>
        <w:numId w:val="0"/>
      </w:numPr>
      <w:spacing w:before="100" w:beforeAutospacing="1" w:line="240" w:lineRule="auto"/>
      <w:jc w:val="left"/>
    </w:pPr>
    <w:rPr>
      <w:rFonts w:eastAsia="Times New Roman" w:cs="Times New Roman"/>
      <w:sz w:val="20"/>
      <w:szCs w:val="20"/>
      <w:lang w:eastAsia="fr-FR"/>
    </w:rPr>
  </w:style>
  <w:style w:type="character" w:customStyle="1" w:styleId="st">
    <w:name w:val="st"/>
    <w:basedOn w:val="Policepardfaut"/>
    <w:rsid w:val="00422E03"/>
  </w:style>
  <w:style w:type="character" w:customStyle="1" w:styleId="Titre1Car">
    <w:name w:val="Titre 1 Car"/>
    <w:basedOn w:val="Policepardfaut"/>
    <w:link w:val="Titre1"/>
    <w:uiPriority w:val="9"/>
    <w:rsid w:val="008D14B4"/>
    <w:rPr>
      <w:rFonts w:asciiTheme="majorHAnsi" w:eastAsiaTheme="majorEastAsia" w:hAnsiTheme="majorHAnsi" w:cstheme="majorBidi"/>
      <w:color w:val="365F91" w:themeColor="accent1" w:themeShade="BF"/>
      <w:sz w:val="32"/>
      <w:szCs w:val="32"/>
    </w:rPr>
  </w:style>
  <w:style w:type="paragraph" w:styleId="Rvision">
    <w:name w:val="Revision"/>
    <w:hidden/>
    <w:uiPriority w:val="99"/>
    <w:semiHidden/>
    <w:rsid w:val="0013746F"/>
    <w:pPr>
      <w:spacing w:after="0" w:line="240" w:lineRule="auto"/>
    </w:pPr>
    <w:rPr>
      <w:rFonts w:ascii="Times New Roman" w:hAnsi="Times New Roman"/>
      <w:sz w:val="24"/>
    </w:rPr>
  </w:style>
  <w:style w:type="paragraph" w:customStyle="1" w:styleId="THESEChapitre1">
    <w:name w:val="THESE Chapitre1"/>
    <w:basedOn w:val="THESESection"/>
    <w:rsid w:val="00AB3B9E"/>
    <w:pPr>
      <w:jc w:val="center"/>
    </w:pPr>
    <w:rPr>
      <w:sz w:val="32"/>
      <w:u w:val="none"/>
    </w:rPr>
  </w:style>
  <w:style w:type="paragraph" w:customStyle="1" w:styleId="THESETitre1">
    <w:name w:val="THESE Titre1"/>
    <w:basedOn w:val="THESEChapitre"/>
    <w:link w:val="THESETitre1Car"/>
    <w:rsid w:val="00866F4A"/>
    <w:rPr>
      <w:sz w:val="36"/>
    </w:rPr>
  </w:style>
  <w:style w:type="paragraph" w:customStyle="1" w:styleId="THESEPARTIE1">
    <w:name w:val="THESE PARTIE1"/>
    <w:basedOn w:val="THESETitre"/>
    <w:rsid w:val="00AB3B9E"/>
    <w:rPr>
      <w:caps/>
      <w:smallCaps w:val="0"/>
      <w:sz w:val="40"/>
    </w:rPr>
  </w:style>
  <w:style w:type="paragraph" w:styleId="Titre">
    <w:name w:val="Title"/>
    <w:basedOn w:val="Normal"/>
    <w:next w:val="Normal"/>
    <w:link w:val="TitreCar"/>
    <w:uiPriority w:val="10"/>
    <w:qFormat/>
    <w:rsid w:val="00AB3B9E"/>
    <w:pPr>
      <w:numPr>
        <w:numId w:val="0"/>
      </w:num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01489"/>
    <w:rPr>
      <w:rFonts w:asciiTheme="majorHAnsi" w:eastAsiaTheme="majorEastAsia" w:hAnsiTheme="majorHAnsi" w:cstheme="majorBidi"/>
      <w:color w:val="17365D" w:themeColor="text2" w:themeShade="BF"/>
      <w:spacing w:val="5"/>
      <w:kern w:val="28"/>
      <w:sz w:val="52"/>
      <w:szCs w:val="52"/>
    </w:rPr>
  </w:style>
  <w:style w:type="character" w:customStyle="1" w:styleId="Mention1">
    <w:name w:val="Mention1"/>
    <w:basedOn w:val="Policepardfaut"/>
    <w:uiPriority w:val="99"/>
    <w:semiHidden/>
    <w:unhideWhenUsed/>
    <w:rsid w:val="001439B6"/>
    <w:rPr>
      <w:color w:val="2B579A"/>
      <w:shd w:val="clear" w:color="auto" w:fill="E6E6E6"/>
    </w:rPr>
  </w:style>
  <w:style w:type="character" w:customStyle="1" w:styleId="Mentionnonrsolue1">
    <w:name w:val="Mention non résolue1"/>
    <w:basedOn w:val="Policepardfaut"/>
    <w:uiPriority w:val="99"/>
    <w:semiHidden/>
    <w:unhideWhenUsed/>
    <w:rsid w:val="0038122A"/>
    <w:rPr>
      <w:color w:val="808080"/>
      <w:shd w:val="clear" w:color="auto" w:fill="E6E6E6"/>
    </w:rPr>
  </w:style>
  <w:style w:type="character" w:styleId="Numrodeligne">
    <w:name w:val="line number"/>
    <w:basedOn w:val="Policepardfaut"/>
    <w:uiPriority w:val="99"/>
    <w:semiHidden/>
    <w:unhideWhenUsed/>
    <w:rsid w:val="00AB3B9E"/>
  </w:style>
  <w:style w:type="character" w:customStyle="1" w:styleId="fontstyle01">
    <w:name w:val="fontstyle01"/>
    <w:basedOn w:val="Policepardfaut"/>
    <w:rsid w:val="00D61F3B"/>
    <w:rPr>
      <w:rFonts w:ascii="Times New Roman" w:hAnsi="Times New Roman" w:cs="Times New Roman" w:hint="default"/>
      <w:b w:val="0"/>
      <w:bCs w:val="0"/>
      <w:i w:val="0"/>
      <w:iCs w:val="0"/>
      <w:color w:val="000000"/>
      <w:sz w:val="20"/>
      <w:szCs w:val="20"/>
    </w:rPr>
  </w:style>
  <w:style w:type="character" w:customStyle="1" w:styleId="documentfirstua">
    <w:name w:val="documentfirstua"/>
    <w:basedOn w:val="Policepardfaut"/>
    <w:rsid w:val="00572991"/>
  </w:style>
  <w:style w:type="character" w:styleId="Mentionnonrsolue">
    <w:name w:val="Unresolved Mention"/>
    <w:basedOn w:val="Policepardfaut"/>
    <w:uiPriority w:val="99"/>
    <w:semiHidden/>
    <w:unhideWhenUsed/>
    <w:rsid w:val="000530B2"/>
    <w:rPr>
      <w:color w:val="808080"/>
      <w:shd w:val="clear" w:color="auto" w:fill="E6E6E6"/>
    </w:rPr>
  </w:style>
  <w:style w:type="paragraph" w:styleId="En-ttedetabledesmatires">
    <w:name w:val="TOC Heading"/>
    <w:basedOn w:val="Titre1"/>
    <w:next w:val="Normal"/>
    <w:uiPriority w:val="39"/>
    <w:unhideWhenUsed/>
    <w:qFormat/>
    <w:rsid w:val="002F0989"/>
    <w:pPr>
      <w:spacing w:line="259" w:lineRule="auto"/>
      <w:jc w:val="left"/>
      <w:outlineLvl w:val="9"/>
    </w:pPr>
    <w:rPr>
      <w:lang w:eastAsia="fr-FR"/>
    </w:rPr>
  </w:style>
  <w:style w:type="character" w:customStyle="1" w:styleId="Titre9Car">
    <w:name w:val="Titre 9 Car"/>
    <w:basedOn w:val="Policepardfaut"/>
    <w:link w:val="Titre9"/>
    <w:uiPriority w:val="9"/>
    <w:semiHidden/>
    <w:rsid w:val="00333C52"/>
    <w:rPr>
      <w:rFonts w:asciiTheme="majorHAnsi" w:eastAsiaTheme="majorEastAsia" w:hAnsiTheme="majorHAnsi" w:cstheme="majorBidi"/>
      <w:i/>
      <w:iCs/>
      <w:color w:val="272727" w:themeColor="text1" w:themeTint="D8"/>
      <w:sz w:val="21"/>
      <w:szCs w:val="21"/>
    </w:rPr>
  </w:style>
  <w:style w:type="character" w:customStyle="1" w:styleId="Titre8Car">
    <w:name w:val="Titre 8 Car"/>
    <w:basedOn w:val="Policepardfaut"/>
    <w:link w:val="Titre8"/>
    <w:uiPriority w:val="9"/>
    <w:semiHidden/>
    <w:rsid w:val="00333C52"/>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semiHidden/>
    <w:rsid w:val="00333C52"/>
    <w:rPr>
      <w:rFonts w:asciiTheme="majorHAnsi" w:eastAsiaTheme="majorEastAsia" w:hAnsiTheme="majorHAnsi" w:cstheme="majorBidi"/>
      <w:i/>
      <w:iCs/>
      <w:color w:val="243F60" w:themeColor="accent1" w:themeShade="7F"/>
      <w:sz w:val="24"/>
    </w:rPr>
  </w:style>
  <w:style w:type="character" w:customStyle="1" w:styleId="Titre6Car">
    <w:name w:val="Titre 6 Car"/>
    <w:basedOn w:val="Policepardfaut"/>
    <w:link w:val="Titre6"/>
    <w:uiPriority w:val="9"/>
    <w:semiHidden/>
    <w:rsid w:val="00333C52"/>
    <w:rPr>
      <w:rFonts w:asciiTheme="majorHAnsi" w:eastAsiaTheme="majorEastAsia" w:hAnsiTheme="majorHAnsi" w:cstheme="majorBidi"/>
      <w:color w:val="243F60" w:themeColor="accent1" w:themeShade="7F"/>
      <w:sz w:val="24"/>
    </w:rPr>
  </w:style>
  <w:style w:type="character" w:customStyle="1" w:styleId="Titre5Car">
    <w:name w:val="Titre 5 Car"/>
    <w:basedOn w:val="Policepardfaut"/>
    <w:link w:val="Titre5"/>
    <w:uiPriority w:val="9"/>
    <w:semiHidden/>
    <w:rsid w:val="00333C52"/>
    <w:rPr>
      <w:rFonts w:asciiTheme="majorHAnsi" w:eastAsiaTheme="majorEastAsia" w:hAnsiTheme="majorHAnsi" w:cstheme="majorBidi"/>
      <w:color w:val="365F91" w:themeColor="accent1" w:themeShade="BF"/>
      <w:sz w:val="24"/>
    </w:rPr>
  </w:style>
  <w:style w:type="character" w:customStyle="1" w:styleId="Titre4Car">
    <w:name w:val="Titre 4 Car"/>
    <w:basedOn w:val="Policepardfaut"/>
    <w:link w:val="Titre4"/>
    <w:uiPriority w:val="9"/>
    <w:semiHidden/>
    <w:rsid w:val="00333C52"/>
    <w:rPr>
      <w:rFonts w:asciiTheme="majorHAnsi" w:eastAsiaTheme="majorEastAsia" w:hAnsiTheme="majorHAnsi" w:cstheme="majorBidi"/>
      <w:i/>
      <w:iCs/>
      <w:color w:val="365F91" w:themeColor="accent1" w:themeShade="BF"/>
      <w:sz w:val="24"/>
    </w:rPr>
  </w:style>
  <w:style w:type="character" w:customStyle="1" w:styleId="Titre3Car">
    <w:name w:val="Titre 3 Car"/>
    <w:basedOn w:val="Policepardfaut"/>
    <w:link w:val="Titre3"/>
    <w:uiPriority w:val="9"/>
    <w:rsid w:val="00333C52"/>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rsid w:val="00333C52"/>
    <w:rPr>
      <w:rFonts w:asciiTheme="majorHAnsi" w:eastAsiaTheme="majorEastAsia" w:hAnsiTheme="majorHAnsi" w:cstheme="majorBidi"/>
      <w:color w:val="365F91" w:themeColor="accent1" w:themeShade="BF"/>
      <w:sz w:val="26"/>
      <w:szCs w:val="26"/>
    </w:rPr>
  </w:style>
  <w:style w:type="paragraph" w:styleId="TM2">
    <w:name w:val="toc 2"/>
    <w:next w:val="Footnote"/>
    <w:autoRedefine/>
    <w:uiPriority w:val="39"/>
    <w:unhideWhenUsed/>
    <w:rsid w:val="00054A9F"/>
    <w:pPr>
      <w:spacing w:before="240" w:after="120" w:line="360" w:lineRule="auto"/>
      <w:ind w:left="227"/>
      <w:jc w:val="both"/>
    </w:pPr>
    <w:rPr>
      <w:rFonts w:ascii="Times" w:hAnsi="Times" w:cs="Calibri (Corps)"/>
      <w:iCs/>
      <w:caps/>
      <w:sz w:val="24"/>
      <w:szCs w:val="20"/>
    </w:rPr>
  </w:style>
  <w:style w:type="paragraph" w:styleId="TM3">
    <w:name w:val="toc 3"/>
    <w:next w:val="Footnote"/>
    <w:autoRedefine/>
    <w:uiPriority w:val="39"/>
    <w:unhideWhenUsed/>
    <w:rsid w:val="00054A9F"/>
    <w:pPr>
      <w:spacing w:before="120" w:after="240" w:line="360" w:lineRule="auto"/>
      <w:ind w:left="340"/>
      <w:jc w:val="both"/>
    </w:pPr>
    <w:rPr>
      <w:rFonts w:ascii="Times" w:hAnsi="Times" w:cstheme="minorHAnsi"/>
      <w:sz w:val="24"/>
      <w:szCs w:val="20"/>
    </w:rPr>
  </w:style>
  <w:style w:type="paragraph" w:styleId="TM4">
    <w:name w:val="toc 4"/>
    <w:next w:val="Footnote"/>
    <w:autoRedefine/>
    <w:uiPriority w:val="39"/>
    <w:unhideWhenUsed/>
    <w:rsid w:val="006E3AB3"/>
    <w:pPr>
      <w:spacing w:before="240" w:after="120" w:line="360" w:lineRule="auto"/>
      <w:ind w:left="567"/>
    </w:pPr>
    <w:rPr>
      <w:rFonts w:ascii="Times" w:hAnsi="Times" w:cs="Calibri (Corps)"/>
      <w:b/>
      <w:szCs w:val="20"/>
      <w:u w:val="double"/>
    </w:rPr>
  </w:style>
  <w:style w:type="paragraph" w:styleId="TM5">
    <w:name w:val="toc 5"/>
    <w:next w:val="Footnote"/>
    <w:autoRedefine/>
    <w:uiPriority w:val="39"/>
    <w:unhideWhenUsed/>
    <w:rsid w:val="006E3AB3"/>
    <w:pPr>
      <w:spacing w:before="240" w:after="120" w:line="240" w:lineRule="auto"/>
      <w:ind w:left="680"/>
      <w:jc w:val="both"/>
    </w:pPr>
    <w:rPr>
      <w:rFonts w:ascii="Times" w:hAnsi="Times" w:cs="Calibri (Corps)"/>
      <w:b/>
      <w:sz w:val="20"/>
      <w:szCs w:val="20"/>
      <w:u w:val="words"/>
    </w:rPr>
  </w:style>
  <w:style w:type="paragraph" w:styleId="TM6">
    <w:name w:val="toc 6"/>
    <w:next w:val="Footnote"/>
    <w:autoRedefine/>
    <w:uiPriority w:val="39"/>
    <w:unhideWhenUsed/>
    <w:rsid w:val="006E3AB3"/>
    <w:pPr>
      <w:spacing w:before="240" w:after="120" w:line="240" w:lineRule="auto"/>
      <w:ind w:left="737"/>
    </w:pPr>
    <w:rPr>
      <w:rFonts w:ascii="Times" w:hAnsi="Times" w:cs="Calibri (Corps)"/>
      <w:b/>
      <w:sz w:val="20"/>
      <w:szCs w:val="20"/>
    </w:rPr>
  </w:style>
  <w:style w:type="paragraph" w:styleId="TM7">
    <w:name w:val="toc 7"/>
    <w:next w:val="Footnote"/>
    <w:autoRedefine/>
    <w:uiPriority w:val="39"/>
    <w:unhideWhenUsed/>
    <w:rsid w:val="006E3AB3"/>
    <w:pPr>
      <w:spacing w:before="240" w:after="120" w:line="240" w:lineRule="auto"/>
      <w:ind w:left="851"/>
    </w:pPr>
    <w:rPr>
      <w:rFonts w:ascii="Times" w:hAnsi="Times" w:cs="Calibri (Corps)"/>
      <w:sz w:val="20"/>
      <w:szCs w:val="20"/>
      <w:u w:val="words"/>
    </w:rPr>
  </w:style>
  <w:style w:type="paragraph" w:styleId="TM1">
    <w:name w:val="toc 1"/>
    <w:next w:val="Footnote"/>
    <w:autoRedefine/>
    <w:uiPriority w:val="39"/>
    <w:unhideWhenUsed/>
    <w:rsid w:val="00054A9F"/>
    <w:pPr>
      <w:spacing w:before="240" w:after="120" w:line="360" w:lineRule="auto"/>
      <w:jc w:val="both"/>
    </w:pPr>
    <w:rPr>
      <w:rFonts w:ascii="Times" w:hAnsi="Times" w:cs="Calibri (Corps)"/>
      <w:b/>
      <w:bCs/>
      <w:caps/>
      <w:sz w:val="24"/>
      <w:szCs w:val="20"/>
    </w:rPr>
  </w:style>
  <w:style w:type="paragraph" w:styleId="Notedefin">
    <w:name w:val="endnote text"/>
    <w:basedOn w:val="Normal"/>
    <w:link w:val="NotedefinCar"/>
    <w:uiPriority w:val="99"/>
    <w:semiHidden/>
    <w:unhideWhenUsed/>
    <w:rsid w:val="00F420E7"/>
    <w:pPr>
      <w:spacing w:line="240" w:lineRule="auto"/>
    </w:pPr>
    <w:rPr>
      <w:sz w:val="20"/>
      <w:szCs w:val="20"/>
    </w:rPr>
  </w:style>
  <w:style w:type="character" w:customStyle="1" w:styleId="NotedefinCar">
    <w:name w:val="Note de fin Car"/>
    <w:basedOn w:val="Policepardfaut"/>
    <w:link w:val="Notedefin"/>
    <w:uiPriority w:val="99"/>
    <w:semiHidden/>
    <w:rsid w:val="00F420E7"/>
    <w:rPr>
      <w:rFonts w:ascii="Times New Roman" w:hAnsi="Times New Roman"/>
      <w:sz w:val="20"/>
      <w:szCs w:val="20"/>
    </w:rPr>
  </w:style>
  <w:style w:type="character" w:styleId="Appeldenotedefin">
    <w:name w:val="endnote reference"/>
    <w:basedOn w:val="Policepardfaut"/>
    <w:uiPriority w:val="99"/>
    <w:semiHidden/>
    <w:unhideWhenUsed/>
    <w:rsid w:val="00F420E7"/>
    <w:rPr>
      <w:vertAlign w:val="superscript"/>
    </w:rPr>
  </w:style>
  <w:style w:type="paragraph" w:styleId="TM8">
    <w:name w:val="toc 8"/>
    <w:next w:val="Footnote"/>
    <w:autoRedefine/>
    <w:uiPriority w:val="39"/>
    <w:unhideWhenUsed/>
    <w:rsid w:val="006E3AB3"/>
    <w:pPr>
      <w:spacing w:before="240" w:after="120" w:line="240" w:lineRule="auto"/>
      <w:ind w:left="964"/>
    </w:pPr>
    <w:rPr>
      <w:rFonts w:ascii="Times" w:eastAsia="Times New Roman" w:hAnsi="Times" w:cstheme="minorHAnsi"/>
      <w:i/>
      <w:kern w:val="3"/>
      <w:sz w:val="20"/>
      <w:szCs w:val="20"/>
      <w:lang w:eastAsia="zh-CN" w:bidi="hi-IN"/>
    </w:rPr>
  </w:style>
  <w:style w:type="paragraph" w:styleId="TM9">
    <w:name w:val="toc 9"/>
    <w:basedOn w:val="Normal"/>
    <w:next w:val="Normal"/>
    <w:autoRedefine/>
    <w:uiPriority w:val="39"/>
    <w:unhideWhenUsed/>
    <w:rsid w:val="00DA275E"/>
    <w:pPr>
      <w:ind w:left="1920"/>
      <w:jc w:val="left"/>
    </w:pPr>
    <w:rPr>
      <w:rFonts w:asciiTheme="minorHAnsi" w:hAnsiTheme="minorHAnsi" w:cstheme="minorHAnsi"/>
      <w:sz w:val="20"/>
      <w:szCs w:val="20"/>
    </w:rPr>
  </w:style>
  <w:style w:type="character" w:customStyle="1" w:styleId="THESESectionCar">
    <w:name w:val="THESE Section Car"/>
    <w:basedOn w:val="Policepardfaut"/>
    <w:link w:val="THESESection"/>
    <w:rsid w:val="002909DF"/>
    <w:rPr>
      <w:rFonts w:ascii="Times New Roman" w:eastAsia="Times New Roman" w:hAnsi="Times New Roman" w:cs="Times New Roman"/>
      <w:b/>
      <w:smallCaps/>
      <w:sz w:val="24"/>
      <w:szCs w:val="24"/>
      <w:u w:val="single"/>
      <w:lang w:eastAsia="fr-FR"/>
    </w:rPr>
  </w:style>
  <w:style w:type="character" w:customStyle="1" w:styleId="THESEChapitreCar">
    <w:name w:val="THESE Chapitre Car"/>
    <w:basedOn w:val="THESESectionCar"/>
    <w:link w:val="THESEChapitre"/>
    <w:rsid w:val="00B05CF3"/>
    <w:rPr>
      <w:rFonts w:ascii="Times New Roman" w:eastAsia="Times New Roman" w:hAnsi="Times New Roman" w:cs="Times New Roman"/>
      <w:b/>
      <w:smallCaps/>
      <w:sz w:val="32"/>
      <w:szCs w:val="24"/>
      <w:u w:val="single"/>
      <w:lang w:eastAsia="fr-FR"/>
    </w:rPr>
  </w:style>
  <w:style w:type="character" w:customStyle="1" w:styleId="THESETitreCar">
    <w:name w:val="THESE Titre Car"/>
    <w:basedOn w:val="THESEChapitreCar"/>
    <w:link w:val="THESETitre"/>
    <w:rsid w:val="00BF5F2C"/>
    <w:rPr>
      <w:rFonts w:ascii="Times New Roman" w:eastAsia="Times New Roman" w:hAnsi="Times New Roman" w:cs="Times New Roman"/>
      <w:b/>
      <w:smallCaps/>
      <w:sz w:val="36"/>
      <w:szCs w:val="24"/>
      <w:u w:val="single"/>
      <w:lang w:eastAsia="fr-FR"/>
    </w:rPr>
  </w:style>
  <w:style w:type="character" w:customStyle="1" w:styleId="THESEPARTIECar">
    <w:name w:val="THESE PARTIE Car"/>
    <w:basedOn w:val="THESETitreCar"/>
    <w:link w:val="THESEPARTIE"/>
    <w:rsid w:val="002909DF"/>
    <w:rPr>
      <w:rFonts w:ascii="Times New Roman" w:eastAsia="Times New Roman" w:hAnsi="Times New Roman" w:cs="Times New Roman"/>
      <w:b/>
      <w:caps/>
      <w:smallCaps w:val="0"/>
      <w:sz w:val="40"/>
      <w:szCs w:val="24"/>
      <w:u w:val="single"/>
      <w:lang w:eastAsia="fr-FR"/>
    </w:rPr>
  </w:style>
  <w:style w:type="character" w:customStyle="1" w:styleId="THESETitre1Car">
    <w:name w:val="THESE Titre1 Car"/>
    <w:basedOn w:val="THESEChapitreCar"/>
    <w:link w:val="THESETitre1"/>
    <w:rsid w:val="001B2BAD"/>
    <w:rPr>
      <w:rFonts w:ascii="Times New Roman" w:eastAsia="Times New Roman" w:hAnsi="Times New Roman" w:cs="Times New Roman"/>
      <w:b/>
      <w:smallCaps/>
      <w:sz w:val="36"/>
      <w:szCs w:val="24"/>
      <w:u w:val="single"/>
      <w:lang w:eastAsia="fr-FR"/>
    </w:rPr>
  </w:style>
  <w:style w:type="character" w:customStyle="1" w:styleId="THESEICar">
    <w:name w:val="THESE I Car"/>
    <w:aliases w:val="II Car,III Car"/>
    <w:basedOn w:val="THESESectionCar"/>
    <w:link w:val="THESEI"/>
    <w:rsid w:val="002909DF"/>
    <w:rPr>
      <w:rFonts w:ascii="Times New Roman" w:eastAsia="Times New Roman" w:hAnsi="Times New Roman" w:cs="Times New Roman"/>
      <w:b/>
      <w:smallCaps w:val="0"/>
      <w:sz w:val="24"/>
      <w:szCs w:val="24"/>
      <w:u w:val="single"/>
      <w:lang w:eastAsia="fr-FR"/>
    </w:rPr>
  </w:style>
  <w:style w:type="character" w:customStyle="1" w:styleId="THESEAMajuCar">
    <w:name w:val="THESE A Maju Car"/>
    <w:basedOn w:val="THESEICar"/>
    <w:link w:val="THESEAMaju"/>
    <w:rsid w:val="00B308D2"/>
    <w:rPr>
      <w:rFonts w:ascii="Times New Roman" w:eastAsia="Times New Roman" w:hAnsi="Times New Roman" w:cs="Times New Roman"/>
      <w:b/>
      <w:smallCaps w:val="0"/>
      <w:sz w:val="24"/>
      <w:szCs w:val="24"/>
      <w:u w:val="single"/>
      <w:lang w:eastAsia="fr-FR"/>
    </w:rPr>
  </w:style>
  <w:style w:type="character" w:customStyle="1" w:styleId="THESE1Car">
    <w:name w:val="THESE 1 Car"/>
    <w:aliases w:val="2 Car,3 Car"/>
    <w:basedOn w:val="THESEAMajuCar"/>
    <w:link w:val="THESE1"/>
    <w:rsid w:val="00FC2A35"/>
    <w:rPr>
      <w:rFonts w:ascii="Times New Roman" w:eastAsia="Times New Roman" w:hAnsi="Times New Roman" w:cs="Times New Roman"/>
      <w:b w:val="0"/>
      <w:smallCaps w:val="0"/>
      <w:sz w:val="24"/>
      <w:szCs w:val="24"/>
      <w:u w:val="single"/>
      <w:lang w:eastAsia="fr-FR"/>
    </w:rPr>
  </w:style>
  <w:style w:type="character" w:customStyle="1" w:styleId="THESEaCar">
    <w:name w:val="THESE a Car"/>
    <w:aliases w:val="b Car,c Car"/>
    <w:basedOn w:val="THESE1Car"/>
    <w:link w:val="THESEa"/>
    <w:rsid w:val="002909DF"/>
    <w:rPr>
      <w:rFonts w:ascii="Times New Roman" w:eastAsia="Times New Roman" w:hAnsi="Times New Roman" w:cs="Times New Roman"/>
      <w:b w:val="0"/>
      <w:i/>
      <w:smallCaps w:val="0"/>
      <w:sz w:val="24"/>
      <w:szCs w:val="24"/>
      <w:u w:val="single"/>
      <w:lang w:eastAsia="fr-FR"/>
    </w:rPr>
  </w:style>
  <w:style w:type="paragraph" w:customStyle="1" w:styleId="msonormal0">
    <w:name w:val="msonormal"/>
    <w:basedOn w:val="Normal"/>
    <w:uiPriority w:val="99"/>
    <w:semiHidden/>
    <w:rsid w:val="001D0248"/>
    <w:pPr>
      <w:numPr>
        <w:numId w:val="0"/>
      </w:numPr>
      <w:spacing w:before="100" w:beforeAutospacing="1" w:after="100" w:afterAutospacing="1" w:line="240" w:lineRule="auto"/>
    </w:pPr>
    <w:rPr>
      <w:rFonts w:eastAsia="Times New Roman" w:cs="Times New Roman"/>
      <w:szCs w:val="24"/>
      <w:lang w:eastAsia="fr-FR"/>
    </w:rPr>
  </w:style>
  <w:style w:type="character" w:customStyle="1" w:styleId="lang-la">
    <w:name w:val="lang-la"/>
    <w:basedOn w:val="Policepardfaut"/>
    <w:rsid w:val="00600B40"/>
  </w:style>
  <w:style w:type="character" w:customStyle="1" w:styleId="Mentionnonrsolue2">
    <w:name w:val="Mention non résolue2"/>
    <w:basedOn w:val="Policepardfaut"/>
    <w:uiPriority w:val="99"/>
    <w:semiHidden/>
    <w:unhideWhenUsed/>
    <w:rsid w:val="00201913"/>
    <w:rPr>
      <w:color w:val="808080"/>
      <w:shd w:val="clear" w:color="auto" w:fill="E6E6E6"/>
    </w:rPr>
  </w:style>
  <w:style w:type="paragraph" w:styleId="Index1">
    <w:name w:val="index 1"/>
    <w:next w:val="Footnote"/>
    <w:autoRedefine/>
    <w:uiPriority w:val="99"/>
    <w:semiHidden/>
    <w:unhideWhenUsed/>
    <w:rsid w:val="00751ADE"/>
    <w:pPr>
      <w:numPr>
        <w:numId w:val="1"/>
      </w:numPr>
      <w:spacing w:line="240" w:lineRule="auto"/>
      <w:ind w:left="240" w:hanging="240"/>
    </w:pPr>
    <w:rPr>
      <w:rFonts w:ascii="Times New Roman" w:hAnsi="Times New Roman"/>
      <w:sz w:val="24"/>
    </w:rPr>
  </w:style>
  <w:style w:type="character" w:customStyle="1" w:styleId="Mentionnonrsolue3">
    <w:name w:val="Mention non résolue3"/>
    <w:basedOn w:val="Policepardfaut"/>
    <w:uiPriority w:val="99"/>
    <w:semiHidden/>
    <w:unhideWhenUsed/>
    <w:rsid w:val="00201913"/>
    <w:rPr>
      <w:color w:val="605E5C"/>
      <w:shd w:val="clear" w:color="auto" w:fill="E1DFDD"/>
    </w:rPr>
  </w:style>
  <w:style w:type="character" w:customStyle="1" w:styleId="Mentionnonrsolue4">
    <w:name w:val="Mention non résolue4"/>
    <w:basedOn w:val="Policepardfaut"/>
    <w:uiPriority w:val="99"/>
    <w:semiHidden/>
    <w:unhideWhenUsed/>
    <w:rsid w:val="00201913"/>
    <w:rPr>
      <w:color w:val="808080"/>
      <w:shd w:val="clear" w:color="auto" w:fill="E6E6E6"/>
    </w:rPr>
  </w:style>
  <w:style w:type="character" w:styleId="Marquedecommentaire">
    <w:name w:val="annotation reference"/>
    <w:basedOn w:val="Policepardfaut"/>
    <w:uiPriority w:val="99"/>
    <w:semiHidden/>
    <w:unhideWhenUsed/>
    <w:rsid w:val="00201913"/>
    <w:rPr>
      <w:sz w:val="16"/>
      <w:szCs w:val="16"/>
    </w:rPr>
  </w:style>
  <w:style w:type="paragraph" w:styleId="Commentaire">
    <w:name w:val="annotation text"/>
    <w:basedOn w:val="Normal"/>
    <w:link w:val="CommentaireCar"/>
    <w:uiPriority w:val="99"/>
    <w:semiHidden/>
    <w:unhideWhenUsed/>
    <w:rsid w:val="00201913"/>
    <w:pPr>
      <w:numPr>
        <w:numId w:val="0"/>
      </w:numPr>
      <w:spacing w:line="240" w:lineRule="auto"/>
    </w:pPr>
    <w:rPr>
      <w:sz w:val="20"/>
      <w:szCs w:val="20"/>
    </w:rPr>
  </w:style>
  <w:style w:type="character" w:customStyle="1" w:styleId="CommentaireCar">
    <w:name w:val="Commentaire Car"/>
    <w:basedOn w:val="Policepardfaut"/>
    <w:link w:val="Commentaire"/>
    <w:uiPriority w:val="99"/>
    <w:semiHidden/>
    <w:rsid w:val="00201913"/>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01913"/>
    <w:rPr>
      <w:b/>
      <w:bCs/>
    </w:rPr>
  </w:style>
  <w:style w:type="character" w:customStyle="1" w:styleId="ObjetducommentaireCar">
    <w:name w:val="Objet du commentaire Car"/>
    <w:basedOn w:val="CommentaireCar"/>
    <w:link w:val="Objetducommentaire"/>
    <w:uiPriority w:val="99"/>
    <w:semiHidden/>
    <w:rsid w:val="00201913"/>
    <w:rPr>
      <w:rFonts w:ascii="Times New Roman" w:hAnsi="Times New Roman"/>
      <w:b/>
      <w:bCs/>
      <w:sz w:val="20"/>
      <w:szCs w:val="20"/>
    </w:rPr>
  </w:style>
  <w:style w:type="character" w:customStyle="1" w:styleId="documentpagerange">
    <w:name w:val="documentpagerange"/>
    <w:basedOn w:val="Policepardfaut"/>
    <w:rsid w:val="00201913"/>
  </w:style>
  <w:style w:type="character" w:styleId="Numrodepage">
    <w:name w:val="page number"/>
    <w:basedOn w:val="Policepardfaut"/>
    <w:uiPriority w:val="99"/>
    <w:semiHidden/>
    <w:unhideWhenUsed/>
    <w:rsid w:val="00DC1C90"/>
  </w:style>
  <w:style w:type="paragraph" w:styleId="Listepuces">
    <w:name w:val="List Bullet"/>
    <w:basedOn w:val="Normal"/>
    <w:uiPriority w:val="99"/>
    <w:unhideWhenUsed/>
    <w:rsid w:val="00387DA1"/>
    <w:pPr>
      <w:numPr>
        <w:numId w:val="6"/>
      </w:numPr>
      <w:contextualSpacing/>
    </w:pPr>
  </w:style>
  <w:style w:type="table" w:styleId="Grilledutableau">
    <w:name w:val="Table Grid"/>
    <w:basedOn w:val="TableauNormal"/>
    <w:uiPriority w:val="39"/>
    <w:rsid w:val="008C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next w:val="Footnote"/>
    <w:autoRedefine/>
    <w:uiPriority w:val="99"/>
    <w:semiHidden/>
    <w:unhideWhenUsed/>
    <w:rsid w:val="00751ADE"/>
    <w:pPr>
      <w:spacing w:line="240" w:lineRule="auto"/>
      <w:ind w:left="480" w:hanging="240"/>
    </w:pPr>
    <w:rPr>
      <w:rFonts w:ascii="Times New Roman" w:hAnsi="Times New Roman"/>
      <w:sz w:val="24"/>
    </w:rPr>
  </w:style>
  <w:style w:type="paragraph" w:styleId="Index3">
    <w:name w:val="index 3"/>
    <w:next w:val="Footnote"/>
    <w:autoRedefine/>
    <w:uiPriority w:val="99"/>
    <w:semiHidden/>
    <w:unhideWhenUsed/>
    <w:rsid w:val="00751ADE"/>
    <w:pPr>
      <w:spacing w:line="240" w:lineRule="auto"/>
      <w:ind w:left="720" w:hanging="240"/>
    </w:pPr>
    <w:rPr>
      <w:rFonts w:ascii="Times New Roman" w:hAnsi="Times New Roman"/>
      <w:sz w:val="24"/>
    </w:rPr>
  </w:style>
  <w:style w:type="paragraph" w:styleId="Index4">
    <w:name w:val="index 4"/>
    <w:next w:val="Footnote"/>
    <w:autoRedefine/>
    <w:uiPriority w:val="99"/>
    <w:semiHidden/>
    <w:unhideWhenUsed/>
    <w:rsid w:val="00751ADE"/>
    <w:pPr>
      <w:spacing w:line="240" w:lineRule="auto"/>
      <w:ind w:left="960" w:hanging="240"/>
    </w:pPr>
    <w:rPr>
      <w:rFonts w:ascii="Times New Roman" w:hAnsi="Times New Roman"/>
      <w:sz w:val="24"/>
    </w:rPr>
  </w:style>
  <w:style w:type="paragraph" w:styleId="Index5">
    <w:name w:val="index 5"/>
    <w:next w:val="Footnote"/>
    <w:autoRedefine/>
    <w:uiPriority w:val="99"/>
    <w:semiHidden/>
    <w:unhideWhenUsed/>
    <w:rsid w:val="00751ADE"/>
    <w:pPr>
      <w:spacing w:line="240" w:lineRule="auto"/>
      <w:ind w:left="1200" w:hanging="240"/>
    </w:pPr>
    <w:rPr>
      <w:rFonts w:ascii="Times New Roman" w:eastAsia="Times New Roman" w:hAnsi="Times New Roman" w:cs="Times New Roman"/>
      <w:sz w:val="20"/>
      <w:szCs w:val="20"/>
      <w:lang w:eastAsia="fr-FR"/>
    </w:rPr>
  </w:style>
  <w:style w:type="paragraph" w:styleId="Index6">
    <w:name w:val="index 6"/>
    <w:basedOn w:val="Footnote"/>
    <w:next w:val="Footnote"/>
    <w:autoRedefine/>
    <w:uiPriority w:val="99"/>
    <w:semiHidden/>
    <w:unhideWhenUsed/>
    <w:rsid w:val="00751ADE"/>
    <w:pPr>
      <w:ind w:left="1440" w:hanging="240"/>
    </w:pPr>
  </w:style>
  <w:style w:type="paragraph" w:styleId="Index7">
    <w:name w:val="index 7"/>
    <w:next w:val="Footnote"/>
    <w:autoRedefine/>
    <w:uiPriority w:val="99"/>
    <w:semiHidden/>
    <w:unhideWhenUsed/>
    <w:rsid w:val="00751ADE"/>
    <w:pPr>
      <w:spacing w:line="240" w:lineRule="auto"/>
      <w:ind w:left="1680" w:hanging="240"/>
    </w:pPr>
    <w:rPr>
      <w:rFonts w:ascii="Times New Roman" w:hAnsi="Times New Roman"/>
      <w:sz w:val="24"/>
    </w:rPr>
  </w:style>
  <w:style w:type="paragraph" w:styleId="Index8">
    <w:name w:val="index 8"/>
    <w:next w:val="Footnote"/>
    <w:autoRedefine/>
    <w:uiPriority w:val="99"/>
    <w:semiHidden/>
    <w:unhideWhenUsed/>
    <w:rsid w:val="00751ADE"/>
    <w:pPr>
      <w:spacing w:line="240" w:lineRule="auto"/>
      <w:ind w:left="1920" w:hanging="240"/>
    </w:pPr>
    <w:rPr>
      <w:rFonts w:ascii="Times New Roman" w:hAnsi="Times New Roman"/>
      <w:sz w:val="24"/>
    </w:rPr>
  </w:style>
  <w:style w:type="paragraph" w:styleId="Index9">
    <w:name w:val="index 9"/>
    <w:next w:val="Footnote"/>
    <w:autoRedefine/>
    <w:uiPriority w:val="99"/>
    <w:semiHidden/>
    <w:unhideWhenUsed/>
    <w:rsid w:val="00751ADE"/>
    <w:pPr>
      <w:spacing w:line="240" w:lineRule="auto"/>
      <w:ind w:left="2160" w:hanging="240"/>
    </w:pPr>
    <w:rPr>
      <w:rFonts w:ascii="Times New Roman" w:hAnsi="Times New Roman"/>
      <w:sz w:val="24"/>
    </w:rPr>
  </w:style>
  <w:style w:type="character" w:customStyle="1" w:styleId="kpdfviewer">
    <w:name w:val="kpdfviewer"/>
    <w:basedOn w:val="Policepardfaut"/>
    <w:rsid w:val="008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042">
      <w:bodyDiv w:val="1"/>
      <w:marLeft w:val="0"/>
      <w:marRight w:val="0"/>
      <w:marTop w:val="0"/>
      <w:marBottom w:val="0"/>
      <w:divBdr>
        <w:top w:val="none" w:sz="0" w:space="0" w:color="auto"/>
        <w:left w:val="none" w:sz="0" w:space="0" w:color="auto"/>
        <w:bottom w:val="none" w:sz="0" w:space="0" w:color="auto"/>
        <w:right w:val="none" w:sz="0" w:space="0" w:color="auto"/>
      </w:divBdr>
    </w:div>
    <w:div w:id="29645006">
      <w:bodyDiv w:val="1"/>
      <w:marLeft w:val="0"/>
      <w:marRight w:val="0"/>
      <w:marTop w:val="0"/>
      <w:marBottom w:val="0"/>
      <w:divBdr>
        <w:top w:val="none" w:sz="0" w:space="0" w:color="auto"/>
        <w:left w:val="none" w:sz="0" w:space="0" w:color="auto"/>
        <w:bottom w:val="none" w:sz="0" w:space="0" w:color="auto"/>
        <w:right w:val="none" w:sz="0" w:space="0" w:color="auto"/>
      </w:divBdr>
    </w:div>
    <w:div w:id="221261621">
      <w:bodyDiv w:val="1"/>
      <w:marLeft w:val="0"/>
      <w:marRight w:val="0"/>
      <w:marTop w:val="0"/>
      <w:marBottom w:val="0"/>
      <w:divBdr>
        <w:top w:val="none" w:sz="0" w:space="0" w:color="auto"/>
        <w:left w:val="none" w:sz="0" w:space="0" w:color="auto"/>
        <w:bottom w:val="none" w:sz="0" w:space="0" w:color="auto"/>
        <w:right w:val="none" w:sz="0" w:space="0" w:color="auto"/>
      </w:divBdr>
    </w:div>
    <w:div w:id="230577741">
      <w:bodyDiv w:val="1"/>
      <w:marLeft w:val="0"/>
      <w:marRight w:val="0"/>
      <w:marTop w:val="0"/>
      <w:marBottom w:val="0"/>
      <w:divBdr>
        <w:top w:val="none" w:sz="0" w:space="0" w:color="auto"/>
        <w:left w:val="none" w:sz="0" w:space="0" w:color="auto"/>
        <w:bottom w:val="none" w:sz="0" w:space="0" w:color="auto"/>
        <w:right w:val="none" w:sz="0" w:space="0" w:color="auto"/>
      </w:divBdr>
    </w:div>
    <w:div w:id="242374203">
      <w:bodyDiv w:val="1"/>
      <w:marLeft w:val="0"/>
      <w:marRight w:val="0"/>
      <w:marTop w:val="0"/>
      <w:marBottom w:val="0"/>
      <w:divBdr>
        <w:top w:val="none" w:sz="0" w:space="0" w:color="auto"/>
        <w:left w:val="none" w:sz="0" w:space="0" w:color="auto"/>
        <w:bottom w:val="none" w:sz="0" w:space="0" w:color="auto"/>
        <w:right w:val="none" w:sz="0" w:space="0" w:color="auto"/>
      </w:divBdr>
    </w:div>
    <w:div w:id="275909308">
      <w:bodyDiv w:val="1"/>
      <w:marLeft w:val="0"/>
      <w:marRight w:val="0"/>
      <w:marTop w:val="0"/>
      <w:marBottom w:val="0"/>
      <w:divBdr>
        <w:top w:val="none" w:sz="0" w:space="0" w:color="auto"/>
        <w:left w:val="none" w:sz="0" w:space="0" w:color="auto"/>
        <w:bottom w:val="none" w:sz="0" w:space="0" w:color="auto"/>
        <w:right w:val="none" w:sz="0" w:space="0" w:color="auto"/>
      </w:divBdr>
      <w:divsChild>
        <w:div w:id="2123067650">
          <w:marLeft w:val="0"/>
          <w:marRight w:val="0"/>
          <w:marTop w:val="0"/>
          <w:marBottom w:val="0"/>
          <w:divBdr>
            <w:top w:val="none" w:sz="0" w:space="0" w:color="auto"/>
            <w:left w:val="none" w:sz="0" w:space="0" w:color="auto"/>
            <w:bottom w:val="none" w:sz="0" w:space="0" w:color="auto"/>
            <w:right w:val="none" w:sz="0" w:space="0" w:color="auto"/>
          </w:divBdr>
          <w:divsChild>
            <w:div w:id="1053849592">
              <w:marLeft w:val="0"/>
              <w:marRight w:val="0"/>
              <w:marTop w:val="0"/>
              <w:marBottom w:val="0"/>
              <w:divBdr>
                <w:top w:val="none" w:sz="0" w:space="0" w:color="auto"/>
                <w:left w:val="none" w:sz="0" w:space="0" w:color="auto"/>
                <w:bottom w:val="none" w:sz="0" w:space="0" w:color="auto"/>
                <w:right w:val="none" w:sz="0" w:space="0" w:color="auto"/>
              </w:divBdr>
              <w:divsChild>
                <w:div w:id="3331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6680">
      <w:bodyDiv w:val="1"/>
      <w:marLeft w:val="0"/>
      <w:marRight w:val="0"/>
      <w:marTop w:val="0"/>
      <w:marBottom w:val="0"/>
      <w:divBdr>
        <w:top w:val="none" w:sz="0" w:space="0" w:color="auto"/>
        <w:left w:val="none" w:sz="0" w:space="0" w:color="auto"/>
        <w:bottom w:val="none" w:sz="0" w:space="0" w:color="auto"/>
        <w:right w:val="none" w:sz="0" w:space="0" w:color="auto"/>
      </w:divBdr>
    </w:div>
    <w:div w:id="296616184">
      <w:bodyDiv w:val="1"/>
      <w:marLeft w:val="0"/>
      <w:marRight w:val="0"/>
      <w:marTop w:val="0"/>
      <w:marBottom w:val="0"/>
      <w:divBdr>
        <w:top w:val="none" w:sz="0" w:space="0" w:color="auto"/>
        <w:left w:val="none" w:sz="0" w:space="0" w:color="auto"/>
        <w:bottom w:val="none" w:sz="0" w:space="0" w:color="auto"/>
        <w:right w:val="none" w:sz="0" w:space="0" w:color="auto"/>
      </w:divBdr>
    </w:div>
    <w:div w:id="375155111">
      <w:bodyDiv w:val="1"/>
      <w:marLeft w:val="0"/>
      <w:marRight w:val="0"/>
      <w:marTop w:val="0"/>
      <w:marBottom w:val="0"/>
      <w:divBdr>
        <w:top w:val="none" w:sz="0" w:space="0" w:color="auto"/>
        <w:left w:val="none" w:sz="0" w:space="0" w:color="auto"/>
        <w:bottom w:val="none" w:sz="0" w:space="0" w:color="auto"/>
        <w:right w:val="none" w:sz="0" w:space="0" w:color="auto"/>
      </w:divBdr>
    </w:div>
    <w:div w:id="408354846">
      <w:bodyDiv w:val="1"/>
      <w:marLeft w:val="0"/>
      <w:marRight w:val="0"/>
      <w:marTop w:val="0"/>
      <w:marBottom w:val="0"/>
      <w:divBdr>
        <w:top w:val="none" w:sz="0" w:space="0" w:color="auto"/>
        <w:left w:val="none" w:sz="0" w:space="0" w:color="auto"/>
        <w:bottom w:val="none" w:sz="0" w:space="0" w:color="auto"/>
        <w:right w:val="none" w:sz="0" w:space="0" w:color="auto"/>
      </w:divBdr>
    </w:div>
    <w:div w:id="460850919">
      <w:bodyDiv w:val="1"/>
      <w:marLeft w:val="0"/>
      <w:marRight w:val="0"/>
      <w:marTop w:val="0"/>
      <w:marBottom w:val="0"/>
      <w:divBdr>
        <w:top w:val="none" w:sz="0" w:space="0" w:color="auto"/>
        <w:left w:val="none" w:sz="0" w:space="0" w:color="auto"/>
        <w:bottom w:val="none" w:sz="0" w:space="0" w:color="auto"/>
        <w:right w:val="none" w:sz="0" w:space="0" w:color="auto"/>
      </w:divBdr>
    </w:div>
    <w:div w:id="501434262">
      <w:bodyDiv w:val="1"/>
      <w:marLeft w:val="0"/>
      <w:marRight w:val="0"/>
      <w:marTop w:val="0"/>
      <w:marBottom w:val="0"/>
      <w:divBdr>
        <w:top w:val="none" w:sz="0" w:space="0" w:color="auto"/>
        <w:left w:val="none" w:sz="0" w:space="0" w:color="auto"/>
        <w:bottom w:val="none" w:sz="0" w:space="0" w:color="auto"/>
        <w:right w:val="none" w:sz="0" w:space="0" w:color="auto"/>
      </w:divBdr>
    </w:div>
    <w:div w:id="517962470">
      <w:bodyDiv w:val="1"/>
      <w:marLeft w:val="0"/>
      <w:marRight w:val="0"/>
      <w:marTop w:val="0"/>
      <w:marBottom w:val="0"/>
      <w:divBdr>
        <w:top w:val="none" w:sz="0" w:space="0" w:color="auto"/>
        <w:left w:val="none" w:sz="0" w:space="0" w:color="auto"/>
        <w:bottom w:val="none" w:sz="0" w:space="0" w:color="auto"/>
        <w:right w:val="none" w:sz="0" w:space="0" w:color="auto"/>
      </w:divBdr>
    </w:div>
    <w:div w:id="522287378">
      <w:bodyDiv w:val="1"/>
      <w:marLeft w:val="0"/>
      <w:marRight w:val="0"/>
      <w:marTop w:val="0"/>
      <w:marBottom w:val="0"/>
      <w:divBdr>
        <w:top w:val="none" w:sz="0" w:space="0" w:color="auto"/>
        <w:left w:val="none" w:sz="0" w:space="0" w:color="auto"/>
        <w:bottom w:val="none" w:sz="0" w:space="0" w:color="auto"/>
        <w:right w:val="none" w:sz="0" w:space="0" w:color="auto"/>
      </w:divBdr>
      <w:divsChild>
        <w:div w:id="770660929">
          <w:marLeft w:val="0"/>
          <w:marRight w:val="0"/>
          <w:marTop w:val="0"/>
          <w:marBottom w:val="0"/>
          <w:divBdr>
            <w:top w:val="none" w:sz="0" w:space="0" w:color="auto"/>
            <w:left w:val="none" w:sz="0" w:space="0" w:color="auto"/>
            <w:bottom w:val="none" w:sz="0" w:space="0" w:color="auto"/>
            <w:right w:val="none" w:sz="0" w:space="0" w:color="auto"/>
          </w:divBdr>
          <w:divsChild>
            <w:div w:id="1893232349">
              <w:marLeft w:val="0"/>
              <w:marRight w:val="0"/>
              <w:marTop w:val="0"/>
              <w:marBottom w:val="0"/>
              <w:divBdr>
                <w:top w:val="none" w:sz="0" w:space="0" w:color="auto"/>
                <w:left w:val="none" w:sz="0" w:space="0" w:color="auto"/>
                <w:bottom w:val="none" w:sz="0" w:space="0" w:color="auto"/>
                <w:right w:val="none" w:sz="0" w:space="0" w:color="auto"/>
              </w:divBdr>
              <w:divsChild>
                <w:div w:id="9410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0559">
      <w:bodyDiv w:val="1"/>
      <w:marLeft w:val="0"/>
      <w:marRight w:val="0"/>
      <w:marTop w:val="0"/>
      <w:marBottom w:val="0"/>
      <w:divBdr>
        <w:top w:val="none" w:sz="0" w:space="0" w:color="auto"/>
        <w:left w:val="none" w:sz="0" w:space="0" w:color="auto"/>
        <w:bottom w:val="none" w:sz="0" w:space="0" w:color="auto"/>
        <w:right w:val="none" w:sz="0" w:space="0" w:color="auto"/>
      </w:divBdr>
    </w:div>
    <w:div w:id="631449017">
      <w:bodyDiv w:val="1"/>
      <w:marLeft w:val="0"/>
      <w:marRight w:val="0"/>
      <w:marTop w:val="0"/>
      <w:marBottom w:val="0"/>
      <w:divBdr>
        <w:top w:val="none" w:sz="0" w:space="0" w:color="auto"/>
        <w:left w:val="none" w:sz="0" w:space="0" w:color="auto"/>
        <w:bottom w:val="none" w:sz="0" w:space="0" w:color="auto"/>
        <w:right w:val="none" w:sz="0" w:space="0" w:color="auto"/>
      </w:divBdr>
    </w:div>
    <w:div w:id="701134730">
      <w:bodyDiv w:val="1"/>
      <w:marLeft w:val="0"/>
      <w:marRight w:val="0"/>
      <w:marTop w:val="0"/>
      <w:marBottom w:val="0"/>
      <w:divBdr>
        <w:top w:val="none" w:sz="0" w:space="0" w:color="auto"/>
        <w:left w:val="none" w:sz="0" w:space="0" w:color="auto"/>
        <w:bottom w:val="none" w:sz="0" w:space="0" w:color="auto"/>
        <w:right w:val="none" w:sz="0" w:space="0" w:color="auto"/>
      </w:divBdr>
    </w:div>
    <w:div w:id="772096226">
      <w:bodyDiv w:val="1"/>
      <w:marLeft w:val="0"/>
      <w:marRight w:val="0"/>
      <w:marTop w:val="0"/>
      <w:marBottom w:val="0"/>
      <w:divBdr>
        <w:top w:val="none" w:sz="0" w:space="0" w:color="auto"/>
        <w:left w:val="none" w:sz="0" w:space="0" w:color="auto"/>
        <w:bottom w:val="none" w:sz="0" w:space="0" w:color="auto"/>
        <w:right w:val="none" w:sz="0" w:space="0" w:color="auto"/>
      </w:divBdr>
    </w:div>
    <w:div w:id="795098966">
      <w:bodyDiv w:val="1"/>
      <w:marLeft w:val="0"/>
      <w:marRight w:val="0"/>
      <w:marTop w:val="0"/>
      <w:marBottom w:val="0"/>
      <w:divBdr>
        <w:top w:val="none" w:sz="0" w:space="0" w:color="auto"/>
        <w:left w:val="none" w:sz="0" w:space="0" w:color="auto"/>
        <w:bottom w:val="none" w:sz="0" w:space="0" w:color="auto"/>
        <w:right w:val="none" w:sz="0" w:space="0" w:color="auto"/>
      </w:divBdr>
    </w:div>
    <w:div w:id="805246373">
      <w:bodyDiv w:val="1"/>
      <w:marLeft w:val="0"/>
      <w:marRight w:val="0"/>
      <w:marTop w:val="0"/>
      <w:marBottom w:val="0"/>
      <w:divBdr>
        <w:top w:val="none" w:sz="0" w:space="0" w:color="auto"/>
        <w:left w:val="none" w:sz="0" w:space="0" w:color="auto"/>
        <w:bottom w:val="none" w:sz="0" w:space="0" w:color="auto"/>
        <w:right w:val="none" w:sz="0" w:space="0" w:color="auto"/>
      </w:divBdr>
    </w:div>
    <w:div w:id="874467245">
      <w:bodyDiv w:val="1"/>
      <w:marLeft w:val="0"/>
      <w:marRight w:val="0"/>
      <w:marTop w:val="0"/>
      <w:marBottom w:val="0"/>
      <w:divBdr>
        <w:top w:val="none" w:sz="0" w:space="0" w:color="auto"/>
        <w:left w:val="none" w:sz="0" w:space="0" w:color="auto"/>
        <w:bottom w:val="none" w:sz="0" w:space="0" w:color="auto"/>
        <w:right w:val="none" w:sz="0" w:space="0" w:color="auto"/>
      </w:divBdr>
    </w:div>
    <w:div w:id="947929462">
      <w:bodyDiv w:val="1"/>
      <w:marLeft w:val="0"/>
      <w:marRight w:val="0"/>
      <w:marTop w:val="0"/>
      <w:marBottom w:val="0"/>
      <w:divBdr>
        <w:top w:val="none" w:sz="0" w:space="0" w:color="auto"/>
        <w:left w:val="none" w:sz="0" w:space="0" w:color="auto"/>
        <w:bottom w:val="none" w:sz="0" w:space="0" w:color="auto"/>
        <w:right w:val="none" w:sz="0" w:space="0" w:color="auto"/>
      </w:divBdr>
    </w:div>
    <w:div w:id="958418689">
      <w:bodyDiv w:val="1"/>
      <w:marLeft w:val="0"/>
      <w:marRight w:val="0"/>
      <w:marTop w:val="0"/>
      <w:marBottom w:val="0"/>
      <w:divBdr>
        <w:top w:val="none" w:sz="0" w:space="0" w:color="auto"/>
        <w:left w:val="none" w:sz="0" w:space="0" w:color="auto"/>
        <w:bottom w:val="none" w:sz="0" w:space="0" w:color="auto"/>
        <w:right w:val="none" w:sz="0" w:space="0" w:color="auto"/>
      </w:divBdr>
    </w:div>
    <w:div w:id="1042050820">
      <w:bodyDiv w:val="1"/>
      <w:marLeft w:val="0"/>
      <w:marRight w:val="0"/>
      <w:marTop w:val="0"/>
      <w:marBottom w:val="0"/>
      <w:divBdr>
        <w:top w:val="none" w:sz="0" w:space="0" w:color="auto"/>
        <w:left w:val="none" w:sz="0" w:space="0" w:color="auto"/>
        <w:bottom w:val="none" w:sz="0" w:space="0" w:color="auto"/>
        <w:right w:val="none" w:sz="0" w:space="0" w:color="auto"/>
      </w:divBdr>
    </w:div>
    <w:div w:id="1054163786">
      <w:bodyDiv w:val="1"/>
      <w:marLeft w:val="0"/>
      <w:marRight w:val="0"/>
      <w:marTop w:val="0"/>
      <w:marBottom w:val="0"/>
      <w:divBdr>
        <w:top w:val="none" w:sz="0" w:space="0" w:color="auto"/>
        <w:left w:val="none" w:sz="0" w:space="0" w:color="auto"/>
        <w:bottom w:val="none" w:sz="0" w:space="0" w:color="auto"/>
        <w:right w:val="none" w:sz="0" w:space="0" w:color="auto"/>
      </w:divBdr>
    </w:div>
    <w:div w:id="1083140371">
      <w:bodyDiv w:val="1"/>
      <w:marLeft w:val="0"/>
      <w:marRight w:val="0"/>
      <w:marTop w:val="0"/>
      <w:marBottom w:val="0"/>
      <w:divBdr>
        <w:top w:val="none" w:sz="0" w:space="0" w:color="auto"/>
        <w:left w:val="none" w:sz="0" w:space="0" w:color="auto"/>
        <w:bottom w:val="none" w:sz="0" w:space="0" w:color="auto"/>
        <w:right w:val="none" w:sz="0" w:space="0" w:color="auto"/>
      </w:divBdr>
    </w:div>
    <w:div w:id="1098477944">
      <w:bodyDiv w:val="1"/>
      <w:marLeft w:val="0"/>
      <w:marRight w:val="0"/>
      <w:marTop w:val="0"/>
      <w:marBottom w:val="0"/>
      <w:divBdr>
        <w:top w:val="none" w:sz="0" w:space="0" w:color="auto"/>
        <w:left w:val="none" w:sz="0" w:space="0" w:color="auto"/>
        <w:bottom w:val="none" w:sz="0" w:space="0" w:color="auto"/>
        <w:right w:val="none" w:sz="0" w:space="0" w:color="auto"/>
      </w:divBdr>
    </w:div>
    <w:div w:id="1148478032">
      <w:bodyDiv w:val="1"/>
      <w:marLeft w:val="0"/>
      <w:marRight w:val="0"/>
      <w:marTop w:val="0"/>
      <w:marBottom w:val="0"/>
      <w:divBdr>
        <w:top w:val="none" w:sz="0" w:space="0" w:color="auto"/>
        <w:left w:val="none" w:sz="0" w:space="0" w:color="auto"/>
        <w:bottom w:val="none" w:sz="0" w:space="0" w:color="auto"/>
        <w:right w:val="none" w:sz="0" w:space="0" w:color="auto"/>
      </w:divBdr>
    </w:div>
    <w:div w:id="1164475429">
      <w:bodyDiv w:val="1"/>
      <w:marLeft w:val="0"/>
      <w:marRight w:val="0"/>
      <w:marTop w:val="0"/>
      <w:marBottom w:val="0"/>
      <w:divBdr>
        <w:top w:val="none" w:sz="0" w:space="0" w:color="auto"/>
        <w:left w:val="none" w:sz="0" w:space="0" w:color="auto"/>
        <w:bottom w:val="none" w:sz="0" w:space="0" w:color="auto"/>
        <w:right w:val="none" w:sz="0" w:space="0" w:color="auto"/>
      </w:divBdr>
      <w:divsChild>
        <w:div w:id="511340333">
          <w:marLeft w:val="0"/>
          <w:marRight w:val="0"/>
          <w:marTop w:val="0"/>
          <w:marBottom w:val="0"/>
          <w:divBdr>
            <w:top w:val="none" w:sz="0" w:space="0" w:color="auto"/>
            <w:left w:val="none" w:sz="0" w:space="0" w:color="auto"/>
            <w:bottom w:val="none" w:sz="0" w:space="0" w:color="auto"/>
            <w:right w:val="none" w:sz="0" w:space="0" w:color="auto"/>
          </w:divBdr>
        </w:div>
        <w:div w:id="662318869">
          <w:marLeft w:val="0"/>
          <w:marRight w:val="0"/>
          <w:marTop w:val="0"/>
          <w:marBottom w:val="0"/>
          <w:divBdr>
            <w:top w:val="none" w:sz="0" w:space="0" w:color="auto"/>
            <w:left w:val="none" w:sz="0" w:space="0" w:color="auto"/>
            <w:bottom w:val="none" w:sz="0" w:space="0" w:color="auto"/>
            <w:right w:val="none" w:sz="0" w:space="0" w:color="auto"/>
          </w:divBdr>
        </w:div>
        <w:div w:id="838035528">
          <w:marLeft w:val="0"/>
          <w:marRight w:val="0"/>
          <w:marTop w:val="0"/>
          <w:marBottom w:val="0"/>
          <w:divBdr>
            <w:top w:val="none" w:sz="0" w:space="0" w:color="auto"/>
            <w:left w:val="none" w:sz="0" w:space="0" w:color="auto"/>
            <w:bottom w:val="none" w:sz="0" w:space="0" w:color="auto"/>
            <w:right w:val="none" w:sz="0" w:space="0" w:color="auto"/>
          </w:divBdr>
        </w:div>
        <w:div w:id="1001542786">
          <w:marLeft w:val="0"/>
          <w:marRight w:val="0"/>
          <w:marTop w:val="0"/>
          <w:marBottom w:val="0"/>
          <w:divBdr>
            <w:top w:val="none" w:sz="0" w:space="0" w:color="auto"/>
            <w:left w:val="none" w:sz="0" w:space="0" w:color="auto"/>
            <w:bottom w:val="none" w:sz="0" w:space="0" w:color="auto"/>
            <w:right w:val="none" w:sz="0" w:space="0" w:color="auto"/>
          </w:divBdr>
        </w:div>
        <w:div w:id="1153372997">
          <w:marLeft w:val="0"/>
          <w:marRight w:val="0"/>
          <w:marTop w:val="0"/>
          <w:marBottom w:val="0"/>
          <w:divBdr>
            <w:top w:val="none" w:sz="0" w:space="0" w:color="auto"/>
            <w:left w:val="none" w:sz="0" w:space="0" w:color="auto"/>
            <w:bottom w:val="none" w:sz="0" w:space="0" w:color="auto"/>
            <w:right w:val="none" w:sz="0" w:space="0" w:color="auto"/>
          </w:divBdr>
        </w:div>
        <w:div w:id="1251085321">
          <w:marLeft w:val="0"/>
          <w:marRight w:val="0"/>
          <w:marTop w:val="0"/>
          <w:marBottom w:val="0"/>
          <w:divBdr>
            <w:top w:val="none" w:sz="0" w:space="0" w:color="auto"/>
            <w:left w:val="none" w:sz="0" w:space="0" w:color="auto"/>
            <w:bottom w:val="none" w:sz="0" w:space="0" w:color="auto"/>
            <w:right w:val="none" w:sz="0" w:space="0" w:color="auto"/>
          </w:divBdr>
        </w:div>
        <w:div w:id="1877502380">
          <w:marLeft w:val="0"/>
          <w:marRight w:val="0"/>
          <w:marTop w:val="0"/>
          <w:marBottom w:val="0"/>
          <w:divBdr>
            <w:top w:val="none" w:sz="0" w:space="0" w:color="auto"/>
            <w:left w:val="none" w:sz="0" w:space="0" w:color="auto"/>
            <w:bottom w:val="none" w:sz="0" w:space="0" w:color="auto"/>
            <w:right w:val="none" w:sz="0" w:space="0" w:color="auto"/>
          </w:divBdr>
        </w:div>
      </w:divsChild>
    </w:div>
    <w:div w:id="1249343008">
      <w:bodyDiv w:val="1"/>
      <w:marLeft w:val="0"/>
      <w:marRight w:val="0"/>
      <w:marTop w:val="0"/>
      <w:marBottom w:val="0"/>
      <w:divBdr>
        <w:top w:val="none" w:sz="0" w:space="0" w:color="auto"/>
        <w:left w:val="none" w:sz="0" w:space="0" w:color="auto"/>
        <w:bottom w:val="none" w:sz="0" w:space="0" w:color="auto"/>
        <w:right w:val="none" w:sz="0" w:space="0" w:color="auto"/>
      </w:divBdr>
    </w:div>
    <w:div w:id="1253126640">
      <w:bodyDiv w:val="1"/>
      <w:marLeft w:val="0"/>
      <w:marRight w:val="0"/>
      <w:marTop w:val="0"/>
      <w:marBottom w:val="0"/>
      <w:divBdr>
        <w:top w:val="none" w:sz="0" w:space="0" w:color="auto"/>
        <w:left w:val="none" w:sz="0" w:space="0" w:color="auto"/>
        <w:bottom w:val="none" w:sz="0" w:space="0" w:color="auto"/>
        <w:right w:val="none" w:sz="0" w:space="0" w:color="auto"/>
      </w:divBdr>
    </w:div>
    <w:div w:id="1306012937">
      <w:bodyDiv w:val="1"/>
      <w:marLeft w:val="0"/>
      <w:marRight w:val="0"/>
      <w:marTop w:val="0"/>
      <w:marBottom w:val="0"/>
      <w:divBdr>
        <w:top w:val="none" w:sz="0" w:space="0" w:color="auto"/>
        <w:left w:val="none" w:sz="0" w:space="0" w:color="auto"/>
        <w:bottom w:val="none" w:sz="0" w:space="0" w:color="auto"/>
        <w:right w:val="none" w:sz="0" w:space="0" w:color="auto"/>
      </w:divBdr>
      <w:divsChild>
        <w:div w:id="233858140">
          <w:marLeft w:val="0"/>
          <w:marRight w:val="0"/>
          <w:marTop w:val="0"/>
          <w:marBottom w:val="0"/>
          <w:divBdr>
            <w:top w:val="none" w:sz="0" w:space="0" w:color="auto"/>
            <w:left w:val="none" w:sz="0" w:space="0" w:color="auto"/>
            <w:bottom w:val="none" w:sz="0" w:space="0" w:color="auto"/>
            <w:right w:val="none" w:sz="0" w:space="0" w:color="auto"/>
          </w:divBdr>
        </w:div>
      </w:divsChild>
    </w:div>
    <w:div w:id="1333727982">
      <w:bodyDiv w:val="1"/>
      <w:marLeft w:val="0"/>
      <w:marRight w:val="0"/>
      <w:marTop w:val="0"/>
      <w:marBottom w:val="0"/>
      <w:divBdr>
        <w:top w:val="none" w:sz="0" w:space="0" w:color="auto"/>
        <w:left w:val="none" w:sz="0" w:space="0" w:color="auto"/>
        <w:bottom w:val="none" w:sz="0" w:space="0" w:color="auto"/>
        <w:right w:val="none" w:sz="0" w:space="0" w:color="auto"/>
      </w:divBdr>
    </w:div>
    <w:div w:id="1380789384">
      <w:bodyDiv w:val="1"/>
      <w:marLeft w:val="0"/>
      <w:marRight w:val="0"/>
      <w:marTop w:val="0"/>
      <w:marBottom w:val="0"/>
      <w:divBdr>
        <w:top w:val="none" w:sz="0" w:space="0" w:color="auto"/>
        <w:left w:val="none" w:sz="0" w:space="0" w:color="auto"/>
        <w:bottom w:val="none" w:sz="0" w:space="0" w:color="auto"/>
        <w:right w:val="none" w:sz="0" w:space="0" w:color="auto"/>
      </w:divBdr>
    </w:div>
    <w:div w:id="1408384817">
      <w:bodyDiv w:val="1"/>
      <w:marLeft w:val="0"/>
      <w:marRight w:val="0"/>
      <w:marTop w:val="0"/>
      <w:marBottom w:val="0"/>
      <w:divBdr>
        <w:top w:val="none" w:sz="0" w:space="0" w:color="auto"/>
        <w:left w:val="none" w:sz="0" w:space="0" w:color="auto"/>
        <w:bottom w:val="none" w:sz="0" w:space="0" w:color="auto"/>
        <w:right w:val="none" w:sz="0" w:space="0" w:color="auto"/>
      </w:divBdr>
      <w:divsChild>
        <w:div w:id="1802727357">
          <w:marLeft w:val="0"/>
          <w:marRight w:val="0"/>
          <w:marTop w:val="0"/>
          <w:marBottom w:val="0"/>
          <w:divBdr>
            <w:top w:val="none" w:sz="0" w:space="0" w:color="auto"/>
            <w:left w:val="none" w:sz="0" w:space="0" w:color="auto"/>
            <w:bottom w:val="none" w:sz="0" w:space="0" w:color="auto"/>
            <w:right w:val="none" w:sz="0" w:space="0" w:color="auto"/>
          </w:divBdr>
          <w:divsChild>
            <w:div w:id="777722211">
              <w:marLeft w:val="0"/>
              <w:marRight w:val="0"/>
              <w:marTop w:val="0"/>
              <w:marBottom w:val="0"/>
              <w:divBdr>
                <w:top w:val="none" w:sz="0" w:space="0" w:color="auto"/>
                <w:left w:val="none" w:sz="0" w:space="0" w:color="auto"/>
                <w:bottom w:val="none" w:sz="0" w:space="0" w:color="auto"/>
                <w:right w:val="none" w:sz="0" w:space="0" w:color="auto"/>
              </w:divBdr>
              <w:divsChild>
                <w:div w:id="1081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7574">
      <w:bodyDiv w:val="1"/>
      <w:marLeft w:val="0"/>
      <w:marRight w:val="0"/>
      <w:marTop w:val="0"/>
      <w:marBottom w:val="0"/>
      <w:divBdr>
        <w:top w:val="none" w:sz="0" w:space="0" w:color="auto"/>
        <w:left w:val="none" w:sz="0" w:space="0" w:color="auto"/>
        <w:bottom w:val="none" w:sz="0" w:space="0" w:color="auto"/>
        <w:right w:val="none" w:sz="0" w:space="0" w:color="auto"/>
      </w:divBdr>
    </w:div>
    <w:div w:id="1472819870">
      <w:bodyDiv w:val="1"/>
      <w:marLeft w:val="0"/>
      <w:marRight w:val="0"/>
      <w:marTop w:val="0"/>
      <w:marBottom w:val="0"/>
      <w:divBdr>
        <w:top w:val="none" w:sz="0" w:space="0" w:color="auto"/>
        <w:left w:val="none" w:sz="0" w:space="0" w:color="auto"/>
        <w:bottom w:val="none" w:sz="0" w:space="0" w:color="auto"/>
        <w:right w:val="none" w:sz="0" w:space="0" w:color="auto"/>
      </w:divBdr>
    </w:div>
    <w:div w:id="1524435890">
      <w:bodyDiv w:val="1"/>
      <w:marLeft w:val="0"/>
      <w:marRight w:val="0"/>
      <w:marTop w:val="0"/>
      <w:marBottom w:val="0"/>
      <w:divBdr>
        <w:top w:val="none" w:sz="0" w:space="0" w:color="auto"/>
        <w:left w:val="none" w:sz="0" w:space="0" w:color="auto"/>
        <w:bottom w:val="none" w:sz="0" w:space="0" w:color="auto"/>
        <w:right w:val="none" w:sz="0" w:space="0" w:color="auto"/>
      </w:divBdr>
    </w:div>
    <w:div w:id="1535922517">
      <w:bodyDiv w:val="1"/>
      <w:marLeft w:val="0"/>
      <w:marRight w:val="0"/>
      <w:marTop w:val="0"/>
      <w:marBottom w:val="0"/>
      <w:divBdr>
        <w:top w:val="none" w:sz="0" w:space="0" w:color="auto"/>
        <w:left w:val="none" w:sz="0" w:space="0" w:color="auto"/>
        <w:bottom w:val="none" w:sz="0" w:space="0" w:color="auto"/>
        <w:right w:val="none" w:sz="0" w:space="0" w:color="auto"/>
      </w:divBdr>
    </w:div>
    <w:div w:id="1538933662">
      <w:bodyDiv w:val="1"/>
      <w:marLeft w:val="0"/>
      <w:marRight w:val="0"/>
      <w:marTop w:val="0"/>
      <w:marBottom w:val="0"/>
      <w:divBdr>
        <w:top w:val="none" w:sz="0" w:space="0" w:color="auto"/>
        <w:left w:val="none" w:sz="0" w:space="0" w:color="auto"/>
        <w:bottom w:val="none" w:sz="0" w:space="0" w:color="auto"/>
        <w:right w:val="none" w:sz="0" w:space="0" w:color="auto"/>
      </w:divBdr>
    </w:div>
    <w:div w:id="1547644405">
      <w:bodyDiv w:val="1"/>
      <w:marLeft w:val="0"/>
      <w:marRight w:val="0"/>
      <w:marTop w:val="0"/>
      <w:marBottom w:val="0"/>
      <w:divBdr>
        <w:top w:val="none" w:sz="0" w:space="0" w:color="auto"/>
        <w:left w:val="none" w:sz="0" w:space="0" w:color="auto"/>
        <w:bottom w:val="none" w:sz="0" w:space="0" w:color="auto"/>
        <w:right w:val="none" w:sz="0" w:space="0" w:color="auto"/>
      </w:divBdr>
      <w:divsChild>
        <w:div w:id="251592773">
          <w:marLeft w:val="0"/>
          <w:marRight w:val="0"/>
          <w:marTop w:val="0"/>
          <w:marBottom w:val="0"/>
          <w:divBdr>
            <w:top w:val="none" w:sz="0" w:space="0" w:color="auto"/>
            <w:left w:val="none" w:sz="0" w:space="0" w:color="auto"/>
            <w:bottom w:val="none" w:sz="0" w:space="0" w:color="auto"/>
            <w:right w:val="none" w:sz="0" w:space="0" w:color="auto"/>
          </w:divBdr>
          <w:divsChild>
            <w:div w:id="237717012">
              <w:marLeft w:val="0"/>
              <w:marRight w:val="0"/>
              <w:marTop w:val="0"/>
              <w:marBottom w:val="0"/>
              <w:divBdr>
                <w:top w:val="none" w:sz="0" w:space="0" w:color="auto"/>
                <w:left w:val="none" w:sz="0" w:space="0" w:color="auto"/>
                <w:bottom w:val="none" w:sz="0" w:space="0" w:color="auto"/>
                <w:right w:val="none" w:sz="0" w:space="0" w:color="auto"/>
              </w:divBdr>
              <w:divsChild>
                <w:div w:id="525407857">
                  <w:marLeft w:val="0"/>
                  <w:marRight w:val="0"/>
                  <w:marTop w:val="0"/>
                  <w:marBottom w:val="0"/>
                  <w:divBdr>
                    <w:top w:val="none" w:sz="0" w:space="0" w:color="auto"/>
                    <w:left w:val="none" w:sz="0" w:space="0" w:color="auto"/>
                    <w:bottom w:val="none" w:sz="0" w:space="0" w:color="auto"/>
                    <w:right w:val="none" w:sz="0" w:space="0" w:color="auto"/>
                  </w:divBdr>
                  <w:divsChild>
                    <w:div w:id="14324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20392">
      <w:bodyDiv w:val="1"/>
      <w:marLeft w:val="0"/>
      <w:marRight w:val="0"/>
      <w:marTop w:val="0"/>
      <w:marBottom w:val="0"/>
      <w:divBdr>
        <w:top w:val="none" w:sz="0" w:space="0" w:color="auto"/>
        <w:left w:val="none" w:sz="0" w:space="0" w:color="auto"/>
        <w:bottom w:val="none" w:sz="0" w:space="0" w:color="auto"/>
        <w:right w:val="none" w:sz="0" w:space="0" w:color="auto"/>
      </w:divBdr>
    </w:div>
    <w:div w:id="1558466609">
      <w:bodyDiv w:val="1"/>
      <w:marLeft w:val="0"/>
      <w:marRight w:val="0"/>
      <w:marTop w:val="0"/>
      <w:marBottom w:val="0"/>
      <w:divBdr>
        <w:top w:val="none" w:sz="0" w:space="0" w:color="auto"/>
        <w:left w:val="none" w:sz="0" w:space="0" w:color="auto"/>
        <w:bottom w:val="none" w:sz="0" w:space="0" w:color="auto"/>
        <w:right w:val="none" w:sz="0" w:space="0" w:color="auto"/>
      </w:divBdr>
      <w:divsChild>
        <w:div w:id="718896326">
          <w:marLeft w:val="0"/>
          <w:marRight w:val="0"/>
          <w:marTop w:val="0"/>
          <w:marBottom w:val="0"/>
          <w:divBdr>
            <w:top w:val="none" w:sz="0" w:space="0" w:color="auto"/>
            <w:left w:val="none" w:sz="0" w:space="0" w:color="auto"/>
            <w:bottom w:val="none" w:sz="0" w:space="0" w:color="auto"/>
            <w:right w:val="none" w:sz="0" w:space="0" w:color="auto"/>
          </w:divBdr>
        </w:div>
        <w:div w:id="948506257">
          <w:marLeft w:val="0"/>
          <w:marRight w:val="0"/>
          <w:marTop w:val="0"/>
          <w:marBottom w:val="0"/>
          <w:divBdr>
            <w:top w:val="none" w:sz="0" w:space="0" w:color="auto"/>
            <w:left w:val="none" w:sz="0" w:space="0" w:color="auto"/>
            <w:bottom w:val="none" w:sz="0" w:space="0" w:color="auto"/>
            <w:right w:val="none" w:sz="0" w:space="0" w:color="auto"/>
          </w:divBdr>
        </w:div>
        <w:div w:id="1353872976">
          <w:marLeft w:val="0"/>
          <w:marRight w:val="0"/>
          <w:marTop w:val="0"/>
          <w:marBottom w:val="0"/>
          <w:divBdr>
            <w:top w:val="none" w:sz="0" w:space="0" w:color="auto"/>
            <w:left w:val="none" w:sz="0" w:space="0" w:color="auto"/>
            <w:bottom w:val="none" w:sz="0" w:space="0" w:color="auto"/>
            <w:right w:val="none" w:sz="0" w:space="0" w:color="auto"/>
          </w:divBdr>
        </w:div>
        <w:div w:id="2061244148">
          <w:marLeft w:val="0"/>
          <w:marRight w:val="0"/>
          <w:marTop w:val="0"/>
          <w:marBottom w:val="0"/>
          <w:divBdr>
            <w:top w:val="none" w:sz="0" w:space="0" w:color="auto"/>
            <w:left w:val="none" w:sz="0" w:space="0" w:color="auto"/>
            <w:bottom w:val="none" w:sz="0" w:space="0" w:color="auto"/>
            <w:right w:val="none" w:sz="0" w:space="0" w:color="auto"/>
          </w:divBdr>
        </w:div>
      </w:divsChild>
    </w:div>
    <w:div w:id="1567300995">
      <w:bodyDiv w:val="1"/>
      <w:marLeft w:val="0"/>
      <w:marRight w:val="0"/>
      <w:marTop w:val="0"/>
      <w:marBottom w:val="0"/>
      <w:divBdr>
        <w:top w:val="none" w:sz="0" w:space="0" w:color="auto"/>
        <w:left w:val="none" w:sz="0" w:space="0" w:color="auto"/>
        <w:bottom w:val="none" w:sz="0" w:space="0" w:color="auto"/>
        <w:right w:val="none" w:sz="0" w:space="0" w:color="auto"/>
      </w:divBdr>
    </w:div>
    <w:div w:id="1567493058">
      <w:bodyDiv w:val="1"/>
      <w:marLeft w:val="0"/>
      <w:marRight w:val="0"/>
      <w:marTop w:val="0"/>
      <w:marBottom w:val="0"/>
      <w:divBdr>
        <w:top w:val="none" w:sz="0" w:space="0" w:color="auto"/>
        <w:left w:val="none" w:sz="0" w:space="0" w:color="auto"/>
        <w:bottom w:val="none" w:sz="0" w:space="0" w:color="auto"/>
        <w:right w:val="none" w:sz="0" w:space="0" w:color="auto"/>
      </w:divBdr>
      <w:divsChild>
        <w:div w:id="787436335">
          <w:marLeft w:val="0"/>
          <w:marRight w:val="0"/>
          <w:marTop w:val="0"/>
          <w:marBottom w:val="0"/>
          <w:divBdr>
            <w:top w:val="none" w:sz="0" w:space="0" w:color="auto"/>
            <w:left w:val="none" w:sz="0" w:space="0" w:color="auto"/>
            <w:bottom w:val="none" w:sz="0" w:space="0" w:color="auto"/>
            <w:right w:val="none" w:sz="0" w:space="0" w:color="auto"/>
          </w:divBdr>
          <w:divsChild>
            <w:div w:id="2104259957">
              <w:marLeft w:val="0"/>
              <w:marRight w:val="0"/>
              <w:marTop w:val="0"/>
              <w:marBottom w:val="0"/>
              <w:divBdr>
                <w:top w:val="none" w:sz="0" w:space="0" w:color="auto"/>
                <w:left w:val="none" w:sz="0" w:space="0" w:color="auto"/>
                <w:bottom w:val="none" w:sz="0" w:space="0" w:color="auto"/>
                <w:right w:val="none" w:sz="0" w:space="0" w:color="auto"/>
              </w:divBdr>
              <w:divsChild>
                <w:div w:id="8770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6354">
      <w:bodyDiv w:val="1"/>
      <w:marLeft w:val="0"/>
      <w:marRight w:val="0"/>
      <w:marTop w:val="0"/>
      <w:marBottom w:val="0"/>
      <w:divBdr>
        <w:top w:val="none" w:sz="0" w:space="0" w:color="auto"/>
        <w:left w:val="none" w:sz="0" w:space="0" w:color="auto"/>
        <w:bottom w:val="none" w:sz="0" w:space="0" w:color="auto"/>
        <w:right w:val="none" w:sz="0" w:space="0" w:color="auto"/>
      </w:divBdr>
    </w:div>
    <w:div w:id="1636904983">
      <w:bodyDiv w:val="1"/>
      <w:marLeft w:val="0"/>
      <w:marRight w:val="0"/>
      <w:marTop w:val="0"/>
      <w:marBottom w:val="0"/>
      <w:divBdr>
        <w:top w:val="none" w:sz="0" w:space="0" w:color="auto"/>
        <w:left w:val="none" w:sz="0" w:space="0" w:color="auto"/>
        <w:bottom w:val="none" w:sz="0" w:space="0" w:color="auto"/>
        <w:right w:val="none" w:sz="0" w:space="0" w:color="auto"/>
      </w:divBdr>
    </w:div>
    <w:div w:id="1804885591">
      <w:bodyDiv w:val="1"/>
      <w:marLeft w:val="0"/>
      <w:marRight w:val="0"/>
      <w:marTop w:val="0"/>
      <w:marBottom w:val="0"/>
      <w:divBdr>
        <w:top w:val="none" w:sz="0" w:space="0" w:color="auto"/>
        <w:left w:val="none" w:sz="0" w:space="0" w:color="auto"/>
        <w:bottom w:val="none" w:sz="0" w:space="0" w:color="auto"/>
        <w:right w:val="none" w:sz="0" w:space="0" w:color="auto"/>
      </w:divBdr>
    </w:div>
    <w:div w:id="1817145712">
      <w:bodyDiv w:val="1"/>
      <w:marLeft w:val="0"/>
      <w:marRight w:val="0"/>
      <w:marTop w:val="0"/>
      <w:marBottom w:val="0"/>
      <w:divBdr>
        <w:top w:val="none" w:sz="0" w:space="0" w:color="auto"/>
        <w:left w:val="none" w:sz="0" w:space="0" w:color="auto"/>
        <w:bottom w:val="none" w:sz="0" w:space="0" w:color="auto"/>
        <w:right w:val="none" w:sz="0" w:space="0" w:color="auto"/>
      </w:divBdr>
    </w:div>
    <w:div w:id="1882740903">
      <w:bodyDiv w:val="1"/>
      <w:marLeft w:val="0"/>
      <w:marRight w:val="0"/>
      <w:marTop w:val="0"/>
      <w:marBottom w:val="0"/>
      <w:divBdr>
        <w:top w:val="none" w:sz="0" w:space="0" w:color="auto"/>
        <w:left w:val="none" w:sz="0" w:space="0" w:color="auto"/>
        <w:bottom w:val="none" w:sz="0" w:space="0" w:color="auto"/>
        <w:right w:val="none" w:sz="0" w:space="0" w:color="auto"/>
      </w:divBdr>
    </w:div>
    <w:div w:id="1957443555">
      <w:bodyDiv w:val="1"/>
      <w:marLeft w:val="0"/>
      <w:marRight w:val="0"/>
      <w:marTop w:val="0"/>
      <w:marBottom w:val="0"/>
      <w:divBdr>
        <w:top w:val="none" w:sz="0" w:space="0" w:color="auto"/>
        <w:left w:val="none" w:sz="0" w:space="0" w:color="auto"/>
        <w:bottom w:val="none" w:sz="0" w:space="0" w:color="auto"/>
        <w:right w:val="none" w:sz="0" w:space="0" w:color="auto"/>
      </w:divBdr>
    </w:div>
    <w:div w:id="1969630551">
      <w:bodyDiv w:val="1"/>
      <w:marLeft w:val="0"/>
      <w:marRight w:val="0"/>
      <w:marTop w:val="0"/>
      <w:marBottom w:val="0"/>
      <w:divBdr>
        <w:top w:val="none" w:sz="0" w:space="0" w:color="auto"/>
        <w:left w:val="none" w:sz="0" w:space="0" w:color="auto"/>
        <w:bottom w:val="none" w:sz="0" w:space="0" w:color="auto"/>
        <w:right w:val="none" w:sz="0" w:space="0" w:color="auto"/>
      </w:divBdr>
      <w:divsChild>
        <w:div w:id="631791622">
          <w:marLeft w:val="0"/>
          <w:marRight w:val="0"/>
          <w:marTop w:val="0"/>
          <w:marBottom w:val="0"/>
          <w:divBdr>
            <w:top w:val="none" w:sz="0" w:space="0" w:color="auto"/>
            <w:left w:val="none" w:sz="0" w:space="0" w:color="auto"/>
            <w:bottom w:val="none" w:sz="0" w:space="0" w:color="auto"/>
            <w:right w:val="none" w:sz="0" w:space="0" w:color="auto"/>
          </w:divBdr>
        </w:div>
      </w:divsChild>
    </w:div>
    <w:div w:id="1991250065">
      <w:bodyDiv w:val="1"/>
      <w:marLeft w:val="0"/>
      <w:marRight w:val="0"/>
      <w:marTop w:val="0"/>
      <w:marBottom w:val="0"/>
      <w:divBdr>
        <w:top w:val="none" w:sz="0" w:space="0" w:color="auto"/>
        <w:left w:val="none" w:sz="0" w:space="0" w:color="auto"/>
        <w:bottom w:val="none" w:sz="0" w:space="0" w:color="auto"/>
        <w:right w:val="none" w:sz="0" w:space="0" w:color="auto"/>
      </w:divBdr>
      <w:divsChild>
        <w:div w:id="1061518725">
          <w:marLeft w:val="0"/>
          <w:marRight w:val="0"/>
          <w:marTop w:val="0"/>
          <w:marBottom w:val="0"/>
          <w:divBdr>
            <w:top w:val="none" w:sz="0" w:space="0" w:color="auto"/>
            <w:left w:val="none" w:sz="0" w:space="0" w:color="auto"/>
            <w:bottom w:val="none" w:sz="0" w:space="0" w:color="auto"/>
            <w:right w:val="none" w:sz="0" w:space="0" w:color="auto"/>
          </w:divBdr>
        </w:div>
      </w:divsChild>
    </w:div>
    <w:div w:id="2009747717">
      <w:bodyDiv w:val="1"/>
      <w:marLeft w:val="0"/>
      <w:marRight w:val="0"/>
      <w:marTop w:val="0"/>
      <w:marBottom w:val="0"/>
      <w:divBdr>
        <w:top w:val="none" w:sz="0" w:space="0" w:color="auto"/>
        <w:left w:val="none" w:sz="0" w:space="0" w:color="auto"/>
        <w:bottom w:val="none" w:sz="0" w:space="0" w:color="auto"/>
        <w:right w:val="none" w:sz="0" w:space="0" w:color="auto"/>
      </w:divBdr>
      <w:divsChild>
        <w:div w:id="1107197550">
          <w:marLeft w:val="0"/>
          <w:marRight w:val="0"/>
          <w:marTop w:val="0"/>
          <w:marBottom w:val="0"/>
          <w:divBdr>
            <w:top w:val="none" w:sz="0" w:space="0" w:color="auto"/>
            <w:left w:val="none" w:sz="0" w:space="0" w:color="auto"/>
            <w:bottom w:val="none" w:sz="0" w:space="0" w:color="auto"/>
            <w:right w:val="none" w:sz="0" w:space="0" w:color="auto"/>
          </w:divBdr>
        </w:div>
      </w:divsChild>
    </w:div>
    <w:div w:id="2054310878">
      <w:bodyDiv w:val="1"/>
      <w:marLeft w:val="0"/>
      <w:marRight w:val="0"/>
      <w:marTop w:val="0"/>
      <w:marBottom w:val="0"/>
      <w:divBdr>
        <w:top w:val="none" w:sz="0" w:space="0" w:color="auto"/>
        <w:left w:val="none" w:sz="0" w:space="0" w:color="auto"/>
        <w:bottom w:val="none" w:sz="0" w:space="0" w:color="auto"/>
        <w:right w:val="none" w:sz="0" w:space="0" w:color="auto"/>
      </w:divBdr>
      <w:divsChild>
        <w:div w:id="45417899">
          <w:marLeft w:val="0"/>
          <w:marRight w:val="0"/>
          <w:marTop w:val="0"/>
          <w:marBottom w:val="0"/>
          <w:divBdr>
            <w:top w:val="none" w:sz="0" w:space="0" w:color="auto"/>
            <w:left w:val="none" w:sz="0" w:space="0" w:color="auto"/>
            <w:bottom w:val="none" w:sz="0" w:space="0" w:color="auto"/>
            <w:right w:val="none" w:sz="0" w:space="0" w:color="auto"/>
          </w:divBdr>
        </w:div>
      </w:divsChild>
    </w:div>
    <w:div w:id="2071725634">
      <w:bodyDiv w:val="1"/>
      <w:marLeft w:val="0"/>
      <w:marRight w:val="0"/>
      <w:marTop w:val="0"/>
      <w:marBottom w:val="0"/>
      <w:divBdr>
        <w:top w:val="none" w:sz="0" w:space="0" w:color="auto"/>
        <w:left w:val="none" w:sz="0" w:space="0" w:color="auto"/>
        <w:bottom w:val="none" w:sz="0" w:space="0" w:color="auto"/>
        <w:right w:val="none" w:sz="0" w:space="0" w:color="auto"/>
      </w:divBdr>
    </w:div>
    <w:div w:id="20754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phnin/Library/Mobile%20Documents/com~apple~CloudDocs/Recherche/Mode&#768;le%20vier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EE4B-E3E3-B643-A39C-B9A4700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vierge.dotx</Template>
  <TotalTime>488</TotalTime>
  <Pages>11</Pages>
  <Words>4382</Words>
  <Characters>24017</Characters>
  <Application>Microsoft Office Word</Application>
  <DocSecurity>0</DocSecurity>
  <Lines>358</Lines>
  <Paragraphs>42</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Raphaël MAUREL</cp:lastModifiedBy>
  <cp:revision>57</cp:revision>
  <cp:lastPrinted>2022-10-07T01:39:00Z</cp:lastPrinted>
  <dcterms:created xsi:type="dcterms:W3CDTF">2022-10-03T18:48:00Z</dcterms:created>
  <dcterms:modified xsi:type="dcterms:W3CDTF">2023-10-16T04:26:00Z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id="93DOfBuD"/&gt;&lt;style id="http://www.zotero.org/styles/universite-de-bordeaux-ecole-doctorale-de-droit"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