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736BB" w14:textId="77777777" w:rsidR="00D25ED1" w:rsidRPr="00D25ED1" w:rsidRDefault="00D25ED1" w:rsidP="00D25ED1">
      <w:pPr>
        <w:pBdr>
          <w:top w:val="single" w:sz="4" w:space="1" w:color="auto"/>
          <w:left w:val="single" w:sz="4" w:space="4" w:color="auto"/>
          <w:bottom w:val="single" w:sz="4" w:space="1" w:color="auto"/>
          <w:right w:val="single" w:sz="4" w:space="4" w:color="auto"/>
        </w:pBdr>
        <w:spacing w:line="360" w:lineRule="auto"/>
        <w:jc w:val="center"/>
        <w:rPr>
          <w:rStyle w:val="Accentuation"/>
          <w:rFonts w:ascii="Times New Roman" w:hAnsi="Times New Roman" w:cs="Times New Roman"/>
          <w:i w:val="0"/>
          <w:iCs w:val="0"/>
        </w:rPr>
      </w:pPr>
    </w:p>
    <w:p w14:paraId="381C7416" w14:textId="77777777" w:rsidR="00D25ED1" w:rsidRDefault="00D25ED1" w:rsidP="00D25ED1">
      <w:pPr>
        <w:pBdr>
          <w:top w:val="single" w:sz="4" w:space="1" w:color="auto"/>
          <w:left w:val="single" w:sz="4" w:space="4" w:color="auto"/>
          <w:bottom w:val="single" w:sz="4" w:space="1" w:color="auto"/>
          <w:right w:val="single" w:sz="4" w:space="4" w:color="auto"/>
        </w:pBdr>
        <w:spacing w:line="360" w:lineRule="auto"/>
        <w:jc w:val="center"/>
        <w:rPr>
          <w:rStyle w:val="Accentuation"/>
          <w:rFonts w:ascii="Times New Roman" w:hAnsi="Times New Roman" w:cs="Times New Roman"/>
          <w:i w:val="0"/>
          <w:iCs w:val="0"/>
        </w:rPr>
      </w:pPr>
      <w:r w:rsidRPr="00D25ED1">
        <w:rPr>
          <w:rStyle w:val="Accentuation"/>
          <w:rFonts w:ascii="Times New Roman" w:hAnsi="Times New Roman" w:cs="Times New Roman"/>
          <w:i w:val="0"/>
          <w:iCs w:val="0"/>
        </w:rPr>
        <w:t>Ce texte est une version préliminaire du chapitre final, publié sous la référence :</w:t>
      </w:r>
    </w:p>
    <w:p w14:paraId="6FCB75D6" w14:textId="77777777" w:rsidR="00D25ED1" w:rsidRDefault="00D25ED1" w:rsidP="00D25ED1">
      <w:pPr>
        <w:pBdr>
          <w:top w:val="single" w:sz="4" w:space="1" w:color="auto"/>
          <w:left w:val="single" w:sz="4" w:space="4" w:color="auto"/>
          <w:bottom w:val="single" w:sz="4" w:space="1" w:color="auto"/>
          <w:right w:val="single" w:sz="4" w:space="4" w:color="auto"/>
        </w:pBdr>
        <w:spacing w:line="360" w:lineRule="auto"/>
        <w:jc w:val="center"/>
        <w:rPr>
          <w:rStyle w:val="Accentuation"/>
          <w:rFonts w:ascii="Times New Roman" w:hAnsi="Times New Roman" w:cs="Times New Roman"/>
          <w:i w:val="0"/>
          <w:iCs w:val="0"/>
        </w:rPr>
      </w:pPr>
    </w:p>
    <w:p w14:paraId="6A50109A" w14:textId="369E3E5E" w:rsidR="00D25ED1" w:rsidRPr="00D25ED1" w:rsidRDefault="00D25ED1" w:rsidP="00D25ED1">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rPr>
      </w:pPr>
      <w:r w:rsidRPr="00D25ED1">
        <w:rPr>
          <w:rFonts w:ascii="Times New Roman" w:hAnsi="Times New Roman" w:cs="Times New Roman"/>
          <w:color w:val="000000"/>
        </w:rPr>
        <w:t>MAUREL Raphaël, « Citoyenneté et accès aux tribunaux pendant la pandémie »</w:t>
      </w:r>
      <w:r w:rsidRPr="00D25ED1">
        <w:rPr>
          <w:rFonts w:ascii="Times New Roman" w:hAnsi="Times New Roman" w:cs="Times New Roman"/>
          <w:i/>
          <w:iCs/>
          <w:color w:val="000000"/>
        </w:rPr>
        <w:t>, in</w:t>
      </w:r>
      <w:r w:rsidRPr="00D25ED1">
        <w:rPr>
          <w:rFonts w:ascii="Times New Roman" w:hAnsi="Times New Roman" w:cs="Times New Roman"/>
          <w:color w:val="000000"/>
        </w:rPr>
        <w:t xml:space="preserve"> ANDOLFATTO Dominique (</w:t>
      </w:r>
      <w:proofErr w:type="spellStart"/>
      <w:r w:rsidRPr="00D25ED1">
        <w:rPr>
          <w:rFonts w:ascii="Times New Roman" w:hAnsi="Times New Roman" w:cs="Times New Roman"/>
          <w:color w:val="000000"/>
        </w:rPr>
        <w:t>dir</w:t>
      </w:r>
      <w:proofErr w:type="spellEnd"/>
      <w:r w:rsidRPr="00D25ED1">
        <w:rPr>
          <w:rFonts w:ascii="Times New Roman" w:hAnsi="Times New Roman" w:cs="Times New Roman"/>
          <w:color w:val="000000"/>
        </w:rPr>
        <w:t xml:space="preserve">.), </w:t>
      </w:r>
      <w:r w:rsidRPr="00D25ED1">
        <w:rPr>
          <w:rFonts w:ascii="Times New Roman" w:hAnsi="Times New Roman" w:cs="Times New Roman"/>
          <w:i/>
          <w:iCs/>
          <w:color w:val="000000"/>
        </w:rPr>
        <w:t>Citoyens dans la crise sanitaire</w:t>
      </w:r>
      <w:r w:rsidRPr="00D25ED1">
        <w:rPr>
          <w:rFonts w:ascii="Times New Roman" w:hAnsi="Times New Roman" w:cs="Times New Roman"/>
          <w:color w:val="000000"/>
        </w:rPr>
        <w:t>, Paris, Classiques Garnier, 2023, pp. 245-256.</w:t>
      </w:r>
    </w:p>
    <w:p w14:paraId="3E34A824" w14:textId="77777777" w:rsidR="00D25ED1" w:rsidRDefault="00D25ED1" w:rsidP="00D25ED1">
      <w:pPr>
        <w:pBdr>
          <w:top w:val="single" w:sz="4" w:space="1" w:color="auto"/>
          <w:left w:val="single" w:sz="4" w:space="4" w:color="auto"/>
          <w:bottom w:val="single" w:sz="4" w:space="1" w:color="auto"/>
          <w:right w:val="single" w:sz="4" w:space="4" w:color="auto"/>
        </w:pBdr>
        <w:suppressAutoHyphens/>
        <w:rPr>
          <w:rFonts w:ascii="Times New Roman" w:hAnsi="Times New Roman" w:cs="Times New Roman"/>
          <w:color w:val="000000"/>
        </w:rPr>
      </w:pPr>
    </w:p>
    <w:p w14:paraId="349FD309" w14:textId="345BBB7E" w:rsidR="00D25ED1" w:rsidRPr="00D25ED1" w:rsidRDefault="00D25ED1" w:rsidP="00D25ED1">
      <w:pPr>
        <w:pBdr>
          <w:top w:val="single" w:sz="4" w:space="1" w:color="auto"/>
          <w:left w:val="single" w:sz="4" w:space="4" w:color="auto"/>
          <w:bottom w:val="single" w:sz="4" w:space="1" w:color="auto"/>
          <w:right w:val="single" w:sz="4" w:space="4" w:color="auto"/>
        </w:pBdr>
        <w:suppressAutoHyphens/>
        <w:jc w:val="center"/>
        <w:rPr>
          <w:rFonts w:ascii="Times New Roman" w:hAnsi="Times New Roman" w:cs="Times New Roman"/>
          <w:color w:val="000000"/>
        </w:rPr>
      </w:pPr>
      <w:r w:rsidRPr="00D25ED1">
        <w:rPr>
          <w:rFonts w:ascii="Times New Roman" w:hAnsi="Times New Roman" w:cs="Times New Roman"/>
          <w:color w:val="000000"/>
        </w:rPr>
        <w:t>Il a fait l’objet de corrections ultérieures et d’une mise en page par l’éditeur.</w:t>
      </w:r>
    </w:p>
    <w:p w14:paraId="3CE2F7FA" w14:textId="77777777" w:rsidR="00D25ED1" w:rsidRDefault="00D25ED1" w:rsidP="004A46A3">
      <w:pPr>
        <w:spacing w:line="360" w:lineRule="auto"/>
        <w:jc w:val="center"/>
        <w:rPr>
          <w:rStyle w:val="Accentuation"/>
          <w:rFonts w:ascii="Times" w:hAnsi="Times" w:cs="Calibri"/>
          <w:b/>
          <w:bCs/>
          <w:i w:val="0"/>
          <w:iCs w:val="0"/>
        </w:rPr>
      </w:pPr>
    </w:p>
    <w:p w14:paraId="58983430" w14:textId="77777777" w:rsidR="00D25ED1" w:rsidRDefault="00D25ED1" w:rsidP="004A46A3">
      <w:pPr>
        <w:spacing w:line="360" w:lineRule="auto"/>
        <w:jc w:val="center"/>
        <w:rPr>
          <w:rStyle w:val="Accentuation"/>
          <w:rFonts w:ascii="Times" w:hAnsi="Times" w:cs="Calibri"/>
          <w:b/>
          <w:bCs/>
          <w:i w:val="0"/>
          <w:iCs w:val="0"/>
        </w:rPr>
      </w:pPr>
    </w:p>
    <w:p w14:paraId="62A106F9" w14:textId="60F95755" w:rsidR="00403742" w:rsidRPr="00796FFB" w:rsidRDefault="009205F6" w:rsidP="004A46A3">
      <w:pPr>
        <w:spacing w:line="360" w:lineRule="auto"/>
        <w:jc w:val="center"/>
        <w:rPr>
          <w:rStyle w:val="Accentuation"/>
          <w:rFonts w:ascii="Times" w:hAnsi="Times" w:cs="Calibri"/>
          <w:b/>
          <w:bCs/>
          <w:i w:val="0"/>
          <w:iCs w:val="0"/>
        </w:rPr>
      </w:pPr>
      <w:r w:rsidRPr="00796FFB">
        <w:rPr>
          <w:rStyle w:val="Accentuation"/>
          <w:rFonts w:ascii="Times" w:hAnsi="Times" w:cs="Calibri"/>
          <w:b/>
          <w:bCs/>
          <w:i w:val="0"/>
          <w:iCs w:val="0"/>
        </w:rPr>
        <w:t>Citoyenneté et accès aux tribunaux pendant la pandémie</w:t>
      </w:r>
    </w:p>
    <w:p w14:paraId="60AD7B27" w14:textId="111E015D" w:rsidR="00E5134F" w:rsidRDefault="00E5134F" w:rsidP="004A46A3">
      <w:pPr>
        <w:spacing w:line="360" w:lineRule="auto"/>
        <w:jc w:val="both"/>
        <w:rPr>
          <w:rStyle w:val="Accentuation"/>
          <w:rFonts w:ascii="Times" w:hAnsi="Times" w:cs="Calibri"/>
        </w:rPr>
      </w:pPr>
    </w:p>
    <w:p w14:paraId="472714A4" w14:textId="0E72CC11" w:rsidR="00796FFB" w:rsidRDefault="00796FFB" w:rsidP="004A46A3">
      <w:pPr>
        <w:spacing w:line="360" w:lineRule="auto"/>
        <w:jc w:val="both"/>
        <w:rPr>
          <w:rStyle w:val="Accentuation"/>
          <w:rFonts w:ascii="Times" w:hAnsi="Times" w:cs="Calibri"/>
        </w:rPr>
      </w:pPr>
    </w:p>
    <w:p w14:paraId="650B4EC3" w14:textId="524AE075" w:rsidR="00796FFB" w:rsidRPr="00796FFB" w:rsidRDefault="00796FFB" w:rsidP="004A46A3">
      <w:pPr>
        <w:spacing w:line="360" w:lineRule="auto"/>
        <w:jc w:val="center"/>
        <w:rPr>
          <w:rStyle w:val="Accentuation"/>
          <w:rFonts w:ascii="Times" w:hAnsi="Times" w:cs="Calibri"/>
          <w:i w:val="0"/>
          <w:iCs w:val="0"/>
        </w:rPr>
      </w:pPr>
      <w:r>
        <w:rPr>
          <w:rStyle w:val="Accentuation"/>
          <w:rFonts w:ascii="Times" w:hAnsi="Times" w:cs="Calibri"/>
          <w:i w:val="0"/>
          <w:iCs w:val="0"/>
        </w:rPr>
        <w:t xml:space="preserve">Raphaël </w:t>
      </w:r>
      <w:r w:rsidR="000F09B2">
        <w:rPr>
          <w:rStyle w:val="Accentuation"/>
          <w:rFonts w:ascii="Times" w:hAnsi="Times" w:cs="Calibri"/>
          <w:i w:val="0"/>
          <w:iCs w:val="0"/>
        </w:rPr>
        <w:t>Maurel</w:t>
      </w:r>
    </w:p>
    <w:p w14:paraId="529953F6" w14:textId="0A48ED89" w:rsidR="0008263E" w:rsidRDefault="0008263E" w:rsidP="004A46A3">
      <w:pPr>
        <w:spacing w:line="360" w:lineRule="auto"/>
        <w:jc w:val="both"/>
        <w:rPr>
          <w:rStyle w:val="Accentuation"/>
          <w:rFonts w:ascii="Times" w:hAnsi="Times" w:cs="Calibri"/>
          <w:i w:val="0"/>
          <w:iCs w:val="0"/>
        </w:rPr>
      </w:pPr>
    </w:p>
    <w:p w14:paraId="2ACD5645" w14:textId="22736312" w:rsidR="00796FFB" w:rsidRDefault="00796FFB" w:rsidP="004A46A3">
      <w:pPr>
        <w:spacing w:line="360" w:lineRule="auto"/>
        <w:jc w:val="both"/>
        <w:rPr>
          <w:rStyle w:val="Accentuation"/>
          <w:rFonts w:ascii="Times" w:hAnsi="Times" w:cs="Calibri"/>
          <w:i w:val="0"/>
          <w:iCs w:val="0"/>
        </w:rPr>
      </w:pPr>
    </w:p>
    <w:p w14:paraId="72FA79A9" w14:textId="257580CE" w:rsidR="009205F6" w:rsidRPr="00796FFB" w:rsidRDefault="00830306" w:rsidP="004A46A3">
      <w:pPr>
        <w:spacing w:line="360" w:lineRule="auto"/>
        <w:ind w:firstLine="284"/>
        <w:jc w:val="both"/>
        <w:rPr>
          <w:rStyle w:val="Accentuation"/>
          <w:rFonts w:ascii="Times" w:hAnsi="Times" w:cs="Calibri"/>
          <w:i w:val="0"/>
          <w:iCs w:val="0"/>
        </w:rPr>
      </w:pPr>
      <w:r>
        <w:rPr>
          <w:rStyle w:val="Accentuation"/>
          <w:rFonts w:ascii="Times" w:hAnsi="Times" w:cs="Calibri"/>
          <w:i w:val="0"/>
          <w:iCs w:val="0"/>
        </w:rPr>
        <w:t>Ce chapitre présente les principaux</w:t>
      </w:r>
      <w:r w:rsidRPr="00796FFB">
        <w:rPr>
          <w:rStyle w:val="Accentuation"/>
          <w:rFonts w:ascii="Times" w:hAnsi="Times" w:cs="Calibri"/>
          <w:i w:val="0"/>
          <w:iCs w:val="0"/>
        </w:rPr>
        <w:t xml:space="preserve"> résultats de cette recherche</w:t>
      </w:r>
      <w:r>
        <w:rPr>
          <w:rStyle w:val="Accentuation"/>
          <w:rFonts w:ascii="Times" w:hAnsi="Times" w:cs="Calibri"/>
          <w:i w:val="0"/>
          <w:iCs w:val="0"/>
        </w:rPr>
        <w:t xml:space="preserve"> collective et comparée sur </w:t>
      </w:r>
      <w:r w:rsidRPr="00796FFB">
        <w:rPr>
          <w:rStyle w:val="Accentuation"/>
          <w:rFonts w:ascii="Times" w:hAnsi="Times" w:cs="Calibri"/>
        </w:rPr>
        <w:t>L’adaptation des procédures contentieuses en temps de pandémie</w:t>
      </w:r>
      <w:r>
        <w:rPr>
          <w:rStyle w:val="Accentuation"/>
          <w:rFonts w:ascii="Times" w:hAnsi="Times" w:cs="Calibri"/>
          <w:i w:val="0"/>
          <w:iCs w:val="0"/>
        </w:rPr>
        <w:t xml:space="preserve"> (Maurel, 2022). Il présente d’abord les raisons à l’origine de ce projet </w:t>
      </w:r>
      <w:r w:rsidR="009205F6" w:rsidRPr="00796FFB">
        <w:rPr>
          <w:rStyle w:val="Accentuation"/>
          <w:rFonts w:ascii="Times" w:hAnsi="Times" w:cs="Calibri"/>
          <w:i w:val="0"/>
          <w:iCs w:val="0"/>
        </w:rPr>
        <w:t xml:space="preserve">avant </w:t>
      </w:r>
      <w:r w:rsidR="007668AE">
        <w:rPr>
          <w:rStyle w:val="Accentuation"/>
          <w:rFonts w:ascii="Times" w:hAnsi="Times" w:cs="Calibri"/>
          <w:i w:val="0"/>
          <w:iCs w:val="0"/>
        </w:rPr>
        <w:t>d’étudier les</w:t>
      </w:r>
      <w:r w:rsidR="009205F6" w:rsidRPr="00796FFB">
        <w:rPr>
          <w:rStyle w:val="Accentuation"/>
          <w:rFonts w:ascii="Times" w:hAnsi="Times" w:cs="Calibri"/>
          <w:i w:val="0"/>
          <w:iCs w:val="0"/>
        </w:rPr>
        <w:t xml:space="preserve"> </w:t>
      </w:r>
      <w:r w:rsidR="00F3222A">
        <w:rPr>
          <w:rStyle w:val="Accentuation"/>
          <w:rFonts w:ascii="Times" w:hAnsi="Times" w:cs="Calibri"/>
          <w:i w:val="0"/>
          <w:iCs w:val="0"/>
        </w:rPr>
        <w:t>éléments de convergence et de divergence dans les réponses à la pandémie s’agissant de l’accès aux tribunaux</w:t>
      </w:r>
      <w:r w:rsidR="007668AE">
        <w:rPr>
          <w:rStyle w:val="Accentuation"/>
          <w:rFonts w:ascii="Times" w:hAnsi="Times" w:cs="Calibri"/>
          <w:i w:val="0"/>
          <w:iCs w:val="0"/>
        </w:rPr>
        <w:t>. Il formule ensuite des « </w:t>
      </w:r>
      <w:r w:rsidR="000327F8">
        <w:rPr>
          <w:rStyle w:val="Accentuation"/>
          <w:rFonts w:ascii="Times" w:hAnsi="Times" w:cs="Calibri"/>
          <w:i w:val="0"/>
          <w:iCs w:val="0"/>
        </w:rPr>
        <w:t>impensés</w:t>
      </w:r>
      <w:r w:rsidR="007668AE">
        <w:rPr>
          <w:rStyle w:val="Accentuation"/>
          <w:rFonts w:ascii="Times" w:hAnsi="Times" w:cs="Calibri"/>
          <w:i w:val="0"/>
          <w:iCs w:val="0"/>
        </w:rPr>
        <w:t> »</w:t>
      </w:r>
      <w:r w:rsidR="000327F8">
        <w:rPr>
          <w:rStyle w:val="Accentuation"/>
          <w:rFonts w:ascii="Times" w:hAnsi="Times" w:cs="Calibri"/>
          <w:i w:val="0"/>
          <w:iCs w:val="0"/>
        </w:rPr>
        <w:t xml:space="preserve"> de la pandémie</w:t>
      </w:r>
      <w:r w:rsidR="009205F6" w:rsidRPr="00796FFB">
        <w:rPr>
          <w:rStyle w:val="Accentuation"/>
          <w:rFonts w:ascii="Times" w:hAnsi="Times" w:cs="Calibri"/>
          <w:i w:val="0"/>
          <w:iCs w:val="0"/>
        </w:rPr>
        <w:t xml:space="preserve"> </w:t>
      </w:r>
      <w:r w:rsidR="007668AE">
        <w:rPr>
          <w:rStyle w:val="Accentuation"/>
          <w:rFonts w:ascii="Times" w:hAnsi="Times" w:cs="Calibri"/>
          <w:i w:val="0"/>
          <w:iCs w:val="0"/>
        </w:rPr>
        <w:t>suivis de propositions.</w:t>
      </w:r>
    </w:p>
    <w:p w14:paraId="722A1D35" w14:textId="54AF73A3" w:rsidR="009205F6" w:rsidRPr="00796FFB" w:rsidRDefault="009205F6" w:rsidP="004A46A3">
      <w:pPr>
        <w:spacing w:line="360" w:lineRule="auto"/>
        <w:jc w:val="both"/>
        <w:rPr>
          <w:rStyle w:val="Accentuation"/>
          <w:rFonts w:ascii="Times" w:hAnsi="Times" w:cs="Calibri"/>
          <w:i w:val="0"/>
          <w:iCs w:val="0"/>
        </w:rPr>
      </w:pPr>
    </w:p>
    <w:p w14:paraId="69F417F1" w14:textId="1D91CAD0" w:rsidR="009205F6" w:rsidRPr="00796FFB" w:rsidRDefault="009205F6" w:rsidP="004A46A3">
      <w:pPr>
        <w:spacing w:line="360" w:lineRule="auto"/>
        <w:jc w:val="both"/>
        <w:rPr>
          <w:rStyle w:val="Accentuation"/>
          <w:rFonts w:ascii="Times" w:hAnsi="Times" w:cs="Calibri"/>
          <w:b/>
          <w:bCs/>
          <w:i w:val="0"/>
          <w:iCs w:val="0"/>
        </w:rPr>
      </w:pPr>
      <w:r w:rsidRPr="00796FFB">
        <w:rPr>
          <w:rStyle w:val="Accentuation"/>
          <w:rFonts w:ascii="Times" w:hAnsi="Times" w:cs="Calibri"/>
          <w:b/>
          <w:bCs/>
          <w:i w:val="0"/>
          <w:iCs w:val="0"/>
        </w:rPr>
        <w:t>Une recherche initiale sur l’éthique de l’adaptation des contentieux à la pandémie</w:t>
      </w:r>
    </w:p>
    <w:p w14:paraId="26E99FBE" w14:textId="6BA2127D" w:rsidR="009205F6" w:rsidRPr="00796FFB" w:rsidRDefault="009205F6" w:rsidP="004A46A3">
      <w:pPr>
        <w:spacing w:line="360" w:lineRule="auto"/>
        <w:jc w:val="both"/>
        <w:rPr>
          <w:rStyle w:val="Accentuation"/>
          <w:rFonts w:ascii="Times" w:hAnsi="Times" w:cs="Calibri"/>
          <w:i w:val="0"/>
          <w:iCs w:val="0"/>
        </w:rPr>
      </w:pPr>
    </w:p>
    <w:p w14:paraId="039B3A02" w14:textId="7655692F" w:rsidR="009205F6" w:rsidRPr="00796FFB" w:rsidRDefault="009205F6" w:rsidP="004A46A3">
      <w:pPr>
        <w:spacing w:line="360" w:lineRule="auto"/>
        <w:ind w:firstLine="284"/>
        <w:jc w:val="both"/>
        <w:rPr>
          <w:rFonts w:ascii="Times" w:eastAsiaTheme="minorEastAsia" w:hAnsi="Times" w:cs="Calibri"/>
        </w:rPr>
      </w:pPr>
      <w:r w:rsidRPr="00796FFB">
        <w:rPr>
          <w:rFonts w:ascii="Times" w:hAnsi="Times" w:cs="Calibri"/>
        </w:rPr>
        <w:t xml:space="preserve">La crise induite par la pandémie de </w:t>
      </w:r>
      <w:r w:rsidR="006C13C9">
        <w:rPr>
          <w:rFonts w:ascii="Times" w:hAnsi="Times" w:cs="Calibri"/>
        </w:rPr>
        <w:t>c</w:t>
      </w:r>
      <w:r w:rsidRPr="00796FFB">
        <w:rPr>
          <w:rFonts w:ascii="Times" w:hAnsi="Times" w:cs="Calibri"/>
        </w:rPr>
        <w:t>ovid-19 a fait naître un droit d’exception banalisé, auquel a correspondu rapidement un contentieux matériel de l’urgenc</w:t>
      </w:r>
      <w:r w:rsidR="00E5134F" w:rsidRPr="00796FFB">
        <w:rPr>
          <w:rFonts w:ascii="Times" w:hAnsi="Times" w:cs="Calibri"/>
        </w:rPr>
        <w:t>e</w:t>
      </w:r>
      <w:r w:rsidR="0008263E" w:rsidRPr="00796FFB">
        <w:rPr>
          <w:rFonts w:ascii="Times" w:eastAsiaTheme="minorEastAsia" w:hAnsi="Times" w:cs="Calibri"/>
        </w:rPr>
        <w:t>. Mais</w:t>
      </w:r>
      <w:r w:rsidRPr="00796FFB">
        <w:rPr>
          <w:rFonts w:ascii="Times" w:eastAsiaTheme="minorEastAsia" w:hAnsi="Times" w:cs="Calibri"/>
        </w:rPr>
        <w:t xml:space="preserve"> il n’existait au moment de l’émergence d</w:t>
      </w:r>
      <w:r w:rsidR="006C13C9">
        <w:rPr>
          <w:rFonts w:ascii="Times" w:eastAsiaTheme="minorEastAsia" w:hAnsi="Times" w:cs="Calibri"/>
        </w:rPr>
        <w:t>e ce</w:t>
      </w:r>
      <w:r w:rsidRPr="00796FFB">
        <w:rPr>
          <w:rFonts w:ascii="Times" w:eastAsiaTheme="minorEastAsia" w:hAnsi="Times" w:cs="Calibri"/>
        </w:rPr>
        <w:t xml:space="preserve"> projet </w:t>
      </w:r>
      <w:r w:rsidR="006C13C9">
        <w:rPr>
          <w:rFonts w:ascii="Times" w:eastAsiaTheme="minorEastAsia" w:hAnsi="Times" w:cs="Calibri"/>
        </w:rPr>
        <w:t xml:space="preserve">de recherche </w:t>
      </w:r>
      <w:r w:rsidRPr="00796FFB">
        <w:rPr>
          <w:rFonts w:ascii="Times" w:eastAsiaTheme="minorEastAsia" w:hAnsi="Times" w:cs="Calibri"/>
        </w:rPr>
        <w:t xml:space="preserve">aucune analyse systématique de la manière dont les organes contentieux </w:t>
      </w:r>
      <w:r w:rsidR="00796FFB">
        <w:rPr>
          <w:rFonts w:ascii="Times" w:eastAsiaTheme="minorEastAsia" w:hAnsi="Times" w:cs="Calibri"/>
        </w:rPr>
        <w:t xml:space="preserve">– </w:t>
      </w:r>
      <w:r w:rsidRPr="00796FFB">
        <w:rPr>
          <w:rFonts w:ascii="Times" w:eastAsiaTheme="minorEastAsia" w:hAnsi="Times" w:cs="Calibri"/>
        </w:rPr>
        <w:t>principalement les juridictions</w:t>
      </w:r>
      <w:r w:rsidR="00796FFB">
        <w:rPr>
          <w:rFonts w:ascii="Times" w:eastAsiaTheme="minorEastAsia" w:hAnsi="Times" w:cs="Calibri"/>
        </w:rPr>
        <w:t xml:space="preserve"> –</w:t>
      </w:r>
      <w:r w:rsidRPr="00796FFB">
        <w:rPr>
          <w:rFonts w:ascii="Times" w:eastAsiaTheme="minorEastAsia" w:hAnsi="Times" w:cs="Calibri"/>
        </w:rPr>
        <w:t xml:space="preserve"> </w:t>
      </w:r>
      <w:r w:rsidR="0008263E" w:rsidRPr="00796FFB">
        <w:rPr>
          <w:rFonts w:ascii="Times" w:eastAsiaTheme="minorEastAsia" w:hAnsi="Times" w:cs="Calibri"/>
        </w:rPr>
        <w:t>avaient personnellement</w:t>
      </w:r>
      <w:r w:rsidRPr="00796FFB">
        <w:rPr>
          <w:rFonts w:ascii="Times" w:eastAsiaTheme="minorEastAsia" w:hAnsi="Times" w:cs="Calibri"/>
        </w:rPr>
        <w:t xml:space="preserve"> réagi face à la pandémie, ni des impacts de ces réactions pour les </w:t>
      </w:r>
      <w:r w:rsidR="0008263E" w:rsidRPr="00796FFB">
        <w:rPr>
          <w:rFonts w:ascii="Times" w:eastAsiaTheme="minorEastAsia" w:hAnsi="Times" w:cs="Calibri"/>
        </w:rPr>
        <w:t>citoyens</w:t>
      </w:r>
      <w:r w:rsidRPr="00796FFB">
        <w:rPr>
          <w:rFonts w:ascii="Times" w:eastAsiaTheme="minorEastAsia" w:hAnsi="Times" w:cs="Calibri"/>
        </w:rPr>
        <w:t xml:space="preserve">. </w:t>
      </w:r>
    </w:p>
    <w:p w14:paraId="045D9196" w14:textId="3B02F531" w:rsidR="009205F6" w:rsidRPr="00796FFB" w:rsidRDefault="0008263E" w:rsidP="004A46A3">
      <w:pPr>
        <w:spacing w:line="360" w:lineRule="auto"/>
        <w:ind w:firstLine="284"/>
        <w:jc w:val="both"/>
        <w:rPr>
          <w:rFonts w:ascii="Times" w:eastAsiaTheme="minorEastAsia" w:hAnsi="Times" w:cs="Calibri"/>
        </w:rPr>
      </w:pPr>
      <w:r w:rsidRPr="00796FFB">
        <w:rPr>
          <w:rFonts w:ascii="Times" w:eastAsiaTheme="minorEastAsia" w:hAnsi="Times" w:cs="Calibri"/>
        </w:rPr>
        <w:t>Nombreuses</w:t>
      </w:r>
      <w:r w:rsidR="009205F6" w:rsidRPr="00796FFB">
        <w:rPr>
          <w:rFonts w:ascii="Times" w:eastAsiaTheme="minorEastAsia" w:hAnsi="Times" w:cs="Calibri"/>
        </w:rPr>
        <w:t xml:space="preserve"> ont</w:t>
      </w:r>
      <w:r w:rsidRPr="00796FFB">
        <w:rPr>
          <w:rFonts w:ascii="Times" w:eastAsiaTheme="minorEastAsia" w:hAnsi="Times" w:cs="Calibri"/>
        </w:rPr>
        <w:t xml:space="preserve"> pourtant</w:t>
      </w:r>
      <w:r w:rsidR="009205F6" w:rsidRPr="00796FFB">
        <w:rPr>
          <w:rFonts w:ascii="Times" w:eastAsiaTheme="minorEastAsia" w:hAnsi="Times" w:cs="Calibri"/>
        </w:rPr>
        <w:t xml:space="preserve"> été les décisions, en droit interne comme international, visant à adapter le temps judiciaire aux temps pandémiques. </w:t>
      </w:r>
      <w:r w:rsidRPr="00796FFB">
        <w:rPr>
          <w:rFonts w:ascii="Times" w:eastAsiaTheme="minorEastAsia" w:hAnsi="Times" w:cs="Calibri"/>
        </w:rPr>
        <w:t>Prises</w:t>
      </w:r>
      <w:r w:rsidR="009205F6" w:rsidRPr="00796FFB">
        <w:rPr>
          <w:rFonts w:ascii="Times" w:eastAsiaTheme="minorEastAsia" w:hAnsi="Times" w:cs="Calibri"/>
        </w:rPr>
        <w:t xml:space="preserve"> par les décideurs publics ou les </w:t>
      </w:r>
      <w:r w:rsidR="009205F6" w:rsidRPr="00796FFB">
        <w:rPr>
          <w:rFonts w:ascii="Times" w:eastAsiaTheme="minorEastAsia" w:hAnsi="Times" w:cs="Calibri"/>
        </w:rPr>
        <w:lastRenderedPageBreak/>
        <w:t xml:space="preserve">organes contentieux eux-mêmes, </w:t>
      </w:r>
      <w:r w:rsidRPr="00796FFB">
        <w:rPr>
          <w:rFonts w:ascii="Times" w:eastAsiaTheme="minorEastAsia" w:hAnsi="Times" w:cs="Calibri"/>
        </w:rPr>
        <w:t>elles</w:t>
      </w:r>
      <w:r w:rsidR="009205F6" w:rsidRPr="00796FFB">
        <w:rPr>
          <w:rFonts w:ascii="Times" w:eastAsiaTheme="minorEastAsia" w:hAnsi="Times" w:cs="Calibri"/>
        </w:rPr>
        <w:t xml:space="preserve"> </w:t>
      </w:r>
      <w:r w:rsidRPr="00796FFB">
        <w:rPr>
          <w:rFonts w:ascii="Times" w:eastAsiaTheme="minorEastAsia" w:hAnsi="Times" w:cs="Calibri"/>
        </w:rPr>
        <w:t>étaient parfois</w:t>
      </w:r>
      <w:r w:rsidR="009205F6" w:rsidRPr="00796FFB">
        <w:rPr>
          <w:rFonts w:ascii="Times" w:eastAsiaTheme="minorEastAsia" w:hAnsi="Times" w:cs="Calibri"/>
        </w:rPr>
        <w:t xml:space="preserve"> en dehors de tout cadre légal, bien qu’en réaction légitime à l’urgence. </w:t>
      </w:r>
      <w:r w:rsidRPr="00796FFB">
        <w:rPr>
          <w:rFonts w:ascii="Times" w:eastAsiaTheme="minorEastAsia" w:hAnsi="Times" w:cs="Calibri"/>
        </w:rPr>
        <w:t>Quelques exemples : s</w:t>
      </w:r>
      <w:r w:rsidR="009205F6" w:rsidRPr="00796FFB">
        <w:rPr>
          <w:rFonts w:ascii="Times" w:eastAsiaTheme="minorEastAsia" w:hAnsi="Times" w:cs="Calibri"/>
        </w:rPr>
        <w:t>uspension des activités des juridictions, report et adaptation des audiences faute de pouvoir voyager à l’international</w:t>
      </w:r>
      <w:r w:rsidR="009205F6" w:rsidRPr="00796FFB">
        <w:rPr>
          <w:rFonts w:ascii="Times" w:eastAsiaTheme="minorEastAsia" w:hAnsi="Times" w:cs="Calibri"/>
          <w:lang w:eastAsia="fr-FR"/>
        </w:rPr>
        <w:t xml:space="preserve"> (</w:t>
      </w:r>
      <w:r w:rsidR="00796FFB">
        <w:rPr>
          <w:rFonts w:ascii="Times" w:eastAsiaTheme="minorEastAsia" w:hAnsi="Times" w:cs="Calibri"/>
          <w:lang w:eastAsia="fr-FR"/>
        </w:rPr>
        <w:t>on</w:t>
      </w:r>
      <w:r w:rsidR="009205F6" w:rsidRPr="00796FFB">
        <w:rPr>
          <w:rFonts w:ascii="Times" w:eastAsiaTheme="minorEastAsia" w:hAnsi="Times" w:cs="Calibri"/>
          <w:lang w:eastAsia="fr-FR"/>
        </w:rPr>
        <w:t xml:space="preserve"> pense à la Cour internationale de justice)</w:t>
      </w:r>
      <w:r w:rsidR="009205F6" w:rsidRPr="00796FFB">
        <w:rPr>
          <w:rFonts w:ascii="Times" w:eastAsiaTheme="minorEastAsia" w:hAnsi="Times" w:cs="Calibri"/>
        </w:rPr>
        <w:t>, abandon de la collégialité au profit du juge unique</w:t>
      </w:r>
      <w:r w:rsidR="009205F6" w:rsidRPr="00796FFB">
        <w:rPr>
          <w:rFonts w:ascii="Times" w:eastAsiaTheme="minorEastAsia" w:hAnsi="Times" w:cs="Calibri"/>
          <w:lang w:eastAsia="fr-FR"/>
        </w:rPr>
        <w:t xml:space="preserve"> (</w:t>
      </w:r>
      <w:r w:rsidR="00796FFB">
        <w:rPr>
          <w:rFonts w:ascii="Times" w:eastAsiaTheme="minorEastAsia" w:hAnsi="Times" w:cs="Calibri"/>
          <w:lang w:eastAsia="fr-FR"/>
        </w:rPr>
        <w:t>on</w:t>
      </w:r>
      <w:r w:rsidR="009205F6" w:rsidRPr="00796FFB">
        <w:rPr>
          <w:rFonts w:ascii="Times" w:eastAsiaTheme="minorEastAsia" w:hAnsi="Times" w:cs="Calibri"/>
          <w:lang w:eastAsia="fr-FR"/>
        </w:rPr>
        <w:t xml:space="preserve"> pense à la Cour nationale du droit d’asile en France)</w:t>
      </w:r>
      <w:r w:rsidRPr="00796FFB">
        <w:rPr>
          <w:rFonts w:ascii="Times" w:eastAsiaTheme="minorEastAsia" w:hAnsi="Times" w:cs="Calibri"/>
          <w:lang w:eastAsia="fr-FR"/>
        </w:rPr>
        <w:t>,</w:t>
      </w:r>
      <w:r w:rsidR="009205F6" w:rsidRPr="00796FFB">
        <w:rPr>
          <w:rFonts w:ascii="Times" w:eastAsiaTheme="minorEastAsia" w:hAnsi="Times" w:cs="Calibri"/>
        </w:rPr>
        <w:t xml:space="preserve"> assouplissement des délais, simplification des étapes contentieuses (par exemple l’ordonnance du 25 mars 2020 sur l</w:t>
      </w:r>
      <w:r w:rsidR="00796FFB">
        <w:rPr>
          <w:rFonts w:ascii="Times" w:eastAsiaTheme="minorEastAsia" w:hAnsi="Times" w:cs="Calibri"/>
        </w:rPr>
        <w:t>’adaptation de la</w:t>
      </w:r>
      <w:r w:rsidR="009205F6" w:rsidRPr="00796FFB">
        <w:rPr>
          <w:rFonts w:ascii="Times" w:eastAsiaTheme="minorEastAsia" w:hAnsi="Times" w:cs="Calibri"/>
        </w:rPr>
        <w:t xml:space="preserve"> procédure pénale en France) ou encore recours à la visioconférence sans l’accord des parties </w:t>
      </w:r>
      <w:r w:rsidR="009205F6" w:rsidRPr="00796FFB">
        <w:rPr>
          <w:rFonts w:ascii="Times" w:hAnsi="Times" w:cs="Calibri"/>
        </w:rPr>
        <w:t>devant les cours d’assises et les cours criminelles</w:t>
      </w:r>
      <w:r w:rsidR="009205F6" w:rsidRPr="00796FFB">
        <w:rPr>
          <w:rFonts w:ascii="Times" w:eastAsiaTheme="minorEastAsia" w:hAnsi="Times" w:cs="Calibri"/>
          <w:lang w:eastAsia="fr-FR"/>
        </w:rPr>
        <w:t xml:space="preserve"> </w:t>
      </w:r>
      <w:r w:rsidR="009205F6" w:rsidRPr="006C13C9">
        <w:rPr>
          <w:rFonts w:ascii="Times" w:eastAsiaTheme="minorEastAsia" w:hAnsi="Times" w:cs="Calibri"/>
          <w:lang w:eastAsia="fr-FR"/>
        </w:rPr>
        <w:t>(</w:t>
      </w:r>
      <w:r w:rsidR="006C13C9">
        <w:rPr>
          <w:rFonts w:ascii="Times" w:hAnsi="Times" w:cs="Calibri"/>
        </w:rPr>
        <w:t>o</w:t>
      </w:r>
      <w:r w:rsidR="009205F6" w:rsidRPr="006C13C9">
        <w:rPr>
          <w:rFonts w:ascii="Times" w:hAnsi="Times" w:cs="Calibri"/>
        </w:rPr>
        <w:t>rdonnance du 18 novembre 2020, suspendue</w:t>
      </w:r>
      <w:r w:rsidR="009205F6" w:rsidRPr="00796FFB">
        <w:rPr>
          <w:rFonts w:ascii="Times" w:hAnsi="Times" w:cs="Calibri"/>
        </w:rPr>
        <w:t xml:space="preserve"> en référé le 25 novembre 2020)</w:t>
      </w:r>
      <w:r w:rsidRPr="00796FFB">
        <w:rPr>
          <w:rFonts w:ascii="Times" w:eastAsiaTheme="minorEastAsia" w:hAnsi="Times" w:cs="Calibri"/>
        </w:rPr>
        <w:t>.</w:t>
      </w:r>
    </w:p>
    <w:p w14:paraId="750D16EB" w14:textId="1AAD82BC" w:rsidR="009205F6" w:rsidRPr="00796FFB" w:rsidRDefault="009205F6" w:rsidP="004A46A3">
      <w:pPr>
        <w:spacing w:line="360" w:lineRule="auto"/>
        <w:ind w:firstLine="284"/>
        <w:jc w:val="both"/>
        <w:rPr>
          <w:rFonts w:ascii="Times" w:eastAsiaTheme="minorEastAsia" w:hAnsi="Times" w:cs="Calibri"/>
        </w:rPr>
      </w:pPr>
      <w:r w:rsidRPr="00796FFB">
        <w:rPr>
          <w:rFonts w:ascii="Times" w:eastAsiaTheme="minorEastAsia" w:hAnsi="Times" w:cs="Calibri"/>
        </w:rPr>
        <w:t xml:space="preserve">Tout cela a suscité une « perte de confiance du citoyen » </w:t>
      </w:r>
      <w:r w:rsidR="00796FFB">
        <w:rPr>
          <w:rFonts w:ascii="Times" w:eastAsiaTheme="minorEastAsia" w:hAnsi="Times" w:cs="Calibri"/>
        </w:rPr>
        <w:t>(</w:t>
      </w:r>
      <w:proofErr w:type="spellStart"/>
      <w:r w:rsidR="00796FFB">
        <w:rPr>
          <w:rFonts w:ascii="Times" w:eastAsiaTheme="minorEastAsia" w:hAnsi="Times" w:cs="Calibri"/>
        </w:rPr>
        <w:t>C</w:t>
      </w:r>
      <w:r w:rsidR="00877A5E">
        <w:rPr>
          <w:rFonts w:ascii="Times" w:eastAsiaTheme="minorEastAsia" w:hAnsi="Times" w:cs="Calibri"/>
        </w:rPr>
        <w:t>oatanlem</w:t>
      </w:r>
      <w:proofErr w:type="spellEnd"/>
      <w:r w:rsidR="00796FFB">
        <w:rPr>
          <w:rFonts w:ascii="Times" w:eastAsiaTheme="minorEastAsia" w:hAnsi="Times" w:cs="Calibri"/>
        </w:rPr>
        <w:t xml:space="preserve">, 2017) </w:t>
      </w:r>
      <w:r w:rsidRPr="00796FFB">
        <w:rPr>
          <w:rFonts w:ascii="Times" w:eastAsiaTheme="minorEastAsia" w:hAnsi="Times" w:cs="Calibri"/>
        </w:rPr>
        <w:t>dans le système juridictionnel</w:t>
      </w:r>
      <w:r w:rsidR="0008263E" w:rsidRPr="00796FFB">
        <w:rPr>
          <w:rFonts w:ascii="Times" w:eastAsiaTheme="minorEastAsia" w:hAnsi="Times" w:cs="Calibri"/>
        </w:rPr>
        <w:t xml:space="preserve">, </w:t>
      </w:r>
      <w:r w:rsidRPr="00796FFB">
        <w:rPr>
          <w:rFonts w:ascii="Times" w:eastAsiaTheme="minorEastAsia" w:hAnsi="Times" w:cs="Calibri"/>
        </w:rPr>
        <w:t xml:space="preserve">le phénomène </w:t>
      </w:r>
      <w:r w:rsidR="0008263E" w:rsidRPr="00796FFB">
        <w:rPr>
          <w:rFonts w:ascii="Times" w:eastAsiaTheme="minorEastAsia" w:hAnsi="Times" w:cs="Calibri"/>
        </w:rPr>
        <w:t>ne se limitant d’ailleurs pas</w:t>
      </w:r>
      <w:r w:rsidRPr="00796FFB">
        <w:rPr>
          <w:rFonts w:ascii="Times" w:eastAsiaTheme="minorEastAsia" w:hAnsi="Times" w:cs="Calibri"/>
        </w:rPr>
        <w:t xml:space="preserve"> aux juridictions. </w:t>
      </w:r>
    </w:p>
    <w:p w14:paraId="463494E9" w14:textId="35331F52" w:rsidR="0008263E" w:rsidRPr="00796FFB" w:rsidRDefault="009205F6" w:rsidP="004A46A3">
      <w:pPr>
        <w:spacing w:line="360" w:lineRule="auto"/>
        <w:ind w:firstLine="284"/>
        <w:jc w:val="both"/>
        <w:rPr>
          <w:rFonts w:ascii="Times" w:hAnsi="Times" w:cs="Calibri"/>
        </w:rPr>
      </w:pPr>
      <w:r w:rsidRPr="00796FFB">
        <w:rPr>
          <w:rFonts w:ascii="Times" w:eastAsiaTheme="minorEastAsia" w:hAnsi="Times" w:cs="Calibri"/>
        </w:rPr>
        <w:t>Au-delà d</w:t>
      </w:r>
      <w:r w:rsidR="0008263E" w:rsidRPr="00796FFB">
        <w:rPr>
          <w:rFonts w:ascii="Times" w:eastAsiaTheme="minorEastAsia" w:hAnsi="Times" w:cs="Calibri"/>
        </w:rPr>
        <w:t xml:space="preserve">e la légalité </w:t>
      </w:r>
      <w:r w:rsidRPr="00796FFB">
        <w:rPr>
          <w:rFonts w:ascii="Times" w:eastAsiaTheme="minorEastAsia" w:hAnsi="Times" w:cs="Calibri"/>
        </w:rPr>
        <w:t xml:space="preserve">juridique parfois </w:t>
      </w:r>
      <w:r w:rsidR="0008263E" w:rsidRPr="00796FFB">
        <w:rPr>
          <w:rFonts w:ascii="Times" w:eastAsiaTheme="minorEastAsia" w:hAnsi="Times" w:cs="Calibri"/>
        </w:rPr>
        <w:t>discutable</w:t>
      </w:r>
      <w:r w:rsidRPr="00796FFB">
        <w:rPr>
          <w:rFonts w:ascii="Times" w:eastAsiaTheme="minorEastAsia" w:hAnsi="Times" w:cs="Calibri"/>
        </w:rPr>
        <w:t xml:space="preserve"> des réactions des différents organes contentieux, la question de l’acceptation sociale de ces nouvelles règles – censées pour la plupart être temporaires – et de leur dimension éthique n’a pas toujours été posée. Or, leur légitimité</w:t>
      </w:r>
      <w:r w:rsidRPr="00796FFB">
        <w:rPr>
          <w:rFonts w:ascii="Times" w:eastAsiaTheme="minorEastAsia" w:hAnsi="Times" w:cs="Calibri"/>
        </w:rPr>
        <w:fldChar w:fldCharType="begin"/>
      </w:r>
      <w:r w:rsidRPr="00796FFB">
        <w:rPr>
          <w:rFonts w:ascii="Times" w:hAnsi="Times" w:cs="Calibri"/>
        </w:rPr>
        <w:instrText xml:space="preserve"> XE "Légitimité" </w:instrText>
      </w:r>
      <w:r w:rsidRPr="00796FFB">
        <w:rPr>
          <w:rFonts w:ascii="Times" w:eastAsiaTheme="minorEastAsia" w:hAnsi="Times" w:cs="Calibri"/>
        </w:rPr>
        <w:fldChar w:fldCharType="end"/>
      </w:r>
      <w:r w:rsidRPr="00796FFB">
        <w:rPr>
          <w:rFonts w:ascii="Times" w:eastAsiaTheme="minorEastAsia" w:hAnsi="Times" w:cs="Calibri"/>
        </w:rPr>
        <w:t xml:space="preserve"> dépend de leur rattachement à un socle commun de valeurs morales et éthiques</w:t>
      </w:r>
      <w:r w:rsidR="00796FFB">
        <w:rPr>
          <w:rFonts w:ascii="Times" w:eastAsiaTheme="minorEastAsia" w:hAnsi="Times" w:cs="Calibri"/>
        </w:rPr>
        <w:t xml:space="preserve"> (</w:t>
      </w:r>
      <w:proofErr w:type="spellStart"/>
      <w:r w:rsidR="00796FFB">
        <w:rPr>
          <w:rFonts w:ascii="Times" w:eastAsiaTheme="minorEastAsia" w:hAnsi="Times" w:cs="Calibri"/>
        </w:rPr>
        <w:t>K</w:t>
      </w:r>
      <w:r w:rsidR="00877A5E">
        <w:rPr>
          <w:rFonts w:ascii="Times" w:eastAsiaTheme="minorEastAsia" w:hAnsi="Times" w:cs="Calibri"/>
        </w:rPr>
        <w:t>erléo</w:t>
      </w:r>
      <w:proofErr w:type="spellEnd"/>
      <w:r w:rsidR="00796FFB">
        <w:rPr>
          <w:rFonts w:ascii="Times" w:eastAsiaTheme="minorEastAsia" w:hAnsi="Times" w:cs="Calibri"/>
        </w:rPr>
        <w:t>, 2021)</w:t>
      </w:r>
      <w:r w:rsidR="0008263E" w:rsidRPr="00796FFB">
        <w:rPr>
          <w:rFonts w:ascii="Times" w:hAnsi="Times" w:cs="Calibri"/>
        </w:rPr>
        <w:t>.</w:t>
      </w:r>
      <w:r w:rsidRPr="00796FFB">
        <w:rPr>
          <w:rFonts w:ascii="Times" w:hAnsi="Times" w:cs="Calibri"/>
        </w:rPr>
        <w:t xml:space="preserve"> Il en va à la fois de la cohésion sociale, de la bonne administration de la justice</w:t>
      </w:r>
      <w:r w:rsidRPr="00796FFB">
        <w:rPr>
          <w:rFonts w:ascii="Times" w:hAnsi="Times" w:cs="Calibri"/>
        </w:rPr>
        <w:fldChar w:fldCharType="begin"/>
      </w:r>
      <w:r w:rsidRPr="00796FFB">
        <w:rPr>
          <w:rFonts w:ascii="Times" w:hAnsi="Times" w:cs="Calibri"/>
        </w:rPr>
        <w:instrText xml:space="preserve"> XE "bonne administration de la justice" </w:instrText>
      </w:r>
      <w:r w:rsidRPr="00796FFB">
        <w:rPr>
          <w:rFonts w:ascii="Times" w:hAnsi="Times" w:cs="Calibri"/>
        </w:rPr>
        <w:fldChar w:fldCharType="end"/>
      </w:r>
      <w:r w:rsidRPr="00796FFB">
        <w:rPr>
          <w:rFonts w:ascii="Times" w:hAnsi="Times" w:cs="Calibri"/>
        </w:rPr>
        <w:t xml:space="preserve"> et de la lutte contre la vulnérabilité des victimes, quel que soit le contentieux concerné.</w:t>
      </w:r>
      <w:r w:rsidR="0008263E" w:rsidRPr="00796FFB">
        <w:rPr>
          <w:rFonts w:ascii="Times" w:hAnsi="Times" w:cs="Calibri"/>
        </w:rPr>
        <w:t xml:space="preserve"> Il fallait donc poser la question de l’éthique pour expliquer l’acceptabilité ou la non-acceptabilité de ces mesures.</w:t>
      </w:r>
    </w:p>
    <w:p w14:paraId="6E1608AC" w14:textId="28F2AF89" w:rsidR="009D00D1" w:rsidRPr="00796FFB" w:rsidRDefault="0008263E" w:rsidP="004A46A3">
      <w:pPr>
        <w:spacing w:line="360" w:lineRule="auto"/>
        <w:ind w:firstLine="284"/>
        <w:jc w:val="both"/>
        <w:rPr>
          <w:rFonts w:ascii="Times" w:hAnsi="Times" w:cs="Calibri"/>
        </w:rPr>
      </w:pPr>
      <w:r w:rsidRPr="00796FFB">
        <w:rPr>
          <w:rFonts w:ascii="Times" w:hAnsi="Times" w:cs="Calibri"/>
        </w:rPr>
        <w:t xml:space="preserve">Le projet s’est </w:t>
      </w:r>
      <w:r w:rsidR="00796FFB">
        <w:rPr>
          <w:rFonts w:ascii="Times" w:hAnsi="Times" w:cs="Calibri"/>
        </w:rPr>
        <w:t>ainsi</w:t>
      </w:r>
      <w:r w:rsidRPr="00796FFB">
        <w:rPr>
          <w:rFonts w:ascii="Times" w:hAnsi="Times" w:cs="Calibri"/>
        </w:rPr>
        <w:t xml:space="preserve"> focalisé</w:t>
      </w:r>
      <w:r w:rsidR="00EC2920">
        <w:rPr>
          <w:rFonts w:ascii="Times" w:hAnsi="Times" w:cs="Calibri"/>
        </w:rPr>
        <w:t xml:space="preserve"> </w:t>
      </w:r>
      <w:r w:rsidR="00EC2920" w:rsidRPr="00EC2920">
        <w:rPr>
          <w:rFonts w:ascii="Times" w:hAnsi="Times" w:cs="Calibri"/>
          <w:color w:val="FF0000"/>
        </w:rPr>
        <w:t>sur l’étude des réactions des pouvoirs publics et des institutions contentieuses, c’est-à-dire des juridictions et plus largement des organes chargés de trancher des litiges en se fondant principalement sur des règles juridiques, à la pandémie, afin de déterminer la mesure dans laquelle un questionnement éthique a présidé à l’adaptation des procédures. La recherche s’est aussi concentrée</w:t>
      </w:r>
      <w:r w:rsidR="00EC2920">
        <w:rPr>
          <w:rFonts w:ascii="Times" w:hAnsi="Times" w:cs="Calibri"/>
        </w:rPr>
        <w:t xml:space="preserve"> </w:t>
      </w:r>
      <w:r w:rsidRPr="00796FFB">
        <w:rPr>
          <w:rFonts w:ascii="Times" w:hAnsi="Times" w:cs="Calibri"/>
        </w:rPr>
        <w:t>sur leurs conséquences éventuelles sur la déontologie</w:t>
      </w:r>
      <w:r w:rsidRPr="00796FFB">
        <w:rPr>
          <w:rFonts w:ascii="Times" w:hAnsi="Times" w:cs="Calibri"/>
        </w:rPr>
        <w:fldChar w:fldCharType="begin"/>
      </w:r>
      <w:r w:rsidRPr="00796FFB">
        <w:rPr>
          <w:rFonts w:ascii="Times" w:hAnsi="Times" w:cs="Calibri"/>
        </w:rPr>
        <w:instrText xml:space="preserve"> XE "déontologie" </w:instrText>
      </w:r>
      <w:r w:rsidRPr="00796FFB">
        <w:rPr>
          <w:rFonts w:ascii="Times" w:hAnsi="Times" w:cs="Calibri"/>
        </w:rPr>
        <w:fldChar w:fldCharType="end"/>
      </w:r>
      <w:r w:rsidRPr="00796FFB">
        <w:rPr>
          <w:rFonts w:ascii="Times" w:hAnsi="Times" w:cs="Calibri"/>
        </w:rPr>
        <w:t xml:space="preserve"> des juges et arbitres et sur les aspects éthiques de la bonne administration de la justice</w:t>
      </w:r>
      <w:r w:rsidRPr="00796FFB">
        <w:rPr>
          <w:rFonts w:ascii="Times" w:hAnsi="Times" w:cs="Calibri"/>
        </w:rPr>
        <w:fldChar w:fldCharType="begin"/>
      </w:r>
      <w:r w:rsidRPr="00796FFB">
        <w:rPr>
          <w:rFonts w:ascii="Times" w:hAnsi="Times" w:cs="Calibri"/>
        </w:rPr>
        <w:instrText xml:space="preserve"> XE "bonne administration de la justice" </w:instrText>
      </w:r>
      <w:r w:rsidRPr="00796FFB">
        <w:rPr>
          <w:rFonts w:ascii="Times" w:hAnsi="Times" w:cs="Calibri"/>
        </w:rPr>
        <w:fldChar w:fldCharType="end"/>
      </w:r>
      <w:r w:rsidRPr="00796FFB">
        <w:rPr>
          <w:rFonts w:ascii="Times" w:hAnsi="Times" w:cs="Calibri"/>
        </w:rPr>
        <w:t xml:space="preserve"> qui sont au cœur des enjeux de citoyenneté. </w:t>
      </w:r>
      <w:r w:rsidR="00796FFB">
        <w:rPr>
          <w:rFonts w:ascii="Times" w:hAnsi="Times" w:cs="Calibri"/>
        </w:rPr>
        <w:t>Au cours de la recherche, les auteurs se sont</w:t>
      </w:r>
      <w:r w:rsidRPr="00796FFB">
        <w:rPr>
          <w:rFonts w:ascii="Times" w:hAnsi="Times" w:cs="Calibri"/>
        </w:rPr>
        <w:t xml:space="preserve"> souvent appuyés sur une notion qui irrigue et sous-tend finalement la réflexion : il existe une « éthique de l’adaptation »</w:t>
      </w:r>
      <w:r w:rsidR="00796FFB">
        <w:rPr>
          <w:rFonts w:ascii="Times" w:hAnsi="Times" w:cs="Calibri"/>
        </w:rPr>
        <w:t xml:space="preserve"> (P</w:t>
      </w:r>
      <w:r w:rsidR="00877A5E">
        <w:rPr>
          <w:rFonts w:ascii="Times" w:hAnsi="Times" w:cs="Calibri"/>
        </w:rPr>
        <w:t>ierron</w:t>
      </w:r>
      <w:r w:rsidR="00796FFB">
        <w:rPr>
          <w:rFonts w:ascii="Times" w:hAnsi="Times" w:cs="Calibri"/>
        </w:rPr>
        <w:t>, 2022)</w:t>
      </w:r>
      <w:r w:rsidRPr="00796FFB">
        <w:rPr>
          <w:rFonts w:ascii="Times" w:hAnsi="Times" w:cs="Calibri"/>
        </w:rPr>
        <w:t xml:space="preserve"> et c’est bien </w:t>
      </w:r>
      <w:r w:rsidRPr="00796FFB">
        <w:rPr>
          <w:rFonts w:ascii="Times" w:hAnsi="Times" w:cs="Calibri"/>
        </w:rPr>
        <w:lastRenderedPageBreak/>
        <w:t>la question de savoir dans quelle mesure elle a été mobilisée ou non en réponse à la pandémie et</w:t>
      </w:r>
      <w:r w:rsidR="00CD5371">
        <w:rPr>
          <w:rFonts w:ascii="Times" w:hAnsi="Times" w:cs="Calibri"/>
        </w:rPr>
        <w:t>, si la réponse est</w:t>
      </w:r>
      <w:r w:rsidRPr="00796FFB">
        <w:rPr>
          <w:rFonts w:ascii="Times" w:hAnsi="Times" w:cs="Calibri"/>
        </w:rPr>
        <w:t xml:space="preserve"> positive</w:t>
      </w:r>
      <w:r w:rsidR="00CD5371">
        <w:rPr>
          <w:rFonts w:ascii="Times" w:hAnsi="Times" w:cs="Calibri"/>
        </w:rPr>
        <w:t>,</w:t>
      </w:r>
      <w:r w:rsidRPr="00796FFB">
        <w:rPr>
          <w:rFonts w:ascii="Times" w:hAnsi="Times" w:cs="Calibri"/>
        </w:rPr>
        <w:t xml:space="preserve"> de quelle manière</w:t>
      </w:r>
      <w:r w:rsidR="00CD5371">
        <w:rPr>
          <w:rFonts w:ascii="Times" w:hAnsi="Times" w:cs="Calibri"/>
        </w:rPr>
        <w:t> ?</w:t>
      </w:r>
      <w:r w:rsidRPr="00796FFB">
        <w:rPr>
          <w:rFonts w:ascii="Times" w:hAnsi="Times" w:cs="Calibri"/>
        </w:rPr>
        <w:t xml:space="preserve"> </w:t>
      </w:r>
    </w:p>
    <w:p w14:paraId="2D1EEFD7" w14:textId="0176B065" w:rsidR="00732358" w:rsidRDefault="0008263E" w:rsidP="004A46A3">
      <w:pPr>
        <w:spacing w:line="360" w:lineRule="auto"/>
        <w:ind w:firstLine="284"/>
        <w:jc w:val="both"/>
        <w:rPr>
          <w:rFonts w:ascii="Times" w:hAnsi="Times" w:cs="Calibri"/>
        </w:rPr>
      </w:pPr>
      <w:r w:rsidRPr="00796FFB">
        <w:rPr>
          <w:rFonts w:ascii="Times" w:hAnsi="Times" w:cs="Calibri"/>
        </w:rPr>
        <w:t>L’une</w:t>
      </w:r>
      <w:r w:rsidR="009205F6" w:rsidRPr="00796FFB">
        <w:rPr>
          <w:rFonts w:ascii="Times" w:hAnsi="Times" w:cs="Calibri"/>
        </w:rPr>
        <w:t xml:space="preserve"> des intuitions qui sous-tendait </w:t>
      </w:r>
      <w:r w:rsidR="00D3073F">
        <w:rPr>
          <w:rFonts w:ascii="Times" w:hAnsi="Times" w:cs="Calibri"/>
        </w:rPr>
        <w:t>c</w:t>
      </w:r>
      <w:r w:rsidRPr="00796FFB">
        <w:rPr>
          <w:rFonts w:ascii="Times" w:hAnsi="Times" w:cs="Calibri"/>
        </w:rPr>
        <w:t>e projet</w:t>
      </w:r>
      <w:r w:rsidR="00D3073F">
        <w:rPr>
          <w:rFonts w:ascii="Times" w:hAnsi="Times" w:cs="Calibri"/>
        </w:rPr>
        <w:t xml:space="preserve"> de recherche</w:t>
      </w:r>
      <w:r w:rsidR="00732358">
        <w:rPr>
          <w:rFonts w:ascii="Times" w:hAnsi="Times" w:cs="Calibri"/>
        </w:rPr>
        <w:t>, qui a</w:t>
      </w:r>
      <w:r w:rsidR="00732358" w:rsidRPr="00796FFB">
        <w:rPr>
          <w:rFonts w:ascii="Times" w:hAnsi="Times" w:cs="Calibri"/>
        </w:rPr>
        <w:t xml:space="preserve"> </w:t>
      </w:r>
      <w:r w:rsidR="00CD5371">
        <w:rPr>
          <w:rFonts w:ascii="Times" w:hAnsi="Times" w:cs="Calibri"/>
        </w:rPr>
        <w:t>mobilisé une quarantaine</w:t>
      </w:r>
      <w:r w:rsidR="00732358" w:rsidRPr="00796FFB">
        <w:rPr>
          <w:rFonts w:ascii="Times" w:hAnsi="Times" w:cs="Calibri"/>
        </w:rPr>
        <w:t xml:space="preserve"> </w:t>
      </w:r>
      <w:r w:rsidR="00CD5371">
        <w:rPr>
          <w:rFonts w:ascii="Times" w:hAnsi="Times" w:cs="Calibri"/>
        </w:rPr>
        <w:t>d’</w:t>
      </w:r>
      <w:r w:rsidR="00732358" w:rsidRPr="00796FFB">
        <w:rPr>
          <w:rFonts w:ascii="Times" w:hAnsi="Times" w:cs="Calibri"/>
        </w:rPr>
        <w:t xml:space="preserve">auteurs </w:t>
      </w:r>
      <w:r w:rsidR="00CD5371">
        <w:rPr>
          <w:rFonts w:ascii="Times" w:hAnsi="Times" w:cs="Calibri"/>
        </w:rPr>
        <w:t>étudiant</w:t>
      </w:r>
      <w:r w:rsidR="00732358" w:rsidRPr="00796FFB">
        <w:rPr>
          <w:rFonts w:ascii="Times" w:hAnsi="Times" w:cs="Calibri"/>
        </w:rPr>
        <w:t xml:space="preserve"> autant de juridictions et procédures contentieuses nationales, régionales et internationales</w:t>
      </w:r>
      <w:r w:rsidR="00732358">
        <w:rPr>
          <w:rFonts w:ascii="Times" w:hAnsi="Times" w:cs="Calibri"/>
        </w:rPr>
        <w:t>,</w:t>
      </w:r>
      <w:r w:rsidRPr="00796FFB">
        <w:rPr>
          <w:rFonts w:ascii="Times" w:hAnsi="Times" w:cs="Calibri"/>
        </w:rPr>
        <w:t xml:space="preserve"> </w:t>
      </w:r>
      <w:r w:rsidR="009205F6" w:rsidRPr="00796FFB">
        <w:rPr>
          <w:rFonts w:ascii="Times" w:hAnsi="Times" w:cs="Calibri"/>
        </w:rPr>
        <w:t xml:space="preserve">était qu’au-delà de l’adaptation immédiate, les juridictions sortiraient </w:t>
      </w:r>
      <w:r w:rsidR="009205F6" w:rsidRPr="00732358">
        <w:rPr>
          <w:rFonts w:ascii="Times" w:hAnsi="Times" w:cs="Calibri"/>
        </w:rPr>
        <w:t>transformées</w:t>
      </w:r>
      <w:r w:rsidR="009205F6" w:rsidRPr="00796FFB">
        <w:rPr>
          <w:rFonts w:ascii="Times" w:hAnsi="Times" w:cs="Calibri"/>
        </w:rPr>
        <w:t xml:space="preserve"> de la pandémie et que le droit, comme toujours, traduirait les évolutions institutionnelles et </w:t>
      </w:r>
      <w:r w:rsidRPr="00796FFB">
        <w:rPr>
          <w:rFonts w:ascii="Times" w:hAnsi="Times" w:cs="Calibri"/>
        </w:rPr>
        <w:t>sociales</w:t>
      </w:r>
      <w:r w:rsidR="009205F6" w:rsidRPr="00796FFB">
        <w:rPr>
          <w:rFonts w:ascii="Times" w:hAnsi="Times" w:cs="Calibri"/>
        </w:rPr>
        <w:t xml:space="preserve"> </w:t>
      </w:r>
      <w:r w:rsidR="00D3073F">
        <w:rPr>
          <w:rFonts w:ascii="Times" w:hAnsi="Times" w:cs="Calibri"/>
        </w:rPr>
        <w:t>engendrées</w:t>
      </w:r>
      <w:r w:rsidR="009205F6" w:rsidRPr="00796FFB">
        <w:rPr>
          <w:rFonts w:ascii="Times" w:hAnsi="Times" w:cs="Calibri"/>
        </w:rPr>
        <w:t xml:space="preserve"> par la pandémie. Ce pressentiment</w:t>
      </w:r>
      <w:r w:rsidR="009D00D1" w:rsidRPr="00796FFB">
        <w:rPr>
          <w:rFonts w:ascii="Times" w:hAnsi="Times" w:cs="Calibri"/>
        </w:rPr>
        <w:t xml:space="preserve"> </w:t>
      </w:r>
      <w:r w:rsidR="009205F6" w:rsidRPr="00796FFB">
        <w:rPr>
          <w:rFonts w:ascii="Times" w:hAnsi="Times" w:cs="Calibri"/>
        </w:rPr>
        <w:t xml:space="preserve">n’a pas été démenti. </w:t>
      </w:r>
      <w:r w:rsidRPr="00796FFB">
        <w:rPr>
          <w:rFonts w:ascii="Times" w:hAnsi="Times" w:cs="Calibri"/>
        </w:rPr>
        <w:t>L</w:t>
      </w:r>
      <w:r w:rsidR="00CA3D0F" w:rsidRPr="00796FFB">
        <w:rPr>
          <w:rFonts w:ascii="Times" w:hAnsi="Times" w:cs="Calibri"/>
        </w:rPr>
        <w:t>’ensemble des</w:t>
      </w:r>
      <w:r w:rsidR="009205F6" w:rsidRPr="00796FFB">
        <w:rPr>
          <w:rFonts w:ascii="Times" w:hAnsi="Times" w:cs="Calibri"/>
        </w:rPr>
        <w:t xml:space="preserve"> solutions nationales et internationales retenu</w:t>
      </w:r>
      <w:r w:rsidR="00D3073F">
        <w:rPr>
          <w:rFonts w:ascii="Times" w:hAnsi="Times" w:cs="Calibri"/>
        </w:rPr>
        <w:t>es</w:t>
      </w:r>
      <w:r w:rsidR="009205F6" w:rsidRPr="00796FFB">
        <w:rPr>
          <w:rFonts w:ascii="Times" w:hAnsi="Times" w:cs="Calibri"/>
        </w:rPr>
        <w:t xml:space="preserve"> pour concilier impératifs sanitaires et exigence de continuité des services contentieux, démontre en effet que la pandémie a</w:t>
      </w:r>
      <w:r w:rsidR="00CA3D0F" w:rsidRPr="00796FFB">
        <w:rPr>
          <w:rFonts w:ascii="Times" w:hAnsi="Times" w:cs="Calibri"/>
        </w:rPr>
        <w:t xml:space="preserve"> résolument</w:t>
      </w:r>
      <w:r w:rsidR="009205F6" w:rsidRPr="00796FFB">
        <w:rPr>
          <w:rFonts w:ascii="Times" w:hAnsi="Times" w:cs="Calibri"/>
        </w:rPr>
        <w:t xml:space="preserve"> fait passer la </w:t>
      </w:r>
      <w:r w:rsidR="00D3073F">
        <w:rPr>
          <w:rFonts w:ascii="Times" w:hAnsi="Times" w:cs="Calibri"/>
        </w:rPr>
        <w:t>j</w:t>
      </w:r>
      <w:r w:rsidR="009205F6" w:rsidRPr="00796FFB">
        <w:rPr>
          <w:rFonts w:ascii="Times" w:hAnsi="Times" w:cs="Calibri"/>
        </w:rPr>
        <w:t>ustice dans l’ère de la digitalisation</w:t>
      </w:r>
      <w:r w:rsidR="009205F6" w:rsidRPr="00796FFB">
        <w:rPr>
          <w:rFonts w:ascii="Times" w:hAnsi="Times" w:cs="Calibri"/>
        </w:rPr>
        <w:fldChar w:fldCharType="begin"/>
      </w:r>
      <w:r w:rsidR="009205F6" w:rsidRPr="00796FFB">
        <w:rPr>
          <w:rFonts w:ascii="Times" w:hAnsi="Times" w:cs="Calibri"/>
        </w:rPr>
        <w:instrText xml:space="preserve"> XE "digitalisation" </w:instrText>
      </w:r>
      <w:r w:rsidR="009205F6" w:rsidRPr="00796FFB">
        <w:rPr>
          <w:rFonts w:ascii="Times" w:hAnsi="Times" w:cs="Calibri"/>
        </w:rPr>
        <w:fldChar w:fldCharType="end"/>
      </w:r>
      <w:r w:rsidR="009205F6" w:rsidRPr="00796FFB">
        <w:rPr>
          <w:rFonts w:ascii="Times" w:hAnsi="Times" w:cs="Calibri"/>
        </w:rPr>
        <w:t xml:space="preserve">, obligeant à croiser les questions </w:t>
      </w:r>
      <w:r w:rsidR="00CA3D0F" w:rsidRPr="00796FFB">
        <w:rPr>
          <w:rFonts w:ascii="Times" w:hAnsi="Times" w:cs="Calibri"/>
        </w:rPr>
        <w:t>existantes</w:t>
      </w:r>
      <w:r w:rsidR="009205F6" w:rsidRPr="00796FFB">
        <w:rPr>
          <w:rFonts w:ascii="Times" w:hAnsi="Times" w:cs="Calibri"/>
        </w:rPr>
        <w:t xml:space="preserve"> avec celles de la désormais incontournable éthique du numérique. </w:t>
      </w:r>
    </w:p>
    <w:p w14:paraId="34B919B3" w14:textId="38699279" w:rsidR="00CA3D0F" w:rsidRPr="00796FFB" w:rsidRDefault="00CA3D0F" w:rsidP="004A46A3">
      <w:pPr>
        <w:spacing w:line="360" w:lineRule="auto"/>
        <w:ind w:firstLine="284"/>
        <w:jc w:val="both"/>
        <w:rPr>
          <w:rFonts w:ascii="Times" w:hAnsi="Times" w:cs="Calibri"/>
        </w:rPr>
      </w:pPr>
      <w:r w:rsidRPr="00796FFB">
        <w:rPr>
          <w:rFonts w:ascii="Times" w:hAnsi="Times" w:cs="Calibri"/>
        </w:rPr>
        <w:t>Or</w:t>
      </w:r>
      <w:r w:rsidR="00732358">
        <w:rPr>
          <w:rFonts w:ascii="Times" w:hAnsi="Times" w:cs="Calibri"/>
        </w:rPr>
        <w:t xml:space="preserve">, il est apparu clairement </w:t>
      </w:r>
      <w:r w:rsidR="009D00D1" w:rsidRPr="00796FFB">
        <w:rPr>
          <w:rFonts w:ascii="Times" w:hAnsi="Times" w:cs="Calibri"/>
        </w:rPr>
        <w:t xml:space="preserve">au fil de la recherche que </w:t>
      </w:r>
      <w:r w:rsidRPr="00796FFB">
        <w:rPr>
          <w:rFonts w:ascii="Times" w:hAnsi="Times" w:cs="Calibri"/>
        </w:rPr>
        <w:t xml:space="preserve">la question de l’adaptation du contentieux </w:t>
      </w:r>
      <w:r w:rsidR="00732358">
        <w:rPr>
          <w:rFonts w:ascii="Times" w:hAnsi="Times" w:cs="Calibri"/>
        </w:rPr>
        <w:t>pouvait (trop ?)</w:t>
      </w:r>
      <w:r w:rsidRPr="00796FFB">
        <w:rPr>
          <w:rFonts w:ascii="Times" w:hAnsi="Times" w:cs="Calibri"/>
        </w:rPr>
        <w:t xml:space="preserve"> souvent</w:t>
      </w:r>
      <w:r w:rsidR="009205F6" w:rsidRPr="00796FFB">
        <w:rPr>
          <w:rFonts w:ascii="Times" w:hAnsi="Times" w:cs="Calibri"/>
        </w:rPr>
        <w:t xml:space="preserve"> être ramenée à celle de savoir quel degré de digitalisation est acceptable, dans nos sociétés, lorsqu’il est question de résoudre un litig</w:t>
      </w:r>
      <w:r w:rsidRPr="00796FFB">
        <w:rPr>
          <w:rFonts w:ascii="Times" w:hAnsi="Times" w:cs="Calibri"/>
        </w:rPr>
        <w:t>e. P</w:t>
      </w:r>
      <w:r w:rsidR="009205F6" w:rsidRPr="00796FFB">
        <w:rPr>
          <w:rFonts w:ascii="Times" w:hAnsi="Times" w:cs="Calibri"/>
        </w:rPr>
        <w:t xml:space="preserve">ar voie de conséquence, </w:t>
      </w:r>
      <w:r w:rsidRPr="00796FFB">
        <w:rPr>
          <w:rFonts w:ascii="Times" w:hAnsi="Times" w:cs="Calibri"/>
        </w:rPr>
        <w:t>c</w:t>
      </w:r>
      <w:r w:rsidR="00732358">
        <w:rPr>
          <w:rFonts w:ascii="Times" w:hAnsi="Times" w:cs="Calibri"/>
        </w:rPr>
        <w:t>’est</w:t>
      </w:r>
      <w:r w:rsidRPr="00796FFB">
        <w:rPr>
          <w:rFonts w:ascii="Times" w:hAnsi="Times" w:cs="Calibri"/>
        </w:rPr>
        <w:t xml:space="preserve"> la question du</w:t>
      </w:r>
      <w:r w:rsidR="009205F6" w:rsidRPr="00796FFB">
        <w:rPr>
          <w:rFonts w:ascii="Times" w:hAnsi="Times" w:cs="Calibri"/>
        </w:rPr>
        <w:t xml:space="preserve"> degré</w:t>
      </w:r>
      <w:r w:rsidRPr="00796FFB">
        <w:rPr>
          <w:rFonts w:ascii="Times" w:hAnsi="Times" w:cs="Calibri"/>
        </w:rPr>
        <w:t xml:space="preserve"> acceptable</w:t>
      </w:r>
      <w:r w:rsidR="009205F6" w:rsidRPr="00796FFB">
        <w:rPr>
          <w:rFonts w:ascii="Times" w:hAnsi="Times" w:cs="Calibri"/>
        </w:rPr>
        <w:t xml:space="preserve"> d’atteinte à la continuité des services contentieux, à la sécurité et à la confidentialité</w:t>
      </w:r>
      <w:r w:rsidR="009205F6" w:rsidRPr="00796FFB">
        <w:rPr>
          <w:rFonts w:ascii="Times" w:hAnsi="Times" w:cs="Calibri"/>
        </w:rPr>
        <w:fldChar w:fldCharType="begin"/>
      </w:r>
      <w:r w:rsidR="009205F6" w:rsidRPr="00796FFB">
        <w:rPr>
          <w:rFonts w:ascii="Times" w:hAnsi="Times" w:cs="Calibri"/>
        </w:rPr>
        <w:instrText xml:space="preserve"> XE "Confidentialité" </w:instrText>
      </w:r>
      <w:r w:rsidR="009205F6" w:rsidRPr="00796FFB">
        <w:rPr>
          <w:rFonts w:ascii="Times" w:hAnsi="Times" w:cs="Calibri"/>
        </w:rPr>
        <w:fldChar w:fldCharType="end"/>
      </w:r>
      <w:r w:rsidR="009205F6" w:rsidRPr="00796FFB">
        <w:rPr>
          <w:rFonts w:ascii="Times" w:hAnsi="Times" w:cs="Calibri"/>
        </w:rPr>
        <w:t xml:space="preserve"> des débats et données, </w:t>
      </w:r>
      <w:r w:rsidRPr="00796FFB">
        <w:rPr>
          <w:rFonts w:ascii="Times" w:hAnsi="Times" w:cs="Calibri"/>
        </w:rPr>
        <w:t>qui est posée en</w:t>
      </w:r>
      <w:r w:rsidR="009205F6" w:rsidRPr="00796FFB">
        <w:rPr>
          <w:rFonts w:ascii="Times" w:hAnsi="Times" w:cs="Calibri"/>
        </w:rPr>
        <w:t xml:space="preserve"> cas d’urgence sanitaire. </w:t>
      </w:r>
    </w:p>
    <w:p w14:paraId="23F76A1B" w14:textId="1CB8CF39" w:rsidR="009D00D1" w:rsidRPr="00796FFB" w:rsidRDefault="00CA3D0F" w:rsidP="004A46A3">
      <w:pPr>
        <w:spacing w:line="360" w:lineRule="auto"/>
        <w:ind w:firstLine="284"/>
        <w:jc w:val="both"/>
        <w:rPr>
          <w:rFonts w:ascii="Times" w:hAnsi="Times" w:cs="Calibri"/>
        </w:rPr>
      </w:pPr>
      <w:r w:rsidRPr="00796FFB">
        <w:rPr>
          <w:rFonts w:ascii="Times" w:hAnsi="Times" w:cs="Calibri"/>
        </w:rPr>
        <w:t xml:space="preserve">L’enjeu est donc un enjeu citoyen avant tout, d’autant </w:t>
      </w:r>
      <w:r w:rsidR="00D3073F">
        <w:rPr>
          <w:rFonts w:ascii="Times" w:hAnsi="Times" w:cs="Calibri"/>
        </w:rPr>
        <w:t xml:space="preserve">plus </w:t>
      </w:r>
      <w:r w:rsidRPr="00796FFB">
        <w:rPr>
          <w:rFonts w:ascii="Times" w:hAnsi="Times" w:cs="Calibri"/>
        </w:rPr>
        <w:t>que de nombreuses solutions d’urgence ont été</w:t>
      </w:r>
      <w:r w:rsidR="00732358">
        <w:rPr>
          <w:rFonts w:ascii="Times" w:hAnsi="Times" w:cs="Calibri"/>
        </w:rPr>
        <w:t xml:space="preserve"> </w:t>
      </w:r>
      <w:r w:rsidRPr="00796FFB">
        <w:rPr>
          <w:rFonts w:ascii="Times" w:hAnsi="Times" w:cs="Calibri"/>
        </w:rPr>
        <w:t xml:space="preserve">pérennisées. </w:t>
      </w:r>
    </w:p>
    <w:p w14:paraId="43AC36C7" w14:textId="52BBA0AF" w:rsidR="009205F6" w:rsidRPr="00796FFB" w:rsidRDefault="009205F6" w:rsidP="004A46A3">
      <w:pPr>
        <w:spacing w:line="360" w:lineRule="auto"/>
        <w:jc w:val="both"/>
        <w:rPr>
          <w:rFonts w:ascii="Times" w:hAnsi="Times" w:cs="Calibri"/>
        </w:rPr>
      </w:pPr>
    </w:p>
    <w:p w14:paraId="0310307F" w14:textId="0985DCB0" w:rsidR="009D00D1" w:rsidRPr="00796FFB" w:rsidRDefault="00F3222A" w:rsidP="004A46A3">
      <w:pPr>
        <w:spacing w:line="360" w:lineRule="auto"/>
        <w:jc w:val="both"/>
        <w:rPr>
          <w:rFonts w:ascii="Times" w:hAnsi="Times" w:cs="Calibri"/>
          <w:b/>
          <w:bCs/>
        </w:rPr>
      </w:pPr>
      <w:r>
        <w:rPr>
          <w:rFonts w:ascii="Times" w:hAnsi="Times" w:cs="Calibri"/>
          <w:b/>
          <w:bCs/>
        </w:rPr>
        <w:t xml:space="preserve">Convergences et divergences de l’adaptation des juridictions à la pandémie </w:t>
      </w:r>
    </w:p>
    <w:p w14:paraId="4A8466FD" w14:textId="546FD5A5" w:rsidR="009D00D1" w:rsidRPr="00796FFB" w:rsidRDefault="009D00D1" w:rsidP="004A46A3">
      <w:pPr>
        <w:spacing w:line="360" w:lineRule="auto"/>
        <w:jc w:val="both"/>
        <w:rPr>
          <w:rFonts w:ascii="Times" w:hAnsi="Times" w:cs="Calibri"/>
          <w:b/>
          <w:bCs/>
        </w:rPr>
      </w:pPr>
    </w:p>
    <w:p w14:paraId="71604525" w14:textId="4BF04749" w:rsidR="00F3222A" w:rsidRDefault="00732358" w:rsidP="004A46A3">
      <w:pPr>
        <w:spacing w:line="360" w:lineRule="auto"/>
        <w:ind w:firstLine="284"/>
        <w:jc w:val="both"/>
        <w:rPr>
          <w:rFonts w:ascii="Times" w:hAnsi="Times"/>
        </w:rPr>
      </w:pPr>
      <w:r>
        <w:rPr>
          <w:rFonts w:ascii="Times" w:hAnsi="Times" w:cs="Calibri"/>
        </w:rPr>
        <w:t>Il faut</w:t>
      </w:r>
      <w:r w:rsidR="009D00D1" w:rsidRPr="00796FFB">
        <w:rPr>
          <w:rFonts w:ascii="Times" w:hAnsi="Times" w:cs="Calibri"/>
        </w:rPr>
        <w:t xml:space="preserve"> d’abord rappeler l’évidence : les solutions adoptées par les juridictions du monde entier, nationales ou internationales, pour réagir à la pandémie sont différentes d’un organe à l’autre, d’un État à l’autre, d’une organisation internationale à l’autre.</w:t>
      </w:r>
      <w:r w:rsidR="00CA3D0F" w:rsidRPr="00796FFB">
        <w:rPr>
          <w:rFonts w:ascii="Times" w:hAnsi="Times" w:cs="Calibri"/>
        </w:rPr>
        <w:t xml:space="preserve"> </w:t>
      </w:r>
      <w:r>
        <w:rPr>
          <w:rFonts w:ascii="Times" w:hAnsi="Times" w:cs="Calibri"/>
        </w:rPr>
        <w:t xml:space="preserve">Deux axes de convergences ont néanmoins émergé, notamment d’un point de vue chronologique. </w:t>
      </w:r>
      <w:r w:rsidR="00D3073F">
        <w:rPr>
          <w:rFonts w:ascii="Times" w:hAnsi="Times" w:cs="Calibri"/>
        </w:rPr>
        <w:t>D</w:t>
      </w:r>
      <w:r>
        <w:rPr>
          <w:rFonts w:ascii="Times" w:hAnsi="Times" w:cs="Calibri"/>
        </w:rPr>
        <w:t xml:space="preserve">e manière générale, on a d’abord assisté à la prise </w:t>
      </w:r>
      <w:r w:rsidR="009D00D1" w:rsidRPr="00732358">
        <w:rPr>
          <w:rFonts w:ascii="Times" w:hAnsi="Times" w:cs="Calibri"/>
        </w:rPr>
        <w:t>de mesures de réaction</w:t>
      </w:r>
      <w:r>
        <w:rPr>
          <w:rFonts w:ascii="Times" w:hAnsi="Times" w:cs="Calibri"/>
        </w:rPr>
        <w:t xml:space="preserve"> urgentes</w:t>
      </w:r>
      <w:r w:rsidR="009D00D1" w:rsidRPr="00732358">
        <w:rPr>
          <w:rFonts w:ascii="Times" w:hAnsi="Times" w:cs="Calibri"/>
        </w:rPr>
        <w:t xml:space="preserve"> visant à suspendre, reporter et organiser le fonctionnement des organes sur des périodes </w:t>
      </w:r>
      <w:r w:rsidR="009D00D1" w:rsidRPr="00732358">
        <w:rPr>
          <w:rFonts w:ascii="Times" w:hAnsi="Times" w:cs="Calibri"/>
        </w:rPr>
        <w:lastRenderedPageBreak/>
        <w:t>généralement assez courtes, puisque la pandémie était alors pensée comme une crise qui ne durerait pas.</w:t>
      </w:r>
      <w:r>
        <w:rPr>
          <w:rFonts w:ascii="Times" w:hAnsi="Times" w:cs="Calibri"/>
        </w:rPr>
        <w:t xml:space="preserve"> Dans un deuxième temps,</w:t>
      </w:r>
      <w:r w:rsidR="009D00D1" w:rsidRPr="00732358">
        <w:rPr>
          <w:rFonts w:ascii="Times" w:hAnsi="Times" w:cs="Calibri"/>
        </w:rPr>
        <w:t xml:space="preserve"> les pouvoirs publics – dans le cas des juridictions internes –, ou les juridictions elles-mêmes – essentiellement dans le cas des juridictions régionales et internationales, ainsi que des tribunaux arbitraux – ont adapté leurs fonctionnements afin de répondre à </w:t>
      </w:r>
      <w:r w:rsidR="00CA3D0F" w:rsidRPr="00732358">
        <w:rPr>
          <w:rFonts w:ascii="Times" w:hAnsi="Times" w:cs="Calibri"/>
        </w:rPr>
        <w:t>l’allongement de la pandémie</w:t>
      </w:r>
      <w:r w:rsidR="009D00D1" w:rsidRPr="00732358">
        <w:rPr>
          <w:rFonts w:ascii="Times" w:hAnsi="Times" w:cs="Calibri"/>
        </w:rPr>
        <w:t>. Ces modifications ont, de manière générale, entrainé</w:t>
      </w:r>
      <w:r w:rsidR="00CA3D0F" w:rsidRPr="00732358">
        <w:rPr>
          <w:rFonts w:ascii="Times" w:hAnsi="Times" w:cs="Calibri"/>
        </w:rPr>
        <w:t> </w:t>
      </w:r>
      <w:r>
        <w:rPr>
          <w:rFonts w:ascii="Times" w:hAnsi="Times" w:cs="Calibri"/>
        </w:rPr>
        <w:t>sept</w:t>
      </w:r>
      <w:r w:rsidR="00CA3D0F" w:rsidRPr="00732358">
        <w:rPr>
          <w:rFonts w:ascii="Times" w:hAnsi="Times" w:cs="Calibri"/>
        </w:rPr>
        <w:t xml:space="preserve"> conséquences</w:t>
      </w:r>
      <w:r>
        <w:rPr>
          <w:rFonts w:ascii="Times" w:hAnsi="Times" w:cs="Calibri"/>
        </w:rPr>
        <w:t>. U</w:t>
      </w:r>
      <w:r w:rsidR="009D00D1" w:rsidRPr="00732358">
        <w:rPr>
          <w:rFonts w:ascii="Times" w:hAnsi="Times" w:cs="Calibri"/>
        </w:rPr>
        <w:t xml:space="preserve">ne perte de </w:t>
      </w:r>
      <w:r w:rsidR="009D00D1" w:rsidRPr="00732358">
        <w:rPr>
          <w:rFonts w:ascii="Times" w:hAnsi="Times" w:cs="Calibri"/>
          <w:i/>
          <w:iCs/>
        </w:rPr>
        <w:t>décorum</w:t>
      </w:r>
      <w:r w:rsidR="009D00D1" w:rsidRPr="00732358">
        <w:rPr>
          <w:rFonts w:ascii="Times" w:hAnsi="Times" w:cs="Calibri"/>
        </w:rPr>
        <w:t xml:space="preserve"> et donc d’une partie du rôle symbolique de la justice</w:t>
      </w:r>
      <w:r w:rsidR="00CA3D0F" w:rsidRPr="00732358">
        <w:rPr>
          <w:rFonts w:ascii="Times" w:hAnsi="Times" w:cs="Calibri"/>
        </w:rPr>
        <w:t xml:space="preserve"> pour le citoyen</w:t>
      </w:r>
      <w:r>
        <w:rPr>
          <w:rFonts w:ascii="Times" w:hAnsi="Times" w:cs="Calibri"/>
        </w:rPr>
        <w:t xml:space="preserve"> d’abord.</w:t>
      </w:r>
      <w:r w:rsidR="009D00D1" w:rsidRPr="00732358">
        <w:rPr>
          <w:rFonts w:ascii="Times" w:hAnsi="Times" w:cs="Calibri"/>
        </w:rPr>
        <w:t xml:space="preserve"> </w:t>
      </w:r>
      <w:r>
        <w:rPr>
          <w:rFonts w:ascii="Times" w:hAnsi="Times" w:cs="Calibri"/>
        </w:rPr>
        <w:t>U</w:t>
      </w:r>
      <w:r w:rsidR="009D00D1" w:rsidRPr="00732358">
        <w:rPr>
          <w:rFonts w:ascii="Times" w:hAnsi="Times" w:cs="Calibri"/>
        </w:rPr>
        <w:t>ne distanciation excessive entre les victimes, demandeurs, conseils et juges</w:t>
      </w:r>
      <w:r>
        <w:rPr>
          <w:rFonts w:ascii="Times" w:hAnsi="Times" w:cs="Calibri"/>
        </w:rPr>
        <w:t xml:space="preserve">, ensuite. </w:t>
      </w:r>
      <w:r w:rsidRPr="00796FFB">
        <w:rPr>
          <w:rFonts w:ascii="Times" w:hAnsi="Times"/>
        </w:rPr>
        <w:t>Comme le relève Benj</w:t>
      </w:r>
      <w:r w:rsidR="0047764C">
        <w:rPr>
          <w:rFonts w:ascii="Times" w:hAnsi="Times"/>
        </w:rPr>
        <w:t>am</w:t>
      </w:r>
      <w:r>
        <w:rPr>
          <w:rFonts w:ascii="Times" w:hAnsi="Times"/>
        </w:rPr>
        <w:t xml:space="preserve">in </w:t>
      </w:r>
      <w:proofErr w:type="spellStart"/>
      <w:r>
        <w:rPr>
          <w:rFonts w:ascii="Times" w:hAnsi="Times"/>
        </w:rPr>
        <w:t>Fiorini</w:t>
      </w:r>
      <w:proofErr w:type="spellEnd"/>
      <w:r>
        <w:rPr>
          <w:rFonts w:ascii="Times" w:hAnsi="Times"/>
        </w:rPr>
        <w:t xml:space="preserve"> </w:t>
      </w:r>
      <w:r w:rsidR="00877A5E">
        <w:rPr>
          <w:rFonts w:ascii="Times" w:hAnsi="Times"/>
        </w:rPr>
        <w:t xml:space="preserve">(2022) </w:t>
      </w:r>
      <w:r w:rsidRPr="00796FFB">
        <w:rPr>
          <w:rFonts w:ascii="Times" w:hAnsi="Times"/>
        </w:rPr>
        <w:t xml:space="preserve">s’agissant des États-Unis, </w:t>
      </w:r>
      <w:r w:rsidR="0047764C">
        <w:rPr>
          <w:rFonts w:ascii="Times" w:hAnsi="Times"/>
        </w:rPr>
        <w:t xml:space="preserve">les </w:t>
      </w:r>
      <w:r w:rsidRPr="00796FFB">
        <w:rPr>
          <w:rFonts w:ascii="Times" w:hAnsi="Times"/>
        </w:rPr>
        <w:t xml:space="preserve">« avocats de la défense se sont régulièrement plaints de l’impossibilité pratique d’identifier les biais des jurés </w:t>
      </w:r>
      <w:r w:rsidR="00EC2920" w:rsidRPr="00EC2920">
        <w:rPr>
          <w:rFonts w:ascii="Times" w:hAnsi="Times"/>
          <w:color w:val="FF0000"/>
        </w:rPr>
        <w:t xml:space="preserve">[…] </w:t>
      </w:r>
      <w:r w:rsidRPr="00796FFB">
        <w:rPr>
          <w:rFonts w:ascii="Times" w:hAnsi="Times"/>
        </w:rPr>
        <w:t>en distanciel, puisque le mode virtuel complique l’accès au langage non-verbal »</w:t>
      </w:r>
      <w:r>
        <w:rPr>
          <w:rFonts w:ascii="Times" w:hAnsi="Times" w:cs="Calibri"/>
        </w:rPr>
        <w:t>.</w:t>
      </w:r>
      <w:r w:rsidR="00EC2920">
        <w:rPr>
          <w:rFonts w:ascii="Times" w:hAnsi="Times" w:cs="Calibri"/>
        </w:rPr>
        <w:t xml:space="preserve"> </w:t>
      </w:r>
      <w:r w:rsidR="00EC2920" w:rsidRPr="00EC2920">
        <w:rPr>
          <w:rFonts w:ascii="Times" w:hAnsi="Times" w:cs="Calibri"/>
          <w:color w:val="FF0000"/>
        </w:rPr>
        <w:t xml:space="preserve">Lorsque la récusation des jurés est un enjeu capital du procès, comme aux États-Unis, le distanciel ne peut en effet que difficilement remplacer l’étude des comportements – le langage non verbal – à laquelle les avocats étrangers sont parfois rompus. </w:t>
      </w:r>
      <w:r>
        <w:rPr>
          <w:rFonts w:ascii="Times" w:hAnsi="Times" w:cs="Calibri"/>
        </w:rPr>
        <w:t>U</w:t>
      </w:r>
      <w:r w:rsidR="009D00D1" w:rsidRPr="00732358">
        <w:rPr>
          <w:rFonts w:ascii="Times" w:hAnsi="Times" w:cs="Calibri"/>
        </w:rPr>
        <w:t>ne réduction de l’accessibilité aux audiences précédemment publiques, des dérogations aux règles d’accès direct à un avocat, une complexification accrue pour obtenir certaines preuves</w:t>
      </w:r>
      <w:r w:rsidR="0047764C">
        <w:rPr>
          <w:rFonts w:ascii="Times" w:hAnsi="Times" w:cs="Calibri"/>
        </w:rPr>
        <w:t xml:space="preserve"> mais aussi </w:t>
      </w:r>
      <w:r w:rsidR="009D00D1" w:rsidRPr="00732358">
        <w:rPr>
          <w:rFonts w:ascii="Times" w:hAnsi="Times" w:cs="Calibri"/>
        </w:rPr>
        <w:t>de la production des mémoires pour les parties et</w:t>
      </w:r>
      <w:r w:rsidR="0047764C">
        <w:rPr>
          <w:rFonts w:ascii="Times" w:hAnsi="Times" w:cs="Calibri"/>
        </w:rPr>
        <w:t>,</w:t>
      </w:r>
      <w:r w:rsidR="00CA3D0F" w:rsidRPr="00732358">
        <w:rPr>
          <w:rFonts w:ascii="Times" w:hAnsi="Times" w:cs="Calibri"/>
        </w:rPr>
        <w:t xml:space="preserve"> </w:t>
      </w:r>
      <w:r w:rsidR="009D00D1" w:rsidRPr="00732358">
        <w:rPr>
          <w:rFonts w:ascii="Times" w:hAnsi="Times" w:cs="Calibri"/>
        </w:rPr>
        <w:t>finalement</w:t>
      </w:r>
      <w:r w:rsidR="0047764C">
        <w:rPr>
          <w:rFonts w:ascii="Times" w:hAnsi="Times" w:cs="Calibri"/>
        </w:rPr>
        <w:t>,</w:t>
      </w:r>
      <w:r w:rsidR="009D00D1" w:rsidRPr="00732358">
        <w:rPr>
          <w:rFonts w:ascii="Times" w:hAnsi="Times" w:cs="Calibri"/>
        </w:rPr>
        <w:t xml:space="preserve"> un inévitable ralentissement du fonctionnement des juridictions</w:t>
      </w:r>
      <w:bookmarkStart w:id="0" w:name="_Toc105852634"/>
      <w:r w:rsidR="00CA3D0F" w:rsidRPr="00732358">
        <w:rPr>
          <w:rFonts w:ascii="Times" w:hAnsi="Times" w:cs="Calibri"/>
        </w:rPr>
        <w:t xml:space="preserve"> malgré une communication qui insistait souvent sur l’idée inverse</w:t>
      </w:r>
      <w:r>
        <w:rPr>
          <w:rFonts w:ascii="Times" w:hAnsi="Times" w:cs="Calibri"/>
        </w:rPr>
        <w:t xml:space="preserve"> ont également été monnaies courantes. Sur ce dernier point, </w:t>
      </w:r>
      <w:r>
        <w:rPr>
          <w:rFonts w:ascii="Times" w:hAnsi="Times"/>
        </w:rPr>
        <w:t>il</w:t>
      </w:r>
      <w:r w:rsidRPr="00796FFB">
        <w:rPr>
          <w:rFonts w:ascii="Times" w:hAnsi="Times"/>
        </w:rPr>
        <w:t xml:space="preserve"> est toutefois à noter que le ralentissement mondial a aussi pu constituer une occasion, pour certaines juridictions, de diminuer le flux de nouvelles affaires. Tel est le cas de la Cour nationale du droit d’asile, en France, dont le stock d’affaires a globalement diminué pendant la pandémie, du fait de l’impossibilité de circuler</w:t>
      </w:r>
      <w:r w:rsidR="0047764C">
        <w:rPr>
          <w:rFonts w:ascii="Times" w:hAnsi="Times"/>
        </w:rPr>
        <w:t>, ce</w:t>
      </w:r>
      <w:r w:rsidRPr="00796FFB">
        <w:rPr>
          <w:rFonts w:ascii="Times" w:hAnsi="Times"/>
        </w:rPr>
        <w:t xml:space="preserve"> qui a fortement limité le nombre de nouvelles demandes d’asile.</w:t>
      </w:r>
    </w:p>
    <w:p w14:paraId="2ABD61DE" w14:textId="159CBE4C" w:rsidR="00F3222A" w:rsidRDefault="00385C56" w:rsidP="00E9757D">
      <w:pPr>
        <w:spacing w:line="360" w:lineRule="auto"/>
        <w:ind w:firstLine="284"/>
        <w:jc w:val="both"/>
        <w:rPr>
          <w:rFonts w:ascii="Times" w:hAnsi="Times"/>
        </w:rPr>
      </w:pPr>
      <w:r>
        <w:rPr>
          <w:rFonts w:ascii="Times" w:hAnsi="Times" w:cs="Calibri"/>
        </w:rPr>
        <w:t>Les</w:t>
      </w:r>
      <w:r w:rsidR="009D00D1" w:rsidRPr="00796FFB">
        <w:rPr>
          <w:rFonts w:ascii="Times" w:hAnsi="Times" w:cs="Calibri"/>
        </w:rPr>
        <w:t xml:space="preserve"> éléments de divergence</w:t>
      </w:r>
      <w:r>
        <w:rPr>
          <w:rFonts w:ascii="Times" w:hAnsi="Times" w:cs="Calibri"/>
        </w:rPr>
        <w:t xml:space="preserve"> sont extrêmement nombreux et ne peuvent être tous mentionnés. On peut cependant synthétiser</w:t>
      </w:r>
      <w:r w:rsidR="00CA3D0F" w:rsidRPr="00796FFB">
        <w:rPr>
          <w:rFonts w:ascii="Times" w:hAnsi="Times" w:cs="Calibri"/>
        </w:rPr>
        <w:t xml:space="preserve"> </w:t>
      </w:r>
      <w:r w:rsidR="007D47D8" w:rsidRPr="00796FFB">
        <w:rPr>
          <w:rFonts w:ascii="Times" w:hAnsi="Times" w:cs="Calibri"/>
        </w:rPr>
        <w:t>trois</w:t>
      </w:r>
      <w:r w:rsidR="00CA3D0F" w:rsidRPr="00796FFB">
        <w:rPr>
          <w:rFonts w:ascii="Times" w:hAnsi="Times" w:cs="Calibri"/>
        </w:rPr>
        <w:t xml:space="preserve"> raisons</w:t>
      </w:r>
      <w:r w:rsidR="00F3222A">
        <w:rPr>
          <w:rFonts w:ascii="Times" w:hAnsi="Times" w:cs="Calibri"/>
        </w:rPr>
        <w:t xml:space="preserve"> principales</w:t>
      </w:r>
      <w:r w:rsidR="00CA3D0F" w:rsidRPr="00796FFB">
        <w:rPr>
          <w:rFonts w:ascii="Times" w:hAnsi="Times" w:cs="Calibri"/>
        </w:rPr>
        <w:t xml:space="preserve"> pour lesquelles il y a </w:t>
      </w:r>
      <w:r>
        <w:rPr>
          <w:rFonts w:ascii="Times" w:hAnsi="Times" w:cs="Calibri"/>
        </w:rPr>
        <w:t xml:space="preserve">eu </w:t>
      </w:r>
      <w:r w:rsidR="00CA3D0F" w:rsidRPr="00796FFB">
        <w:rPr>
          <w:rFonts w:ascii="Times" w:hAnsi="Times" w:cs="Calibri"/>
        </w:rPr>
        <w:t xml:space="preserve">des divergences, </w:t>
      </w:r>
      <w:r>
        <w:rPr>
          <w:rFonts w:ascii="Times" w:hAnsi="Times" w:cs="Calibri"/>
        </w:rPr>
        <w:t>lesquelles</w:t>
      </w:r>
      <w:r w:rsidR="00CA3D0F" w:rsidRPr="00796FFB">
        <w:rPr>
          <w:rFonts w:ascii="Times" w:hAnsi="Times" w:cs="Calibri"/>
        </w:rPr>
        <w:t xml:space="preserve"> ont parfois </w:t>
      </w:r>
      <w:r>
        <w:rPr>
          <w:rFonts w:ascii="Times" w:hAnsi="Times" w:cs="Calibri"/>
        </w:rPr>
        <w:t>constitué</w:t>
      </w:r>
      <w:r w:rsidR="00CA3D0F" w:rsidRPr="00796FFB">
        <w:rPr>
          <w:rFonts w:ascii="Times" w:hAnsi="Times" w:cs="Calibri"/>
        </w:rPr>
        <w:t xml:space="preserve"> des obstacles à la recherche</w:t>
      </w:r>
      <w:r w:rsidR="0047764C">
        <w:rPr>
          <w:rFonts w:ascii="Times" w:hAnsi="Times" w:cs="Calibri"/>
        </w:rPr>
        <w:t xml:space="preserve"> (et</w:t>
      </w:r>
      <w:r w:rsidR="007D47D8" w:rsidRPr="00796FFB">
        <w:rPr>
          <w:rFonts w:ascii="Times" w:hAnsi="Times" w:cs="Calibri"/>
        </w:rPr>
        <w:t xml:space="preserve"> appellent des réflexions qui dépassent un peu le cadre de cette </w:t>
      </w:r>
      <w:r>
        <w:rPr>
          <w:rFonts w:ascii="Times" w:hAnsi="Times" w:cs="Calibri"/>
        </w:rPr>
        <w:t>contribution</w:t>
      </w:r>
      <w:r w:rsidR="0047764C">
        <w:rPr>
          <w:rFonts w:ascii="Times" w:hAnsi="Times" w:cs="Calibri"/>
        </w:rPr>
        <w:t>)</w:t>
      </w:r>
      <w:r>
        <w:rPr>
          <w:rFonts w:ascii="Times" w:hAnsi="Times" w:cs="Calibri"/>
        </w:rPr>
        <w:t xml:space="preserve">. D’une part, </w:t>
      </w:r>
      <w:r w:rsidR="009D00D1" w:rsidRPr="00796FFB">
        <w:rPr>
          <w:rFonts w:ascii="Times" w:hAnsi="Times" w:cs="Calibri"/>
        </w:rPr>
        <w:t>l’objectif des procédures n’est pas toujours le même</w:t>
      </w:r>
      <w:bookmarkEnd w:id="0"/>
      <w:r>
        <w:rPr>
          <w:rFonts w:ascii="Times" w:hAnsi="Times" w:cs="Calibri"/>
        </w:rPr>
        <w:t xml:space="preserve">. L’arbitrage international entre un investisseur et un </w:t>
      </w:r>
      <w:r>
        <w:rPr>
          <w:rFonts w:ascii="Times" w:hAnsi="Times" w:cs="Calibri"/>
        </w:rPr>
        <w:lastRenderedPageBreak/>
        <w:t>État ne poursuit à l’évidence pas le même objectif qu’un procès pénal contre un délinquant, qu’une procédure destinée à examiner le droit à l’asile d’un requérant dans un pays donné, qu’un recours pour excès de pouvoir visant à obtenir l’annulation d’un acte administratif ou encore qu’une action visant à établir la responsabilité internationale d’un État pour violation d’un traité. D’autre part</w:t>
      </w:r>
      <w:r w:rsidR="00F3222A">
        <w:rPr>
          <w:rFonts w:ascii="Times" w:hAnsi="Times" w:cs="Calibri"/>
        </w:rPr>
        <w:t xml:space="preserve">, </w:t>
      </w:r>
      <w:r w:rsidR="007D47D8" w:rsidRPr="00796FFB">
        <w:rPr>
          <w:rFonts w:ascii="Times" w:hAnsi="Times" w:cs="Calibri"/>
        </w:rPr>
        <w:t>la temporalité de la pandémie n’a pas été la même d’un État à l’autre</w:t>
      </w:r>
      <w:r w:rsidR="00F3222A">
        <w:rPr>
          <w:rFonts w:ascii="Times" w:hAnsi="Times" w:cs="Calibri"/>
        </w:rPr>
        <w:t xml:space="preserve">. Alors qu’elle a touché d’abord de plein fouet les pays orientaux puis occidentaux, les pays africains, par exemple, n’ont été affectés que tardivement et de manière moins intense. Enfin, les réactions ont été divergentes car </w:t>
      </w:r>
      <w:r w:rsidR="009D00D1" w:rsidRPr="00796FFB">
        <w:rPr>
          <w:rFonts w:ascii="Times" w:hAnsi="Times" w:cs="Calibri"/>
        </w:rPr>
        <w:t xml:space="preserve">l’adaptation des organes contentieux grâce à des méthodes informatisées et distanciées implique la </w:t>
      </w:r>
      <w:r w:rsidR="009D00D1" w:rsidRPr="00F3222A">
        <w:rPr>
          <w:rFonts w:ascii="Times" w:hAnsi="Times" w:cs="Calibri"/>
        </w:rPr>
        <w:t>capacité</w:t>
      </w:r>
      <w:r w:rsidR="009D00D1" w:rsidRPr="00796FFB">
        <w:rPr>
          <w:rFonts w:ascii="Times" w:hAnsi="Times" w:cs="Calibri"/>
        </w:rPr>
        <w:t xml:space="preserve"> des juridictions et des parties à user de tels moyens</w:t>
      </w:r>
      <w:r w:rsidR="00F3222A">
        <w:rPr>
          <w:rFonts w:ascii="Times" w:hAnsi="Times" w:cs="Calibri"/>
        </w:rPr>
        <w:t xml:space="preserve">. </w:t>
      </w:r>
      <w:r w:rsidR="0047764C">
        <w:rPr>
          <w:rFonts w:ascii="Times" w:hAnsi="Times" w:cs="Calibri"/>
        </w:rPr>
        <w:t>Par</w:t>
      </w:r>
      <w:r w:rsidR="00F3222A">
        <w:rPr>
          <w:rFonts w:ascii="Times" w:hAnsi="Times" w:cs="Calibri"/>
        </w:rPr>
        <w:t xml:space="preserve"> ces termes, nous </w:t>
      </w:r>
      <w:r w:rsidR="00F3222A">
        <w:rPr>
          <w:rFonts w:ascii="Times" w:hAnsi="Times"/>
        </w:rPr>
        <w:t>entendons</w:t>
      </w:r>
      <w:r w:rsidR="00F3222A" w:rsidRPr="00796FFB">
        <w:rPr>
          <w:rFonts w:ascii="Times" w:hAnsi="Times"/>
        </w:rPr>
        <w:t xml:space="preserve"> la capacité matérielle, à savoir la détention d</w:t>
      </w:r>
      <w:r w:rsidR="00E9757D">
        <w:rPr>
          <w:rFonts w:ascii="Times" w:hAnsi="Times"/>
        </w:rPr>
        <w:t>e</w:t>
      </w:r>
      <w:r w:rsidR="00F3222A" w:rsidRPr="00796FFB">
        <w:rPr>
          <w:rFonts w:ascii="Times" w:hAnsi="Times"/>
        </w:rPr>
        <w:t xml:space="preserve"> matériel informatique, mais également la capacité pratique, soit que les </w:t>
      </w:r>
      <w:r w:rsidR="00E9757D">
        <w:rPr>
          <w:rFonts w:ascii="Times" w:hAnsi="Times"/>
        </w:rPr>
        <w:t>personnes concernées</w:t>
      </w:r>
      <w:r w:rsidR="00F3222A" w:rsidRPr="00796FFB">
        <w:rPr>
          <w:rFonts w:ascii="Times" w:hAnsi="Times"/>
        </w:rPr>
        <w:t xml:space="preserve"> aient la capacité de </w:t>
      </w:r>
      <w:r w:rsidR="00E9757D">
        <w:rPr>
          <w:rFonts w:ascii="Times" w:hAnsi="Times"/>
        </w:rPr>
        <w:t xml:space="preserve">se </w:t>
      </w:r>
      <w:r w:rsidR="00F3222A" w:rsidRPr="00796FFB">
        <w:rPr>
          <w:rFonts w:ascii="Times" w:hAnsi="Times"/>
        </w:rPr>
        <w:t>servir</w:t>
      </w:r>
      <w:r w:rsidR="00E9757D">
        <w:rPr>
          <w:rFonts w:ascii="Times" w:hAnsi="Times"/>
        </w:rPr>
        <w:t xml:space="preserve"> de ce matériel</w:t>
      </w:r>
      <w:r w:rsidR="00F3222A" w:rsidRPr="00796FFB">
        <w:rPr>
          <w:rFonts w:ascii="Times" w:hAnsi="Times"/>
        </w:rPr>
        <w:t>.</w:t>
      </w:r>
      <w:r w:rsidR="009D00D1" w:rsidRPr="00796FFB">
        <w:rPr>
          <w:rFonts w:ascii="Times" w:hAnsi="Times" w:cs="Calibri"/>
        </w:rPr>
        <w:t xml:space="preserve"> </w:t>
      </w:r>
      <w:r w:rsidR="00F3222A">
        <w:rPr>
          <w:rFonts w:ascii="Times" w:hAnsi="Times" w:cs="Calibri"/>
        </w:rPr>
        <w:t>Ainsi, c</w:t>
      </w:r>
      <w:r w:rsidR="009D00D1" w:rsidRPr="00796FFB">
        <w:rPr>
          <w:rFonts w:ascii="Times" w:hAnsi="Times" w:cs="Calibri"/>
        </w:rPr>
        <w:t>ertaines juridictions ont rencontré des difficultés importantes concernant cette adaptation au distanciel numérisé</w:t>
      </w:r>
      <w:r w:rsidR="00F3222A">
        <w:rPr>
          <w:rFonts w:ascii="Times" w:hAnsi="Times" w:cs="Calibri"/>
        </w:rPr>
        <w:t xml:space="preserve">. </w:t>
      </w:r>
      <w:r w:rsidR="00F3222A" w:rsidRPr="00796FFB">
        <w:rPr>
          <w:rFonts w:ascii="Times" w:hAnsi="Times"/>
        </w:rPr>
        <w:t>L</w:t>
      </w:r>
      <w:r w:rsidR="00E9757D">
        <w:rPr>
          <w:rFonts w:ascii="Times" w:hAnsi="Times"/>
        </w:rPr>
        <w:t xml:space="preserve">es </w:t>
      </w:r>
      <w:r w:rsidR="00F3222A" w:rsidRPr="00796FFB">
        <w:rPr>
          <w:rFonts w:ascii="Times" w:hAnsi="Times"/>
        </w:rPr>
        <w:t>exemple</w:t>
      </w:r>
      <w:r w:rsidR="00E9757D">
        <w:rPr>
          <w:rFonts w:ascii="Times" w:hAnsi="Times"/>
        </w:rPr>
        <w:t>s</w:t>
      </w:r>
      <w:r w:rsidR="00F3222A" w:rsidRPr="00796FFB">
        <w:rPr>
          <w:rFonts w:ascii="Times" w:hAnsi="Times"/>
        </w:rPr>
        <w:t xml:space="preserve"> du Brésil (</w:t>
      </w:r>
      <w:proofErr w:type="spellStart"/>
      <w:r w:rsidR="00F3222A">
        <w:rPr>
          <w:rFonts w:ascii="Times" w:hAnsi="Times"/>
        </w:rPr>
        <w:t>T</w:t>
      </w:r>
      <w:r w:rsidR="00877A5E">
        <w:rPr>
          <w:rFonts w:ascii="Times" w:hAnsi="Times"/>
        </w:rPr>
        <w:t>onetto</w:t>
      </w:r>
      <w:proofErr w:type="spellEnd"/>
      <w:r w:rsidR="00F3222A">
        <w:rPr>
          <w:rFonts w:ascii="Times" w:hAnsi="Times"/>
        </w:rPr>
        <w:t>, 2022</w:t>
      </w:r>
      <w:r w:rsidR="00F3222A" w:rsidRPr="00796FFB">
        <w:rPr>
          <w:rFonts w:ascii="Times" w:hAnsi="Times"/>
          <w:smallCaps/>
        </w:rPr>
        <w:t xml:space="preserve">) </w:t>
      </w:r>
      <w:r w:rsidR="00E9757D">
        <w:rPr>
          <w:rFonts w:ascii="Times" w:hAnsi="Times"/>
        </w:rPr>
        <w:t>ou</w:t>
      </w:r>
      <w:r w:rsidR="00F3222A" w:rsidRPr="00796FFB">
        <w:rPr>
          <w:rFonts w:ascii="Times" w:hAnsi="Times"/>
        </w:rPr>
        <w:t xml:space="preserve"> de l’illectronisme répandu au Cameroun (</w:t>
      </w:r>
      <w:proofErr w:type="spellStart"/>
      <w:r w:rsidR="00F3222A">
        <w:rPr>
          <w:rFonts w:ascii="Times" w:hAnsi="Times"/>
        </w:rPr>
        <w:t>M</w:t>
      </w:r>
      <w:r w:rsidR="00877A5E">
        <w:rPr>
          <w:rFonts w:ascii="Times" w:hAnsi="Times"/>
        </w:rPr>
        <w:t>etou</w:t>
      </w:r>
      <w:proofErr w:type="spellEnd"/>
      <w:r w:rsidR="00F3222A">
        <w:rPr>
          <w:rFonts w:ascii="Times" w:hAnsi="Times"/>
        </w:rPr>
        <w:t>, 2022</w:t>
      </w:r>
      <w:r w:rsidR="00F3222A" w:rsidRPr="00796FFB">
        <w:rPr>
          <w:rFonts w:ascii="Times" w:hAnsi="Times"/>
        </w:rPr>
        <w:t>)</w:t>
      </w:r>
      <w:r w:rsidR="00E9757D">
        <w:rPr>
          <w:rFonts w:ascii="Times" w:hAnsi="Times"/>
        </w:rPr>
        <w:t>,</w:t>
      </w:r>
      <w:r w:rsidR="00F3222A" w:rsidRPr="00796FFB">
        <w:rPr>
          <w:rFonts w:ascii="Times" w:hAnsi="Times"/>
        </w:rPr>
        <w:t xml:space="preserve"> et de la difficile adaptation à la procédure en ligne</w:t>
      </w:r>
      <w:r w:rsidR="00E9757D">
        <w:rPr>
          <w:rFonts w:ascii="Times" w:hAnsi="Times"/>
        </w:rPr>
        <w:t>,</w:t>
      </w:r>
      <w:r w:rsidR="00F3222A" w:rsidRPr="00796FFB">
        <w:rPr>
          <w:rFonts w:ascii="Times" w:hAnsi="Times"/>
        </w:rPr>
        <w:t xml:space="preserve"> </w:t>
      </w:r>
      <w:r w:rsidR="00E9757D">
        <w:rPr>
          <w:rFonts w:ascii="Times" w:hAnsi="Times"/>
        </w:rPr>
        <w:t>l’illustrent</w:t>
      </w:r>
      <w:r w:rsidR="00F3222A" w:rsidRPr="00796FFB">
        <w:rPr>
          <w:rFonts w:ascii="Times" w:hAnsi="Times"/>
        </w:rPr>
        <w:t>. À l’inverse, en Suède, par exemple</w:t>
      </w:r>
      <w:r w:rsidR="00F3222A" w:rsidRPr="00796FFB">
        <w:rPr>
          <w:rFonts w:ascii="Times" w:hAnsi="Times"/>
          <w:smallCaps/>
        </w:rPr>
        <w:t xml:space="preserve">, </w:t>
      </w:r>
      <w:r w:rsidR="00F3222A" w:rsidRPr="00796FFB">
        <w:rPr>
          <w:rFonts w:ascii="Times" w:hAnsi="Times"/>
        </w:rPr>
        <w:t>des audiences à distance étaient déjà possibles avant la pandémie</w:t>
      </w:r>
      <w:r w:rsidR="00F3222A">
        <w:rPr>
          <w:rFonts w:ascii="Times" w:hAnsi="Times"/>
        </w:rPr>
        <w:t xml:space="preserve"> (</w:t>
      </w:r>
      <w:proofErr w:type="spellStart"/>
      <w:r w:rsidR="00F3222A">
        <w:rPr>
          <w:rFonts w:ascii="Times" w:hAnsi="Times"/>
        </w:rPr>
        <w:t>J</w:t>
      </w:r>
      <w:r w:rsidR="00877A5E">
        <w:rPr>
          <w:rFonts w:ascii="Times" w:hAnsi="Times"/>
        </w:rPr>
        <w:t>onason</w:t>
      </w:r>
      <w:proofErr w:type="spellEnd"/>
      <w:r w:rsidR="00F3222A">
        <w:rPr>
          <w:rFonts w:ascii="Times" w:hAnsi="Times"/>
        </w:rPr>
        <w:t>, 2022)</w:t>
      </w:r>
      <w:r w:rsidR="00F3222A" w:rsidRPr="00796FFB">
        <w:rPr>
          <w:rFonts w:ascii="Times" w:hAnsi="Times"/>
        </w:rPr>
        <w:t>. Dans l’Union européenne</w:t>
      </w:r>
      <w:r w:rsidR="00E9757D">
        <w:rPr>
          <w:rFonts w:ascii="Times" w:hAnsi="Times"/>
        </w:rPr>
        <w:t>,</w:t>
      </w:r>
      <w:r w:rsidR="00F3222A" w:rsidRPr="00796FFB">
        <w:rPr>
          <w:rFonts w:ascii="Times" w:hAnsi="Times"/>
        </w:rPr>
        <w:t xml:space="preserve"> de manière générale</w:t>
      </w:r>
      <w:r w:rsidR="00F3222A">
        <w:rPr>
          <w:rFonts w:ascii="Times" w:hAnsi="Times"/>
        </w:rPr>
        <w:t>,</w:t>
      </w:r>
      <w:r w:rsidR="00F3222A" w:rsidRPr="00796FFB">
        <w:rPr>
          <w:rFonts w:ascii="Times" w:hAnsi="Times"/>
        </w:rPr>
        <w:t xml:space="preserve"> les outils informatiques sont très répandus chez les particuliers comme dans les institutions publiques, ce qui fait que le problème de l’illectronisme a moins été soulevé. </w:t>
      </w:r>
    </w:p>
    <w:p w14:paraId="7F1DE07D" w14:textId="383A261A" w:rsidR="00F3222A" w:rsidRDefault="00F3222A" w:rsidP="004A46A3">
      <w:pPr>
        <w:spacing w:line="360" w:lineRule="auto"/>
        <w:jc w:val="both"/>
        <w:rPr>
          <w:rFonts w:ascii="Times" w:hAnsi="Times"/>
        </w:rPr>
      </w:pPr>
    </w:p>
    <w:p w14:paraId="29D495AE" w14:textId="393D1F2F" w:rsidR="00F3222A" w:rsidRPr="00F3222A" w:rsidRDefault="00F3222A" w:rsidP="004A46A3">
      <w:pPr>
        <w:spacing w:line="360" w:lineRule="auto"/>
        <w:jc w:val="both"/>
        <w:rPr>
          <w:rFonts w:ascii="Times" w:hAnsi="Times"/>
          <w:b/>
          <w:bCs/>
        </w:rPr>
      </w:pPr>
      <w:r w:rsidRPr="00F3222A">
        <w:rPr>
          <w:rFonts w:ascii="Times" w:hAnsi="Times"/>
          <w:b/>
          <w:bCs/>
        </w:rPr>
        <w:t xml:space="preserve">Les impensés de l’adaptation </w:t>
      </w:r>
      <w:r w:rsidRPr="00F3222A">
        <w:rPr>
          <w:rFonts w:ascii="Times" w:hAnsi="Times" w:cs="Calibri"/>
          <w:b/>
          <w:bCs/>
        </w:rPr>
        <w:t>ou la nécessité de penser l’éthique du contentieux au quotidien </w:t>
      </w:r>
    </w:p>
    <w:p w14:paraId="0CAEF51E" w14:textId="77777777" w:rsidR="00F3222A" w:rsidRDefault="00F3222A" w:rsidP="004A46A3">
      <w:pPr>
        <w:spacing w:line="360" w:lineRule="auto"/>
        <w:jc w:val="both"/>
        <w:rPr>
          <w:rFonts w:ascii="Times" w:hAnsi="Times"/>
        </w:rPr>
      </w:pPr>
    </w:p>
    <w:p w14:paraId="5923AE85" w14:textId="77777777" w:rsidR="00F3222A" w:rsidRDefault="00F3222A" w:rsidP="004A46A3">
      <w:pPr>
        <w:spacing w:line="360" w:lineRule="auto"/>
        <w:ind w:firstLine="284"/>
        <w:jc w:val="both"/>
        <w:rPr>
          <w:rFonts w:ascii="Times" w:hAnsi="Times" w:cs="Calibri"/>
        </w:rPr>
      </w:pPr>
      <w:r>
        <w:rPr>
          <w:rFonts w:ascii="Times" w:hAnsi="Times"/>
        </w:rPr>
        <w:t xml:space="preserve">Les apports principaux de la recherche concernent </w:t>
      </w:r>
      <w:r w:rsidR="00C848E1" w:rsidRPr="00796FFB">
        <w:rPr>
          <w:rFonts w:ascii="Times" w:hAnsi="Times" w:cs="Calibri"/>
        </w:rPr>
        <w:t xml:space="preserve">les impensés de l’adaptation, reflets de </w:t>
      </w:r>
      <w:r w:rsidR="009D00D1" w:rsidRPr="00796FFB">
        <w:rPr>
          <w:rFonts w:ascii="Times" w:hAnsi="Times" w:cs="Calibri"/>
        </w:rPr>
        <w:t xml:space="preserve">l’impossibilité de trouver des solutions parfaites dans le contexte de la pandémie. </w:t>
      </w:r>
    </w:p>
    <w:p w14:paraId="7C1E09AD" w14:textId="34BDE183" w:rsidR="00923911" w:rsidRDefault="009D00D1" w:rsidP="004A46A3">
      <w:pPr>
        <w:spacing w:line="360" w:lineRule="auto"/>
        <w:ind w:firstLine="284"/>
        <w:jc w:val="both"/>
        <w:rPr>
          <w:rFonts w:ascii="Times" w:hAnsi="Times" w:cs="Calibri"/>
        </w:rPr>
      </w:pPr>
      <w:r w:rsidRPr="00F3222A">
        <w:rPr>
          <w:rFonts w:ascii="Times" w:hAnsi="Times" w:cs="Calibri"/>
        </w:rPr>
        <w:t>La première problématique</w:t>
      </w:r>
      <w:r w:rsidR="00F3222A">
        <w:rPr>
          <w:rFonts w:ascii="Times" w:hAnsi="Times" w:cs="Calibri"/>
        </w:rPr>
        <w:t xml:space="preserve"> trop ignorée</w:t>
      </w:r>
      <w:r w:rsidRPr="00F3222A">
        <w:rPr>
          <w:rFonts w:ascii="Times" w:hAnsi="Times" w:cs="Calibri"/>
        </w:rPr>
        <w:t xml:space="preserve"> est celle de la cybersécurité. </w:t>
      </w:r>
      <w:r w:rsidR="007D47D8" w:rsidRPr="00F3222A">
        <w:rPr>
          <w:rFonts w:ascii="Times" w:hAnsi="Times" w:cs="Calibri"/>
        </w:rPr>
        <w:t xml:space="preserve">Le </w:t>
      </w:r>
      <w:r w:rsidRPr="00F3222A">
        <w:rPr>
          <w:rFonts w:ascii="Times" w:hAnsi="Times" w:cs="Calibri"/>
        </w:rPr>
        <w:t>fonctionnement dématérialisé</w:t>
      </w:r>
      <w:r w:rsidRPr="00F3222A">
        <w:rPr>
          <w:rFonts w:ascii="Times" w:hAnsi="Times" w:cs="Calibri"/>
        </w:rPr>
        <w:fldChar w:fldCharType="begin"/>
      </w:r>
      <w:r w:rsidRPr="00F3222A">
        <w:rPr>
          <w:rFonts w:ascii="Times" w:hAnsi="Times" w:cs="Calibri"/>
        </w:rPr>
        <w:instrText xml:space="preserve"> XE "Dématérialisation" </w:instrText>
      </w:r>
      <w:r w:rsidRPr="00F3222A">
        <w:rPr>
          <w:rFonts w:ascii="Times" w:hAnsi="Times" w:cs="Calibri"/>
        </w:rPr>
        <w:fldChar w:fldCharType="end"/>
      </w:r>
      <w:r w:rsidRPr="00F3222A">
        <w:rPr>
          <w:rFonts w:ascii="Times" w:hAnsi="Times" w:cs="Calibri"/>
        </w:rPr>
        <w:t xml:space="preserve"> suppose la tenue d’échanges </w:t>
      </w:r>
      <w:r w:rsidR="007D47D8" w:rsidRPr="00F3222A">
        <w:rPr>
          <w:rFonts w:ascii="Times" w:hAnsi="Times" w:cs="Calibri"/>
        </w:rPr>
        <w:t>électroniques</w:t>
      </w:r>
      <w:r w:rsidRPr="00F3222A">
        <w:rPr>
          <w:rFonts w:ascii="Times" w:hAnsi="Times" w:cs="Calibri"/>
        </w:rPr>
        <w:t xml:space="preserve"> </w:t>
      </w:r>
      <w:r w:rsidR="007D47D8" w:rsidRPr="00F3222A">
        <w:rPr>
          <w:rFonts w:ascii="Times" w:hAnsi="Times" w:cs="Calibri"/>
        </w:rPr>
        <w:t>et</w:t>
      </w:r>
      <w:r w:rsidRPr="00F3222A">
        <w:rPr>
          <w:rFonts w:ascii="Times" w:hAnsi="Times" w:cs="Calibri"/>
        </w:rPr>
        <w:t xml:space="preserve"> l’envoi de documents confidentiels</w:t>
      </w:r>
      <w:r w:rsidR="007D47D8" w:rsidRPr="00F3222A">
        <w:rPr>
          <w:rFonts w:ascii="Times" w:hAnsi="Times" w:cs="Calibri"/>
        </w:rPr>
        <w:t>, avec un risque de compromission</w:t>
      </w:r>
      <w:r w:rsidRPr="00F3222A">
        <w:rPr>
          <w:rFonts w:ascii="Times" w:hAnsi="Times" w:cs="Calibri"/>
        </w:rPr>
        <w:t xml:space="preserve">. On pense notamment à la Cour interaméricaine des droits de l’homme, qui a tenu des audiences par l’intermédiaire de la </w:t>
      </w:r>
      <w:r w:rsidRPr="00F3222A">
        <w:rPr>
          <w:rFonts w:ascii="Times" w:hAnsi="Times" w:cs="Calibri"/>
        </w:rPr>
        <w:lastRenderedPageBreak/>
        <w:t>plateforme Zoom</w:t>
      </w:r>
      <w:r w:rsidRPr="00F3222A">
        <w:rPr>
          <w:rFonts w:ascii="Times" w:hAnsi="Times" w:cs="Calibri"/>
        </w:rPr>
        <w:fldChar w:fldCharType="begin"/>
      </w:r>
      <w:r w:rsidRPr="00F3222A">
        <w:rPr>
          <w:rFonts w:ascii="Times" w:hAnsi="Times" w:cs="Calibri"/>
        </w:rPr>
        <w:instrText xml:space="preserve"> XE "Zoom" </w:instrText>
      </w:r>
      <w:r w:rsidRPr="00F3222A">
        <w:rPr>
          <w:rFonts w:ascii="Times" w:hAnsi="Times" w:cs="Calibri"/>
        </w:rPr>
        <w:fldChar w:fldCharType="end"/>
      </w:r>
      <w:r w:rsidRPr="00F3222A">
        <w:rPr>
          <w:rFonts w:ascii="Times" w:hAnsi="Times" w:cs="Calibri"/>
        </w:rPr>
        <w:t>, se soumettant ainsi aux règles de confidentialité</w:t>
      </w:r>
      <w:r w:rsidRPr="00F3222A">
        <w:rPr>
          <w:rFonts w:ascii="Times" w:hAnsi="Times" w:cs="Calibri"/>
        </w:rPr>
        <w:fldChar w:fldCharType="begin"/>
      </w:r>
      <w:r w:rsidRPr="00F3222A">
        <w:rPr>
          <w:rFonts w:ascii="Times" w:hAnsi="Times" w:cs="Calibri"/>
        </w:rPr>
        <w:instrText xml:space="preserve"> XE "Confidentialité" </w:instrText>
      </w:r>
      <w:r w:rsidRPr="00F3222A">
        <w:rPr>
          <w:rFonts w:ascii="Times" w:hAnsi="Times" w:cs="Calibri"/>
        </w:rPr>
        <w:fldChar w:fldCharType="end"/>
      </w:r>
      <w:r w:rsidRPr="00F3222A">
        <w:rPr>
          <w:rFonts w:ascii="Times" w:hAnsi="Times" w:cs="Calibri"/>
        </w:rPr>
        <w:t xml:space="preserve"> et de </w:t>
      </w:r>
      <w:proofErr w:type="gramStart"/>
      <w:r w:rsidRPr="00F3222A">
        <w:rPr>
          <w:rFonts w:ascii="Times" w:hAnsi="Times" w:cs="Calibri"/>
        </w:rPr>
        <w:t>sécurité discutables</w:t>
      </w:r>
      <w:proofErr w:type="gramEnd"/>
      <w:r w:rsidRPr="00F3222A">
        <w:rPr>
          <w:rFonts w:ascii="Times" w:hAnsi="Times" w:cs="Calibri"/>
        </w:rPr>
        <w:t xml:space="preserve"> de </w:t>
      </w:r>
      <w:r w:rsidR="00E9757D">
        <w:rPr>
          <w:rFonts w:ascii="Times" w:hAnsi="Times" w:cs="Calibri"/>
        </w:rPr>
        <w:t xml:space="preserve">cette </w:t>
      </w:r>
      <w:r w:rsidRPr="00F3222A">
        <w:rPr>
          <w:rFonts w:ascii="Times" w:hAnsi="Times" w:cs="Calibri"/>
        </w:rPr>
        <w:t>entreprise</w:t>
      </w:r>
      <w:r w:rsidR="00F3222A">
        <w:rPr>
          <w:rFonts w:ascii="Times" w:hAnsi="Times" w:cs="Calibri"/>
        </w:rPr>
        <w:t xml:space="preserve"> (</w:t>
      </w:r>
      <w:proofErr w:type="spellStart"/>
      <w:r w:rsidR="00F3222A">
        <w:rPr>
          <w:rFonts w:ascii="Times" w:hAnsi="Times" w:cs="Calibri"/>
        </w:rPr>
        <w:t>G</w:t>
      </w:r>
      <w:r w:rsidR="00877A5E">
        <w:rPr>
          <w:rFonts w:ascii="Times" w:hAnsi="Times" w:cs="Calibri"/>
        </w:rPr>
        <w:t>uttierez</w:t>
      </w:r>
      <w:proofErr w:type="spellEnd"/>
      <w:r w:rsidR="00F3222A">
        <w:rPr>
          <w:rFonts w:ascii="Times" w:hAnsi="Times" w:cs="Calibri"/>
        </w:rPr>
        <w:t>, 2022 ; D</w:t>
      </w:r>
      <w:r w:rsidR="00877A5E">
        <w:rPr>
          <w:rFonts w:ascii="Times" w:hAnsi="Times" w:cs="Calibri"/>
        </w:rPr>
        <w:t>aly</w:t>
      </w:r>
      <w:r w:rsidR="00F3222A">
        <w:rPr>
          <w:rFonts w:ascii="Times" w:hAnsi="Times" w:cs="Calibri"/>
        </w:rPr>
        <w:t>, 2022).</w:t>
      </w:r>
      <w:r w:rsidRPr="00F3222A">
        <w:rPr>
          <w:rFonts w:ascii="Times" w:hAnsi="Times" w:cs="Calibri"/>
        </w:rPr>
        <w:t xml:space="preserve"> </w:t>
      </w:r>
      <w:r w:rsidR="00F3222A">
        <w:rPr>
          <w:rFonts w:ascii="Times" w:hAnsi="Times" w:cs="Calibri"/>
        </w:rPr>
        <w:t>D</w:t>
      </w:r>
      <w:r w:rsidRPr="00F3222A">
        <w:rPr>
          <w:rFonts w:ascii="Times" w:hAnsi="Times" w:cs="Calibri"/>
        </w:rPr>
        <w:t>’autres institutions ont également requis les services de prestataires privés comme certains tribunaux internationaux administratifs</w:t>
      </w:r>
      <w:r w:rsidR="00923911">
        <w:rPr>
          <w:rFonts w:ascii="Times" w:hAnsi="Times" w:cs="Calibri"/>
        </w:rPr>
        <w:t xml:space="preserve"> (</w:t>
      </w:r>
      <w:r w:rsidR="00877A5E">
        <w:rPr>
          <w:rFonts w:ascii="Times" w:hAnsi="Times" w:cs="Calibri"/>
        </w:rPr>
        <w:t>Thevenot-Werner</w:t>
      </w:r>
      <w:r w:rsidR="00923911">
        <w:rPr>
          <w:rFonts w:ascii="Times" w:hAnsi="Times" w:cs="Calibri"/>
        </w:rPr>
        <w:t>, 2022).</w:t>
      </w:r>
      <w:r w:rsidRPr="00F3222A">
        <w:rPr>
          <w:rFonts w:ascii="Times" w:hAnsi="Times" w:cs="Calibri"/>
        </w:rPr>
        <w:t xml:space="preserve"> Bien que certaines juridictions </w:t>
      </w:r>
      <w:r w:rsidR="00923911">
        <w:rPr>
          <w:rFonts w:ascii="Times" w:hAnsi="Times" w:cs="Calibri"/>
        </w:rPr>
        <w:t xml:space="preserve">et organes contentieux </w:t>
      </w:r>
      <w:r w:rsidRPr="00F3222A">
        <w:rPr>
          <w:rFonts w:ascii="Times" w:hAnsi="Times" w:cs="Calibri"/>
        </w:rPr>
        <w:t>aient pris en considération cet enjeu</w:t>
      </w:r>
      <w:r w:rsidR="00923911">
        <w:rPr>
          <w:rFonts w:ascii="Times" w:hAnsi="Times" w:cs="Calibri"/>
        </w:rPr>
        <w:t>, par exemple dans le cadre de l’arbitrage commercial (</w:t>
      </w:r>
      <w:proofErr w:type="spellStart"/>
      <w:r w:rsidR="00923911">
        <w:rPr>
          <w:rFonts w:ascii="Times" w:hAnsi="Times" w:cs="Calibri"/>
        </w:rPr>
        <w:t>L</w:t>
      </w:r>
      <w:r w:rsidR="00877A5E">
        <w:rPr>
          <w:rFonts w:ascii="Times" w:hAnsi="Times" w:cs="Calibri"/>
        </w:rPr>
        <w:t>oquin</w:t>
      </w:r>
      <w:proofErr w:type="spellEnd"/>
      <w:r w:rsidR="00923911">
        <w:rPr>
          <w:rFonts w:ascii="Times" w:hAnsi="Times" w:cs="Calibri"/>
        </w:rPr>
        <w:t>, 2022)</w:t>
      </w:r>
      <w:r w:rsidRPr="00F3222A">
        <w:rPr>
          <w:rFonts w:ascii="Times" w:hAnsi="Times" w:cs="Calibri"/>
        </w:rPr>
        <w:t>, la majorité d</w:t>
      </w:r>
      <w:r w:rsidR="00E9757D">
        <w:rPr>
          <w:rFonts w:ascii="Times" w:hAnsi="Times" w:cs="Calibri"/>
        </w:rPr>
        <w:t>’entre elles</w:t>
      </w:r>
      <w:r w:rsidRPr="00F3222A">
        <w:rPr>
          <w:rFonts w:ascii="Times" w:hAnsi="Times" w:cs="Calibri"/>
        </w:rPr>
        <w:t xml:space="preserve"> s’en </w:t>
      </w:r>
      <w:r w:rsidR="00923911">
        <w:rPr>
          <w:rFonts w:ascii="Times" w:hAnsi="Times" w:cs="Calibri"/>
        </w:rPr>
        <w:t>est</w:t>
      </w:r>
      <w:r w:rsidRPr="00F3222A">
        <w:rPr>
          <w:rFonts w:ascii="Times" w:hAnsi="Times" w:cs="Calibri"/>
        </w:rPr>
        <w:t xml:space="preserve"> largement remis</w:t>
      </w:r>
      <w:r w:rsidR="00923911">
        <w:rPr>
          <w:rFonts w:ascii="Times" w:hAnsi="Times" w:cs="Calibri"/>
        </w:rPr>
        <w:t>e</w:t>
      </w:r>
      <w:r w:rsidRPr="00F3222A">
        <w:rPr>
          <w:rFonts w:ascii="Times" w:hAnsi="Times" w:cs="Calibri"/>
        </w:rPr>
        <w:t xml:space="preserve"> aux plateformes</w:t>
      </w:r>
      <w:r w:rsidR="00923911">
        <w:rPr>
          <w:rFonts w:ascii="Times" w:hAnsi="Times" w:cs="Calibri"/>
        </w:rPr>
        <w:t xml:space="preserve"> utilisées</w:t>
      </w:r>
      <w:r w:rsidRPr="00F3222A">
        <w:rPr>
          <w:rFonts w:ascii="Times" w:hAnsi="Times" w:cs="Calibri"/>
        </w:rPr>
        <w:t xml:space="preserve"> </w:t>
      </w:r>
      <w:r w:rsidR="00923911">
        <w:rPr>
          <w:rFonts w:ascii="Times" w:hAnsi="Times" w:cs="Calibri"/>
        </w:rPr>
        <w:t>sur le plan</w:t>
      </w:r>
      <w:r w:rsidRPr="00F3222A">
        <w:rPr>
          <w:rFonts w:ascii="Times" w:hAnsi="Times" w:cs="Calibri"/>
        </w:rPr>
        <w:t xml:space="preserve"> de la sécurité, ou ne s’en sont pas souciées. </w:t>
      </w:r>
      <w:r w:rsidR="00923911">
        <w:rPr>
          <w:rFonts w:ascii="Times" w:hAnsi="Times" w:cs="Calibri"/>
        </w:rPr>
        <w:t>Certes, aucun</w:t>
      </w:r>
      <w:r w:rsidRPr="00F3222A">
        <w:rPr>
          <w:rFonts w:ascii="Times" w:hAnsi="Times" w:cs="Calibri"/>
        </w:rPr>
        <w:t xml:space="preserve"> problème majeur de cyberattaque ne semble avoir été </w:t>
      </w:r>
      <w:r w:rsidR="00E9757D">
        <w:rPr>
          <w:rFonts w:ascii="Times" w:hAnsi="Times" w:cs="Calibri"/>
        </w:rPr>
        <w:t>détecté ou révélé publiquement</w:t>
      </w:r>
      <w:r w:rsidR="00923911">
        <w:rPr>
          <w:rFonts w:ascii="Times" w:hAnsi="Times" w:cs="Calibri"/>
        </w:rPr>
        <w:t>. Cependant, il est évident que</w:t>
      </w:r>
      <w:r w:rsidRPr="00F3222A">
        <w:rPr>
          <w:rFonts w:ascii="Times" w:hAnsi="Times" w:cs="Calibri"/>
        </w:rPr>
        <w:t xml:space="preserve"> la confidentialité</w:t>
      </w:r>
      <w:r w:rsidRPr="00F3222A">
        <w:rPr>
          <w:rFonts w:ascii="Times" w:hAnsi="Times" w:cs="Calibri"/>
        </w:rPr>
        <w:fldChar w:fldCharType="begin"/>
      </w:r>
      <w:r w:rsidRPr="00F3222A">
        <w:rPr>
          <w:rFonts w:ascii="Times" w:hAnsi="Times" w:cs="Calibri"/>
        </w:rPr>
        <w:instrText xml:space="preserve"> XE "Confidentialité" </w:instrText>
      </w:r>
      <w:r w:rsidRPr="00F3222A">
        <w:rPr>
          <w:rFonts w:ascii="Times" w:hAnsi="Times" w:cs="Calibri"/>
        </w:rPr>
        <w:fldChar w:fldCharType="end"/>
      </w:r>
      <w:r w:rsidRPr="00F3222A">
        <w:rPr>
          <w:rFonts w:ascii="Times" w:hAnsi="Times" w:cs="Calibri"/>
        </w:rPr>
        <w:t xml:space="preserve"> des processus</w:t>
      </w:r>
      <w:r w:rsidR="007D47D8" w:rsidRPr="00F3222A">
        <w:rPr>
          <w:rFonts w:ascii="Times" w:hAnsi="Times" w:cs="Calibri"/>
        </w:rPr>
        <w:t>,</w:t>
      </w:r>
      <w:r w:rsidRPr="00F3222A">
        <w:rPr>
          <w:rFonts w:ascii="Times" w:hAnsi="Times" w:cs="Calibri"/>
        </w:rPr>
        <w:t xml:space="preserve"> et notamment des délibérations et des auditions de témoins ou victimes dans des affaires à huis clos, </w:t>
      </w:r>
      <w:r w:rsidR="007D47D8" w:rsidRPr="00F3222A">
        <w:rPr>
          <w:rFonts w:ascii="Times" w:hAnsi="Times" w:cs="Calibri"/>
        </w:rPr>
        <w:t>peut</w:t>
      </w:r>
      <w:r w:rsidRPr="00F3222A">
        <w:rPr>
          <w:rFonts w:ascii="Times" w:hAnsi="Times" w:cs="Calibri"/>
        </w:rPr>
        <w:t xml:space="preserve"> être compromise par la dématérialisation</w:t>
      </w:r>
      <w:r w:rsidR="00923911">
        <w:rPr>
          <w:rFonts w:ascii="Times" w:hAnsi="Times" w:cs="Calibri"/>
        </w:rPr>
        <w:t xml:space="preserve">. Un praticien du droit canadien relate un exemple parmi bien d’autres : </w:t>
      </w:r>
      <w:r w:rsidR="00923911" w:rsidRPr="00796FFB">
        <w:rPr>
          <w:rFonts w:ascii="Times" w:hAnsi="Times"/>
        </w:rPr>
        <w:t>« </w:t>
      </w:r>
      <w:r w:rsidR="00923911" w:rsidRPr="00796FFB">
        <w:rPr>
          <w:rFonts w:ascii="Times" w:hAnsi="Times"/>
          <w:lang w:val="fr-CA"/>
        </w:rPr>
        <w:t>pendant l’audience virtuelle</w:t>
      </w:r>
      <w:r w:rsidR="00923911" w:rsidRPr="00796FFB">
        <w:rPr>
          <w:rFonts w:ascii="Times" w:hAnsi="Times"/>
          <w:lang w:val="fr-CA"/>
        </w:rPr>
        <w:fldChar w:fldCharType="begin"/>
      </w:r>
      <w:r w:rsidR="00923911" w:rsidRPr="00796FFB">
        <w:rPr>
          <w:rFonts w:ascii="Times" w:hAnsi="Times"/>
        </w:rPr>
        <w:instrText xml:space="preserve"> XE "Audiences virtuelles" </w:instrText>
      </w:r>
      <w:r w:rsidR="00923911" w:rsidRPr="00796FFB">
        <w:rPr>
          <w:rFonts w:ascii="Times" w:hAnsi="Times"/>
          <w:lang w:val="fr-CA"/>
        </w:rPr>
        <w:fldChar w:fldCharType="end"/>
      </w:r>
      <w:r w:rsidR="00923911" w:rsidRPr="00796FFB">
        <w:rPr>
          <w:rFonts w:ascii="Times" w:hAnsi="Times"/>
          <w:lang w:val="fr-CA"/>
        </w:rPr>
        <w:t>, notre application Zoom</w:t>
      </w:r>
      <w:r w:rsidR="00923911" w:rsidRPr="00796FFB">
        <w:rPr>
          <w:rFonts w:ascii="Times" w:hAnsi="Times"/>
          <w:lang w:val="fr-CA"/>
        </w:rPr>
        <w:fldChar w:fldCharType="begin"/>
      </w:r>
      <w:r w:rsidR="00923911" w:rsidRPr="00796FFB">
        <w:rPr>
          <w:rFonts w:ascii="Times" w:hAnsi="Times"/>
        </w:rPr>
        <w:instrText xml:space="preserve"> XE "Zoom" </w:instrText>
      </w:r>
      <w:r w:rsidR="00923911" w:rsidRPr="00796FFB">
        <w:rPr>
          <w:rFonts w:ascii="Times" w:hAnsi="Times"/>
          <w:lang w:val="fr-CA"/>
        </w:rPr>
        <w:fldChar w:fldCharType="end"/>
      </w:r>
      <w:r w:rsidR="00923911" w:rsidRPr="00796FFB">
        <w:rPr>
          <w:rFonts w:ascii="Times" w:hAnsi="Times"/>
          <w:lang w:val="fr-CA"/>
        </w:rPr>
        <w:t xml:space="preserve"> est devenue corrompue, nécessitant une pause de l’audience avant que la connexion ne soit rétablie avec un autre ordinateur »</w:t>
      </w:r>
      <w:r w:rsidR="00923911">
        <w:rPr>
          <w:rFonts w:ascii="Times" w:hAnsi="Times"/>
          <w:lang w:val="fr-CA"/>
        </w:rPr>
        <w:t xml:space="preserve"> (D</w:t>
      </w:r>
      <w:r w:rsidR="00877A5E">
        <w:rPr>
          <w:rFonts w:ascii="Times" w:hAnsi="Times"/>
          <w:lang w:val="fr-CA"/>
        </w:rPr>
        <w:t>aly</w:t>
      </w:r>
      <w:r w:rsidR="00923911">
        <w:rPr>
          <w:rFonts w:ascii="Times" w:hAnsi="Times"/>
          <w:lang w:val="fr-CA"/>
        </w:rPr>
        <w:t>, 2022).</w:t>
      </w:r>
      <w:r w:rsidRPr="00F3222A">
        <w:rPr>
          <w:rFonts w:ascii="Times" w:hAnsi="Times" w:cs="Calibri"/>
        </w:rPr>
        <w:t xml:space="preserve"> </w:t>
      </w:r>
    </w:p>
    <w:p w14:paraId="1F0129A0" w14:textId="013E4FC8" w:rsidR="009D00D1" w:rsidRPr="00923911" w:rsidRDefault="00923911" w:rsidP="004A46A3">
      <w:pPr>
        <w:spacing w:line="360" w:lineRule="auto"/>
        <w:ind w:firstLine="284"/>
        <w:jc w:val="both"/>
        <w:rPr>
          <w:rFonts w:ascii="Times" w:hAnsi="Times" w:cs="Calibri"/>
        </w:rPr>
      </w:pPr>
      <w:r>
        <w:rPr>
          <w:rFonts w:ascii="Times" w:hAnsi="Times" w:cs="Calibri"/>
        </w:rPr>
        <w:t>Une d</w:t>
      </w:r>
      <w:r w:rsidR="00C848E1" w:rsidRPr="00923911">
        <w:rPr>
          <w:rFonts w:ascii="Times" w:hAnsi="Times" w:cs="Calibri"/>
        </w:rPr>
        <w:t>euxième</w:t>
      </w:r>
      <w:r w:rsidR="009D00D1" w:rsidRPr="00923911">
        <w:rPr>
          <w:rFonts w:ascii="Times" w:hAnsi="Times" w:cs="Calibri"/>
        </w:rPr>
        <w:t xml:space="preserve"> problématique</w:t>
      </w:r>
      <w:r>
        <w:rPr>
          <w:rFonts w:ascii="Times" w:hAnsi="Times" w:cs="Calibri"/>
        </w:rPr>
        <w:t>,</w:t>
      </w:r>
      <w:r w:rsidR="009D00D1" w:rsidRPr="00923911">
        <w:rPr>
          <w:rFonts w:ascii="Times" w:hAnsi="Times" w:cs="Calibri"/>
        </w:rPr>
        <w:t xml:space="preserve"> </w:t>
      </w:r>
      <w:r w:rsidR="00C848E1" w:rsidRPr="00923911">
        <w:rPr>
          <w:rFonts w:ascii="Times" w:hAnsi="Times" w:cs="Calibri"/>
        </w:rPr>
        <w:t>plus en lien avec l</w:t>
      </w:r>
      <w:r>
        <w:rPr>
          <w:rFonts w:ascii="Times" w:hAnsi="Times" w:cs="Calibri"/>
        </w:rPr>
        <w:t>a question de la citoyenneté, a été esquissée plus haut</w:t>
      </w:r>
      <w:r w:rsidR="00C848E1" w:rsidRPr="00923911">
        <w:rPr>
          <w:rFonts w:ascii="Times" w:hAnsi="Times" w:cs="Calibri"/>
        </w:rPr>
        <w:t> :</w:t>
      </w:r>
      <w:r w:rsidR="009D00D1" w:rsidRPr="00923911">
        <w:rPr>
          <w:rFonts w:ascii="Times" w:hAnsi="Times" w:cs="Calibri"/>
        </w:rPr>
        <w:t xml:space="preserve"> la perte de l’oralité</w:t>
      </w:r>
      <w:r w:rsidR="009D00D1" w:rsidRPr="00923911">
        <w:rPr>
          <w:rFonts w:ascii="Times" w:hAnsi="Times" w:cs="Calibri"/>
        </w:rPr>
        <w:fldChar w:fldCharType="begin"/>
      </w:r>
      <w:r w:rsidR="009D00D1" w:rsidRPr="00923911">
        <w:rPr>
          <w:rFonts w:ascii="Times" w:hAnsi="Times" w:cs="Calibri"/>
        </w:rPr>
        <w:instrText xml:space="preserve"> XE "</w:instrText>
      </w:r>
      <w:r w:rsidR="009D00D1" w:rsidRPr="00923911">
        <w:rPr>
          <w:rFonts w:ascii="Times" w:hAnsi="Times" w:cs="Calibri"/>
          <w:shd w:val="clear" w:color="auto" w:fill="FFFFFF"/>
        </w:rPr>
        <w:instrText>Oralité</w:instrText>
      </w:r>
      <w:r w:rsidR="009D00D1" w:rsidRPr="00923911">
        <w:rPr>
          <w:rFonts w:ascii="Times" w:hAnsi="Times" w:cs="Calibri"/>
        </w:rPr>
        <w:instrText xml:space="preserve">" </w:instrText>
      </w:r>
      <w:r w:rsidR="009D00D1" w:rsidRPr="00923911">
        <w:rPr>
          <w:rFonts w:ascii="Times" w:hAnsi="Times" w:cs="Calibri"/>
        </w:rPr>
        <w:fldChar w:fldCharType="end"/>
      </w:r>
      <w:r w:rsidR="009D00D1" w:rsidRPr="00923911">
        <w:rPr>
          <w:rFonts w:ascii="Times" w:hAnsi="Times" w:cs="Calibri"/>
        </w:rPr>
        <w:t xml:space="preserve"> directe du fait de la visioconférence</w:t>
      </w:r>
      <w:r w:rsidR="00C848E1" w:rsidRPr="00923911">
        <w:rPr>
          <w:rFonts w:ascii="Times" w:hAnsi="Times" w:cs="Calibri"/>
        </w:rPr>
        <w:t>, qui</w:t>
      </w:r>
      <w:r w:rsidR="009D00D1" w:rsidRPr="00923911">
        <w:rPr>
          <w:rFonts w:ascii="Times" w:hAnsi="Times" w:cs="Calibri"/>
        </w:rPr>
        <w:t xml:space="preserve"> n’a certainement pas bénéficié</w:t>
      </w:r>
      <w:r w:rsidR="00D52769" w:rsidRPr="00923911">
        <w:rPr>
          <w:rFonts w:ascii="Times" w:hAnsi="Times" w:cs="Calibri"/>
        </w:rPr>
        <w:t xml:space="preserve"> </w:t>
      </w:r>
      <w:r w:rsidR="009D00D1" w:rsidRPr="00923911">
        <w:rPr>
          <w:rFonts w:ascii="Times" w:hAnsi="Times" w:cs="Calibri"/>
        </w:rPr>
        <w:t xml:space="preserve">de la réflexion qu’elle mérite. Le langage non verbal, la confrontation directe, la possibilité de répondre sans intermédiaire et sans risque de problème technique, sont des exemples des avantages indéniables du </w:t>
      </w:r>
      <w:r w:rsidR="00CC7ACD">
        <w:rPr>
          <w:rFonts w:ascii="Times" w:hAnsi="Times" w:cs="Calibri"/>
        </w:rPr>
        <w:t>« </w:t>
      </w:r>
      <w:r w:rsidR="009D00D1" w:rsidRPr="00923911">
        <w:rPr>
          <w:rFonts w:ascii="Times" w:hAnsi="Times" w:cs="Calibri"/>
        </w:rPr>
        <w:t>présentiel</w:t>
      </w:r>
      <w:r w:rsidR="00CC7ACD">
        <w:rPr>
          <w:rFonts w:ascii="Times" w:hAnsi="Times" w:cs="Calibri"/>
        </w:rPr>
        <w:t> »</w:t>
      </w:r>
      <w:r w:rsidR="009D00D1" w:rsidRPr="00923911">
        <w:rPr>
          <w:rFonts w:ascii="Times" w:hAnsi="Times" w:cs="Calibri"/>
        </w:rPr>
        <w:t xml:space="preserve"> sur le </w:t>
      </w:r>
      <w:r w:rsidR="00CC7ACD">
        <w:rPr>
          <w:rFonts w:ascii="Times" w:hAnsi="Times" w:cs="Calibri"/>
        </w:rPr>
        <w:t>« </w:t>
      </w:r>
      <w:r w:rsidR="009D00D1" w:rsidRPr="00923911">
        <w:rPr>
          <w:rFonts w:ascii="Times" w:hAnsi="Times" w:cs="Calibri"/>
        </w:rPr>
        <w:t>distanciel</w:t>
      </w:r>
      <w:r w:rsidR="00CC7ACD">
        <w:rPr>
          <w:rFonts w:ascii="Times" w:hAnsi="Times" w:cs="Calibri"/>
        </w:rPr>
        <w:t> »</w:t>
      </w:r>
      <w:r w:rsidR="009D00D1" w:rsidRPr="00923911">
        <w:rPr>
          <w:rFonts w:ascii="Times" w:hAnsi="Times" w:cs="Calibri"/>
        </w:rPr>
        <w:t xml:space="preserve">, que </w:t>
      </w:r>
      <w:r w:rsidR="00D52769" w:rsidRPr="00923911">
        <w:rPr>
          <w:rFonts w:ascii="Times" w:hAnsi="Times" w:cs="Calibri"/>
        </w:rPr>
        <w:t>nous avons toutes et tous</w:t>
      </w:r>
      <w:r w:rsidR="009D00D1" w:rsidRPr="00923911">
        <w:rPr>
          <w:rFonts w:ascii="Times" w:hAnsi="Times" w:cs="Calibri"/>
        </w:rPr>
        <w:t xml:space="preserve"> pu expérimenter. Si ces questions ont parfois été portées devant les juridictions sous l’angle des droits de la défense, ou dans le débat public sous l’angle des effets psychosociaux de la généralisation de la visioconférence, elles n’ont pas reçu de réponses claires, l’urgence primant. </w:t>
      </w:r>
      <w:r w:rsidR="00193100" w:rsidRPr="00923911">
        <w:rPr>
          <w:rFonts w:ascii="Times" w:hAnsi="Times" w:cs="Calibri"/>
        </w:rPr>
        <w:t>Pourtant on sait depuis longtemps,</w:t>
      </w:r>
      <w:r w:rsidR="00D52769" w:rsidRPr="00923911">
        <w:rPr>
          <w:rFonts w:ascii="Times" w:hAnsi="Times" w:cs="Calibri"/>
        </w:rPr>
        <w:t xml:space="preserve"> aux États-Unis par exemple</w:t>
      </w:r>
      <w:r w:rsidR="00193100" w:rsidRPr="00923911">
        <w:rPr>
          <w:rFonts w:ascii="Times" w:hAnsi="Times" w:cs="Calibri"/>
        </w:rPr>
        <w:t>,</w:t>
      </w:r>
      <w:r w:rsidR="00D52769" w:rsidRPr="00923911">
        <w:rPr>
          <w:rFonts w:ascii="Times" w:hAnsi="Times" w:cs="Calibri"/>
        </w:rPr>
        <w:t xml:space="preserve"> </w:t>
      </w:r>
      <w:r w:rsidR="009D00D1" w:rsidRPr="00923911">
        <w:rPr>
          <w:rFonts w:ascii="Times" w:hAnsi="Times" w:cs="Calibri"/>
        </w:rPr>
        <w:t>que lorsque les prévenus sont entendus virtuellement lors des audiences prévues pour la fixation du montant de leurs cautions, les montants fixés par les juges sont plus importants que lorsque les prévenus comparaissent physiquement</w:t>
      </w:r>
      <w:r>
        <w:rPr>
          <w:rFonts w:ascii="Times" w:hAnsi="Times" w:cs="Calibri"/>
        </w:rPr>
        <w:t xml:space="preserve"> (D</w:t>
      </w:r>
      <w:r w:rsidR="00877A5E">
        <w:rPr>
          <w:rFonts w:ascii="Times" w:hAnsi="Times" w:cs="Calibri"/>
        </w:rPr>
        <w:t>iamond</w:t>
      </w:r>
      <w:r>
        <w:rPr>
          <w:rFonts w:ascii="Times" w:hAnsi="Times" w:cs="Calibri"/>
        </w:rPr>
        <w:t>, 2010)</w:t>
      </w:r>
      <w:r w:rsidR="009D00D1" w:rsidRPr="00923911">
        <w:rPr>
          <w:rFonts w:ascii="Times" w:hAnsi="Times" w:cs="Calibri"/>
        </w:rPr>
        <w:t xml:space="preserve">. </w:t>
      </w:r>
      <w:r w:rsidR="00C848E1" w:rsidRPr="00923911">
        <w:rPr>
          <w:rFonts w:ascii="Times" w:hAnsi="Times" w:cs="Calibri"/>
        </w:rPr>
        <w:t>E</w:t>
      </w:r>
      <w:r w:rsidR="009D00D1" w:rsidRPr="00923911">
        <w:rPr>
          <w:rFonts w:ascii="Times" w:hAnsi="Times" w:cs="Calibri"/>
        </w:rPr>
        <w:t xml:space="preserve">n adoptant une politique de gestion du risque, </w:t>
      </w:r>
      <w:r w:rsidR="00C848E1" w:rsidRPr="00923911">
        <w:rPr>
          <w:rFonts w:ascii="Times" w:hAnsi="Times" w:cs="Calibri"/>
        </w:rPr>
        <w:t xml:space="preserve">la plupart des juridictions </w:t>
      </w:r>
      <w:r w:rsidR="00CC7ACD">
        <w:rPr>
          <w:rFonts w:ascii="Times" w:hAnsi="Times" w:cs="Calibri"/>
        </w:rPr>
        <w:t>ont</w:t>
      </w:r>
      <w:r w:rsidR="009D00D1" w:rsidRPr="00923911">
        <w:rPr>
          <w:rFonts w:ascii="Times" w:hAnsi="Times" w:cs="Calibri"/>
        </w:rPr>
        <w:t xml:space="preserve"> minimisé les effets physiques de la pandémie sur ses usagers, mais a ignoré les conséquences fonctionnelles et psychologiques</w:t>
      </w:r>
      <w:r w:rsidR="00D52769" w:rsidRPr="00923911">
        <w:rPr>
          <w:rFonts w:ascii="Times" w:hAnsi="Times" w:cs="Calibri"/>
        </w:rPr>
        <w:t xml:space="preserve"> qui vont avec</w:t>
      </w:r>
      <w:r>
        <w:rPr>
          <w:rFonts w:ascii="Times" w:hAnsi="Times" w:cs="Calibri"/>
        </w:rPr>
        <w:t xml:space="preserve"> (</w:t>
      </w:r>
      <w:r w:rsidR="00877A5E">
        <w:rPr>
          <w:rFonts w:ascii="Times" w:hAnsi="Times" w:cs="Calibri"/>
        </w:rPr>
        <w:t>Thevenot-Werner</w:t>
      </w:r>
      <w:r>
        <w:rPr>
          <w:rFonts w:ascii="Times" w:hAnsi="Times" w:cs="Calibri"/>
        </w:rPr>
        <w:t>, 2022).</w:t>
      </w:r>
    </w:p>
    <w:p w14:paraId="0AA694B4" w14:textId="5FD916EE" w:rsidR="009D00D1" w:rsidRPr="00923911" w:rsidRDefault="00923911" w:rsidP="004A46A3">
      <w:pPr>
        <w:spacing w:line="360" w:lineRule="auto"/>
        <w:ind w:firstLine="284"/>
        <w:jc w:val="both"/>
        <w:rPr>
          <w:rFonts w:ascii="Times" w:hAnsi="Times" w:cs="Calibri"/>
        </w:rPr>
      </w:pPr>
      <w:r>
        <w:rPr>
          <w:rFonts w:ascii="Times" w:hAnsi="Times" w:cs="Calibri"/>
        </w:rPr>
        <w:lastRenderedPageBreak/>
        <w:t>Une t</w:t>
      </w:r>
      <w:r w:rsidR="00C848E1" w:rsidRPr="00923911">
        <w:rPr>
          <w:rFonts w:ascii="Times" w:hAnsi="Times" w:cs="Calibri"/>
        </w:rPr>
        <w:t>roisième problématique</w:t>
      </w:r>
      <w:r w:rsidR="00D52769" w:rsidRPr="00923911">
        <w:rPr>
          <w:rFonts w:ascii="Times" w:hAnsi="Times" w:cs="Calibri"/>
        </w:rPr>
        <w:t xml:space="preserve"> éminemment citoyenne</w:t>
      </w:r>
      <w:r>
        <w:rPr>
          <w:rFonts w:ascii="Times" w:hAnsi="Times" w:cs="Calibri"/>
        </w:rPr>
        <w:t xml:space="preserve"> réside dans </w:t>
      </w:r>
      <w:r w:rsidR="00C848E1" w:rsidRPr="00923911">
        <w:rPr>
          <w:rFonts w:ascii="Times" w:hAnsi="Times" w:cs="Calibri"/>
        </w:rPr>
        <w:t>la question de la conditionnalité numérique</w:t>
      </w:r>
      <w:r>
        <w:rPr>
          <w:rFonts w:ascii="Times" w:hAnsi="Times" w:cs="Calibri"/>
        </w:rPr>
        <w:t xml:space="preserve"> (</w:t>
      </w:r>
      <w:r w:rsidR="00877A5E">
        <w:rPr>
          <w:rFonts w:ascii="Times" w:hAnsi="Times" w:cs="Calibri"/>
        </w:rPr>
        <w:t xml:space="preserve">Lequesne Roth </w:t>
      </w:r>
      <w:r w:rsidR="00877A5E" w:rsidRPr="00877A5E">
        <w:rPr>
          <w:rFonts w:ascii="Times" w:hAnsi="Times" w:cs="Calibri"/>
          <w:i/>
          <w:iCs/>
        </w:rPr>
        <w:t>et</w:t>
      </w:r>
      <w:r w:rsidRPr="00877A5E">
        <w:rPr>
          <w:rFonts w:ascii="Times" w:hAnsi="Times" w:cs="Calibri"/>
          <w:i/>
          <w:iCs/>
        </w:rPr>
        <w:t xml:space="preserve"> al</w:t>
      </w:r>
      <w:r w:rsidR="00877A5E">
        <w:rPr>
          <w:rFonts w:ascii="Times" w:hAnsi="Times" w:cs="Calibri"/>
          <w:i/>
          <w:iCs/>
        </w:rPr>
        <w:t>.</w:t>
      </w:r>
      <w:r>
        <w:rPr>
          <w:rFonts w:ascii="Times" w:hAnsi="Times" w:cs="Calibri"/>
        </w:rPr>
        <w:t>, 2021)</w:t>
      </w:r>
      <w:r w:rsidR="00C848E1" w:rsidRPr="00923911">
        <w:rPr>
          <w:rFonts w:ascii="Times" w:hAnsi="Times" w:cs="Calibri"/>
        </w:rPr>
        <w:t>.</w:t>
      </w:r>
      <w:r w:rsidR="00C848E1" w:rsidRPr="00923911">
        <w:rPr>
          <w:rFonts w:ascii="Times" w:hAnsi="Times" w:cs="Calibri"/>
          <w:b/>
          <w:bCs/>
        </w:rPr>
        <w:t xml:space="preserve"> </w:t>
      </w:r>
      <w:r w:rsidR="009D00D1" w:rsidRPr="00923911">
        <w:rPr>
          <w:rFonts w:ascii="Times" w:hAnsi="Times" w:cs="Calibri"/>
        </w:rPr>
        <w:t xml:space="preserve">La capacité à user d’outils informatiques dans le cadre d’un travail </w:t>
      </w:r>
      <w:r w:rsidR="00D52769" w:rsidRPr="00923911">
        <w:rPr>
          <w:rFonts w:ascii="Times" w:hAnsi="Times" w:cs="Calibri"/>
        </w:rPr>
        <w:t>normalement « </w:t>
      </w:r>
      <w:r w:rsidR="009D00D1" w:rsidRPr="00923911">
        <w:rPr>
          <w:rFonts w:ascii="Times" w:hAnsi="Times" w:cs="Calibri"/>
        </w:rPr>
        <w:t>en présentiel</w:t>
      </w:r>
      <w:r w:rsidR="00D52769" w:rsidRPr="00923911">
        <w:rPr>
          <w:rFonts w:ascii="Times" w:hAnsi="Times" w:cs="Calibri"/>
        </w:rPr>
        <w:t> »</w:t>
      </w:r>
      <w:r w:rsidR="009D00D1" w:rsidRPr="00923911">
        <w:rPr>
          <w:rFonts w:ascii="Times" w:hAnsi="Times" w:cs="Calibri"/>
        </w:rPr>
        <w:t xml:space="preserve"> est un enjeu qui n’a été que peu pensé lors de l’adaptation des juridictions. Encore une fois, l’urgence et la nécessité de permettre la continuité de la justice ont prévalu. Pourtant, les professionnels du droit n’étaient pas nécessairement formés à l’utilisation de plateformes de visio-conférence et </w:t>
      </w:r>
      <w:r w:rsidR="00CC7ACD">
        <w:rPr>
          <w:rFonts w:ascii="Times" w:hAnsi="Times" w:cs="Calibri"/>
        </w:rPr>
        <w:t xml:space="preserve">aux </w:t>
      </w:r>
      <w:r w:rsidR="009D00D1" w:rsidRPr="00923911">
        <w:rPr>
          <w:rFonts w:ascii="Times" w:hAnsi="Times" w:cs="Calibri"/>
        </w:rPr>
        <w:t>outils informatiques de manière générale. Ce manque de formatio</w:t>
      </w:r>
      <w:r w:rsidR="00C848E1" w:rsidRPr="00923911">
        <w:rPr>
          <w:rFonts w:ascii="Times" w:hAnsi="Times" w:cs="Calibri"/>
        </w:rPr>
        <w:t>n</w:t>
      </w:r>
      <w:r w:rsidR="009D00D1" w:rsidRPr="00923911">
        <w:rPr>
          <w:rFonts w:ascii="Times" w:hAnsi="Times" w:cs="Calibri"/>
        </w:rPr>
        <w:t xml:space="preserve"> a donné lieu à des événements parfois comiques</w:t>
      </w:r>
      <w:r>
        <w:rPr>
          <w:rFonts w:ascii="Times" w:hAnsi="Times" w:cs="Calibri"/>
        </w:rPr>
        <w:t xml:space="preserve"> – on</w:t>
      </w:r>
      <w:r w:rsidR="00D52769" w:rsidRPr="00923911">
        <w:rPr>
          <w:rFonts w:ascii="Times" w:hAnsi="Times" w:cs="Calibri"/>
        </w:rPr>
        <w:t xml:space="preserve"> pense par exemple à la vidéo de Ro</w:t>
      </w:r>
      <w:r>
        <w:rPr>
          <w:rFonts w:ascii="Times" w:hAnsi="Times" w:cs="Calibri"/>
        </w:rPr>
        <w:t>d Ponton</w:t>
      </w:r>
      <w:r w:rsidR="00D52769" w:rsidRPr="00923911">
        <w:rPr>
          <w:rFonts w:ascii="Times" w:hAnsi="Times" w:cs="Calibri"/>
        </w:rPr>
        <w:t xml:space="preserve">, avocat texan qui </w:t>
      </w:r>
      <w:r>
        <w:rPr>
          <w:rFonts w:ascii="Times" w:hAnsi="Times" w:cs="Calibri"/>
        </w:rPr>
        <w:t>ne parvenait</w:t>
      </w:r>
      <w:r w:rsidR="00D52769" w:rsidRPr="00923911">
        <w:rPr>
          <w:rFonts w:ascii="Times" w:hAnsi="Times" w:cs="Calibri"/>
        </w:rPr>
        <w:t xml:space="preserve"> pas à retirer le filtre qui </w:t>
      </w:r>
      <w:r w:rsidR="00EB2618" w:rsidRPr="00923911">
        <w:rPr>
          <w:rFonts w:ascii="Times" w:hAnsi="Times" w:cs="Calibri"/>
        </w:rPr>
        <w:t>le transformait</w:t>
      </w:r>
      <w:r w:rsidR="00D52769" w:rsidRPr="00923911">
        <w:rPr>
          <w:rFonts w:ascii="Times" w:hAnsi="Times" w:cs="Calibri"/>
        </w:rPr>
        <w:t xml:space="preserve"> </w:t>
      </w:r>
      <w:r w:rsidR="00EB2618" w:rsidRPr="00923911">
        <w:rPr>
          <w:rFonts w:ascii="Times" w:hAnsi="Times" w:cs="Calibri"/>
        </w:rPr>
        <w:t>en</w:t>
      </w:r>
      <w:r w:rsidR="00D52769" w:rsidRPr="00923911">
        <w:rPr>
          <w:rFonts w:ascii="Times" w:hAnsi="Times" w:cs="Calibri"/>
        </w:rPr>
        <w:t xml:space="preserve"> chat lors d’une audience sur Zoom</w:t>
      </w:r>
      <w:r w:rsidR="00CC7ACD">
        <w:rPr>
          <w:rFonts w:ascii="Times" w:hAnsi="Times" w:cs="Calibri"/>
        </w:rPr>
        <w:t xml:space="preserve"> (voir sur la chaine </w:t>
      </w:r>
      <w:r w:rsidR="00CC7ACD" w:rsidRPr="00CC7ACD">
        <w:rPr>
          <w:rFonts w:ascii="Times" w:hAnsi="Times" w:cs="Calibri"/>
          <w:i/>
          <w:iCs/>
        </w:rPr>
        <w:t>YouTube</w:t>
      </w:r>
      <w:r w:rsidR="00CC7ACD">
        <w:rPr>
          <w:rFonts w:ascii="Times" w:hAnsi="Times" w:cs="Calibri"/>
        </w:rPr>
        <w:t>)</w:t>
      </w:r>
      <w:r w:rsidR="00D52769" w:rsidRPr="00923911">
        <w:rPr>
          <w:rFonts w:ascii="Times" w:hAnsi="Times" w:cs="Calibri"/>
        </w:rPr>
        <w:t>.</w:t>
      </w:r>
      <w:r w:rsidR="009D00D1" w:rsidRPr="00923911">
        <w:rPr>
          <w:rFonts w:ascii="Times" w:hAnsi="Times" w:cs="Calibri"/>
        </w:rPr>
        <w:t xml:space="preserve"> </w:t>
      </w:r>
      <w:r w:rsidR="00E5134F" w:rsidRPr="00923911">
        <w:rPr>
          <w:rFonts w:ascii="Times" w:hAnsi="Times" w:cs="Calibri"/>
        </w:rPr>
        <w:t>Cela est finalement dévastateur pour l’image de la justice et peu respectueux des usagers du service public de la justice.</w:t>
      </w:r>
    </w:p>
    <w:p w14:paraId="33A36BFF" w14:textId="06CA0B41" w:rsidR="009D00D1" w:rsidRPr="00923911" w:rsidRDefault="009D00D1" w:rsidP="004A46A3">
      <w:pPr>
        <w:spacing w:line="360" w:lineRule="auto"/>
        <w:ind w:firstLine="284"/>
        <w:jc w:val="both"/>
        <w:rPr>
          <w:rFonts w:ascii="Times" w:hAnsi="Times" w:cs="Calibri"/>
        </w:rPr>
      </w:pPr>
      <w:r w:rsidRPr="00923911">
        <w:rPr>
          <w:rFonts w:ascii="Times" w:hAnsi="Times" w:cs="Calibri"/>
        </w:rPr>
        <w:t xml:space="preserve">Enfin, la plupart des organes étudiés ont, la phase d’urgence passée, </w:t>
      </w:r>
      <w:r w:rsidR="00E5134F" w:rsidRPr="00923911">
        <w:rPr>
          <w:rFonts w:ascii="Times" w:hAnsi="Times" w:cs="Calibri"/>
        </w:rPr>
        <w:t>adapté</w:t>
      </w:r>
      <w:r w:rsidRPr="00923911">
        <w:rPr>
          <w:rFonts w:ascii="Times" w:hAnsi="Times" w:cs="Calibri"/>
        </w:rPr>
        <w:t xml:space="preserve"> leurs procédures en prévision de nouvelles situations de crise</w:t>
      </w:r>
      <w:r w:rsidR="00093DB6" w:rsidRPr="00923911">
        <w:rPr>
          <w:rFonts w:ascii="Times" w:hAnsi="Times" w:cs="Calibri"/>
        </w:rPr>
        <w:t>, sanitaires mais aussi sécuritaires. Le</w:t>
      </w:r>
      <w:r w:rsidRPr="00923911">
        <w:rPr>
          <w:rFonts w:ascii="Times" w:hAnsi="Times" w:cs="Calibri"/>
        </w:rPr>
        <w:t xml:space="preserve"> phénomène d’accoutumance, bien connu dans le contexte de l’usage de nouvelles technologies à des fins expérimentales ou censées être temporaires</w:t>
      </w:r>
      <w:r w:rsidR="00EC6421">
        <w:rPr>
          <w:rFonts w:ascii="Times" w:hAnsi="Times" w:cs="Calibri"/>
        </w:rPr>
        <w:t xml:space="preserve"> (</w:t>
      </w:r>
      <w:proofErr w:type="spellStart"/>
      <w:r w:rsidR="00EC6421">
        <w:rPr>
          <w:rFonts w:ascii="Times" w:hAnsi="Times" w:cs="Calibri"/>
        </w:rPr>
        <w:t>N</w:t>
      </w:r>
      <w:r w:rsidR="00F14DAC">
        <w:rPr>
          <w:rFonts w:ascii="Times" w:hAnsi="Times" w:cs="Calibri"/>
        </w:rPr>
        <w:t>abat</w:t>
      </w:r>
      <w:proofErr w:type="spellEnd"/>
      <w:r w:rsidR="00F14DAC">
        <w:rPr>
          <w:rFonts w:ascii="Times" w:hAnsi="Times" w:cs="Calibri"/>
        </w:rPr>
        <w:t>, 2021</w:t>
      </w:r>
      <w:r w:rsidR="00EC6421">
        <w:rPr>
          <w:rFonts w:ascii="Times" w:hAnsi="Times" w:cs="Calibri"/>
        </w:rPr>
        <w:t>)</w:t>
      </w:r>
      <w:r w:rsidRPr="00923911">
        <w:rPr>
          <w:rFonts w:ascii="Times" w:hAnsi="Times" w:cs="Calibri"/>
        </w:rPr>
        <w:t>, a de manière générale été sous-estimé, lorsqu’il n’a pas été parfaitement éludé</w:t>
      </w:r>
      <w:r w:rsidR="00E5134F" w:rsidRPr="00923911">
        <w:rPr>
          <w:rFonts w:ascii="Times" w:hAnsi="Times" w:cs="Calibri"/>
        </w:rPr>
        <w:t>.</w:t>
      </w:r>
      <w:r w:rsidR="00093DB6" w:rsidRPr="00923911">
        <w:rPr>
          <w:rFonts w:ascii="Times" w:hAnsi="Times" w:cs="Calibri"/>
        </w:rPr>
        <w:t xml:space="preserve"> </w:t>
      </w:r>
      <w:r w:rsidR="00EC6421">
        <w:rPr>
          <w:rFonts w:ascii="Times" w:hAnsi="Times" w:cs="Calibri"/>
        </w:rPr>
        <w:t>Le</w:t>
      </w:r>
      <w:r w:rsidR="00093DB6" w:rsidRPr="00923911">
        <w:rPr>
          <w:rFonts w:ascii="Times" w:hAnsi="Times" w:cs="Calibri"/>
        </w:rPr>
        <w:t xml:space="preserve"> risque </w:t>
      </w:r>
      <w:r w:rsidR="00EC6421">
        <w:rPr>
          <w:rFonts w:ascii="Times" w:hAnsi="Times" w:cs="Calibri"/>
        </w:rPr>
        <w:t>est, devant de nombreuses juridictions, de voir fleurir des cas d’usage généralisés de la visioconférence dans les années à venir. La modification des règles de procédure de certains organes après quelques mois de pandémie laisse parfois transparaître cette éventualité. Tel est le cas de la Cour internationale de justice, qui a modifié son règlement pour permettre l’usage de la visioconférence en cas d’urgence sanitaire, mais également en cas d’urgence sécuritaire, ce qui laisse présager un passage régulièrement possible en visioconférence – la notion n’étant pas définie à ce stade.</w:t>
      </w:r>
    </w:p>
    <w:p w14:paraId="1F72EEBB" w14:textId="7C4AAF15" w:rsidR="009D00D1" w:rsidRPr="00796FFB" w:rsidRDefault="009D00D1" w:rsidP="004A46A3">
      <w:pPr>
        <w:spacing w:line="360" w:lineRule="auto"/>
        <w:ind w:firstLine="284"/>
        <w:jc w:val="both"/>
        <w:rPr>
          <w:rFonts w:ascii="Times" w:hAnsi="Times" w:cs="Calibri"/>
        </w:rPr>
      </w:pPr>
      <w:r w:rsidRPr="00796FFB">
        <w:rPr>
          <w:rFonts w:ascii="Times" w:hAnsi="Times" w:cs="Calibri"/>
        </w:rPr>
        <w:t>L’éthique de l’adaptation des contentieux s’est donc réalisée de la même manière que celle des services hospitaliers</w:t>
      </w:r>
      <w:r w:rsidR="00E5134F" w:rsidRPr="00796FFB">
        <w:rPr>
          <w:rFonts w:ascii="Times" w:hAnsi="Times" w:cs="Calibri"/>
        </w:rPr>
        <w:t xml:space="preserve"> </w:t>
      </w:r>
      <w:r w:rsidRPr="00796FFB">
        <w:rPr>
          <w:rFonts w:ascii="Times" w:hAnsi="Times" w:cs="Calibri"/>
        </w:rPr>
        <w:t xml:space="preserve">: </w:t>
      </w:r>
      <w:r w:rsidRPr="00EC2920">
        <w:rPr>
          <w:rFonts w:ascii="Times" w:hAnsi="Times" w:cs="Calibri"/>
          <w:color w:val="FF0000"/>
        </w:rPr>
        <w:t>par l</w:t>
      </w:r>
      <w:r w:rsidR="00EC2920" w:rsidRPr="00EC2920">
        <w:rPr>
          <w:rFonts w:ascii="Times" w:hAnsi="Times" w:cs="Calibri"/>
          <w:color w:val="FF0000"/>
        </w:rPr>
        <w:t xml:space="preserve">a mise en place de priorités pour faire face </w:t>
      </w:r>
      <w:r w:rsidRPr="00EC2920">
        <w:rPr>
          <w:rFonts w:ascii="Times" w:hAnsi="Times" w:cs="Calibri"/>
          <w:color w:val="FF0000"/>
        </w:rPr>
        <w:t>à l’urgence</w:t>
      </w:r>
      <w:r w:rsidR="00EC2920" w:rsidRPr="00EC2920">
        <w:rPr>
          <w:rFonts w:ascii="Times" w:hAnsi="Times" w:cs="Calibri"/>
          <w:color w:val="FF0000"/>
        </w:rPr>
        <w:t>, au risque d’ébranler le délicat équilibre qui assure la qualité de la justice rendue. La plupart du temps, la priorité a ainsi été de maintenir un service public de la justice « dégradé »,</w:t>
      </w:r>
      <w:r w:rsidRPr="00EC2920">
        <w:rPr>
          <w:rFonts w:ascii="Times" w:hAnsi="Times" w:cs="Calibri"/>
          <w:color w:val="FF0000"/>
        </w:rPr>
        <w:t xml:space="preserve"> au détriment de certaines composantes d’une bonne administration de la justice</w:t>
      </w:r>
      <w:r w:rsidR="00EC2920" w:rsidRPr="00EC2920">
        <w:rPr>
          <w:rFonts w:ascii="Times" w:hAnsi="Times" w:cs="Calibri"/>
          <w:color w:val="FF0000"/>
        </w:rPr>
        <w:t xml:space="preserve"> – comme les </w:t>
      </w:r>
      <w:r w:rsidR="00EC2920" w:rsidRPr="00EC2920">
        <w:rPr>
          <w:rFonts w:ascii="Times" w:hAnsi="Times" w:cs="Calibri"/>
          <w:color w:val="FF0000"/>
        </w:rPr>
        <w:lastRenderedPageBreak/>
        <w:t>droits de la défense ou la cybersécurité –</w:t>
      </w:r>
      <w:r w:rsidRPr="00EC2920">
        <w:rPr>
          <w:rFonts w:ascii="Times" w:hAnsi="Times" w:cs="Calibri"/>
          <w:color w:val="FF0000"/>
        </w:rPr>
        <w:fldChar w:fldCharType="begin"/>
      </w:r>
      <w:r w:rsidRPr="00EC2920">
        <w:rPr>
          <w:rFonts w:ascii="Times" w:hAnsi="Times" w:cs="Calibri"/>
          <w:color w:val="FF0000"/>
        </w:rPr>
        <w:instrText xml:space="preserve"> XE "bonne administration de la justice" </w:instrText>
      </w:r>
      <w:r w:rsidRPr="00EC2920">
        <w:rPr>
          <w:rFonts w:ascii="Times" w:hAnsi="Times" w:cs="Calibri"/>
          <w:color w:val="FF0000"/>
        </w:rPr>
        <w:fldChar w:fldCharType="end"/>
      </w:r>
      <w:r w:rsidRPr="00EC2920">
        <w:rPr>
          <w:rFonts w:ascii="Times" w:hAnsi="Times" w:cs="Calibri"/>
          <w:color w:val="FF0000"/>
        </w:rPr>
        <w:t xml:space="preserve"> </w:t>
      </w:r>
      <w:r w:rsidRPr="00796FFB">
        <w:rPr>
          <w:rFonts w:ascii="Times" w:hAnsi="Times" w:cs="Calibri"/>
        </w:rPr>
        <w:t xml:space="preserve">comme d’une </w:t>
      </w:r>
      <w:r w:rsidRPr="00EC6421">
        <w:rPr>
          <w:rFonts w:ascii="Times" w:hAnsi="Times" w:cs="Calibri"/>
        </w:rPr>
        <w:t>apparence</w:t>
      </w:r>
      <w:r w:rsidRPr="00796FFB">
        <w:rPr>
          <w:rFonts w:ascii="Times" w:hAnsi="Times" w:cs="Calibri"/>
        </w:rPr>
        <w:t xml:space="preserve"> de bonne administration de la justice, laquelle est, comme on le sait, tout aussi importante</w:t>
      </w:r>
      <w:r w:rsidR="00EC6421">
        <w:rPr>
          <w:rFonts w:ascii="Times" w:hAnsi="Times" w:cs="Calibri"/>
        </w:rPr>
        <w:t xml:space="preserve"> (C</w:t>
      </w:r>
      <w:r w:rsidR="00F14DAC">
        <w:rPr>
          <w:rFonts w:ascii="Times" w:hAnsi="Times" w:cs="Calibri"/>
        </w:rPr>
        <w:t>hevalier</w:t>
      </w:r>
      <w:r w:rsidR="00EC6421">
        <w:rPr>
          <w:rFonts w:ascii="Times" w:hAnsi="Times" w:cs="Calibri"/>
        </w:rPr>
        <w:t>, 2022).</w:t>
      </w:r>
      <w:r w:rsidR="00D6104E">
        <w:rPr>
          <w:rFonts w:ascii="Times" w:hAnsi="Times" w:cs="Calibri"/>
        </w:rPr>
        <w:t xml:space="preserve"> </w:t>
      </w:r>
    </w:p>
    <w:p w14:paraId="0DC57D87" w14:textId="6158B283" w:rsidR="00C848E1" w:rsidRDefault="00C848E1" w:rsidP="004A46A3">
      <w:pPr>
        <w:spacing w:line="360" w:lineRule="auto"/>
        <w:jc w:val="both"/>
        <w:rPr>
          <w:rFonts w:ascii="Times" w:hAnsi="Times" w:cs="Calibri"/>
        </w:rPr>
      </w:pPr>
    </w:p>
    <w:p w14:paraId="22C544C0" w14:textId="3CB1178D" w:rsidR="000327F8" w:rsidRPr="000327F8" w:rsidRDefault="000327F8" w:rsidP="004A46A3">
      <w:pPr>
        <w:spacing w:line="360" w:lineRule="auto"/>
        <w:jc w:val="both"/>
        <w:rPr>
          <w:rFonts w:ascii="Times" w:hAnsi="Times" w:cs="Calibri"/>
          <w:b/>
          <w:bCs/>
        </w:rPr>
      </w:pPr>
      <w:r w:rsidRPr="000327F8">
        <w:rPr>
          <w:rFonts w:ascii="Times" w:hAnsi="Times" w:cs="Calibri"/>
          <w:b/>
          <w:bCs/>
        </w:rPr>
        <w:t>Cinq propositions pour passer de « l’éthique de l’adaptation » à une « éthique du contentieux »</w:t>
      </w:r>
    </w:p>
    <w:p w14:paraId="58B6AFA1" w14:textId="246CF338" w:rsidR="00C848E1" w:rsidRDefault="00C848E1" w:rsidP="004A46A3">
      <w:pPr>
        <w:spacing w:line="360" w:lineRule="auto"/>
        <w:jc w:val="both"/>
        <w:rPr>
          <w:rFonts w:ascii="Times" w:hAnsi="Times" w:cs="Calibri"/>
        </w:rPr>
      </w:pPr>
    </w:p>
    <w:p w14:paraId="64727069" w14:textId="6841D83F" w:rsidR="000327F8" w:rsidRPr="00796FFB" w:rsidRDefault="000327F8" w:rsidP="004A46A3">
      <w:pPr>
        <w:spacing w:line="360" w:lineRule="auto"/>
        <w:ind w:firstLine="284"/>
        <w:jc w:val="both"/>
        <w:rPr>
          <w:rFonts w:ascii="Times" w:hAnsi="Times" w:cs="Calibri"/>
        </w:rPr>
      </w:pPr>
      <w:r>
        <w:rPr>
          <w:rFonts w:ascii="Times" w:hAnsi="Times" w:cs="Calibri"/>
        </w:rPr>
        <w:t xml:space="preserve">L’étude a permis de mettre en lumière un certain nombre de difficultés dans l’adaptation des juridictions à la pandémie, qui se sont généralement </w:t>
      </w:r>
      <w:r w:rsidR="00540DD9">
        <w:rPr>
          <w:rFonts w:ascii="Times" w:hAnsi="Times" w:cs="Calibri"/>
        </w:rPr>
        <w:t>traduites</w:t>
      </w:r>
      <w:r>
        <w:rPr>
          <w:rFonts w:ascii="Times" w:hAnsi="Times" w:cs="Calibri"/>
        </w:rPr>
        <w:t xml:space="preserve"> par une difficulté pour le citoyen d’accéder à des tribunaux et à une justice d’une qualité et dans des conditions équivalentes à celle qu’ils sont en droit d’attendre</w:t>
      </w:r>
      <w:r w:rsidRPr="00796FFB">
        <w:rPr>
          <w:rFonts w:ascii="Times" w:hAnsi="Times" w:cs="Calibri"/>
        </w:rPr>
        <w:t xml:space="preserve"> </w:t>
      </w:r>
      <w:r>
        <w:rPr>
          <w:rFonts w:ascii="Times" w:hAnsi="Times" w:cs="Calibri"/>
        </w:rPr>
        <w:t xml:space="preserve">en temps normal. En particulier, il paraît indispensable de </w:t>
      </w:r>
      <w:r w:rsidRPr="00796FFB">
        <w:rPr>
          <w:rFonts w:ascii="Times" w:hAnsi="Times" w:cs="Calibri"/>
        </w:rPr>
        <w:t>développer, au-delà des normes de bonne administration de la justice</w:t>
      </w:r>
      <w:r w:rsidRPr="00796FFB">
        <w:rPr>
          <w:rFonts w:ascii="Times" w:hAnsi="Times" w:cs="Calibri"/>
        </w:rPr>
        <w:fldChar w:fldCharType="begin"/>
      </w:r>
      <w:r w:rsidRPr="00796FFB">
        <w:rPr>
          <w:rFonts w:ascii="Times" w:hAnsi="Times" w:cs="Calibri"/>
        </w:rPr>
        <w:instrText xml:space="preserve"> XE "bonne administration de la justice" </w:instrText>
      </w:r>
      <w:r w:rsidRPr="00796FFB">
        <w:rPr>
          <w:rFonts w:ascii="Times" w:hAnsi="Times" w:cs="Calibri"/>
        </w:rPr>
        <w:fldChar w:fldCharType="end"/>
      </w:r>
      <w:r w:rsidRPr="00796FFB">
        <w:rPr>
          <w:rFonts w:ascii="Times" w:hAnsi="Times" w:cs="Calibri"/>
        </w:rPr>
        <w:t>, une culture du questionnement face aux outils numériques</w:t>
      </w:r>
      <w:r w:rsidR="00540DD9">
        <w:rPr>
          <w:rFonts w:ascii="Times" w:hAnsi="Times" w:cs="Calibri"/>
        </w:rPr>
        <w:t>, ce</w:t>
      </w:r>
      <w:r w:rsidRPr="00796FFB">
        <w:rPr>
          <w:rFonts w:ascii="Times" w:hAnsi="Times" w:cs="Calibri"/>
        </w:rPr>
        <w:t xml:space="preserve"> qui semble être à la fois le principal enseignement de la pandémie</w:t>
      </w:r>
      <w:r>
        <w:rPr>
          <w:rFonts w:ascii="Times" w:hAnsi="Times" w:cs="Calibri"/>
        </w:rPr>
        <w:t xml:space="preserve"> </w:t>
      </w:r>
      <w:r w:rsidRPr="00796FFB">
        <w:rPr>
          <w:rFonts w:ascii="Times" w:hAnsi="Times" w:cs="Calibri"/>
        </w:rPr>
        <w:t>et une nécessité citoyenne.</w:t>
      </w:r>
    </w:p>
    <w:p w14:paraId="35F1DF05" w14:textId="582BAEA4" w:rsidR="000327F8" w:rsidRPr="00D0586B" w:rsidRDefault="000327F8" w:rsidP="004A46A3">
      <w:pPr>
        <w:spacing w:line="360" w:lineRule="auto"/>
        <w:ind w:firstLine="284"/>
        <w:jc w:val="both"/>
        <w:rPr>
          <w:rFonts w:ascii="Times" w:hAnsi="Times"/>
          <w:color w:val="00B050"/>
        </w:rPr>
      </w:pPr>
      <w:r w:rsidRPr="000327F8">
        <w:rPr>
          <w:rFonts w:ascii="Times" w:hAnsi="Times"/>
        </w:rPr>
        <w:t xml:space="preserve">L’analyse des situations étudiées dans le cadre de l’adaptation des procédures contentieuses à la pandémie de </w:t>
      </w:r>
      <w:r w:rsidR="00540DD9">
        <w:rPr>
          <w:rFonts w:ascii="Times" w:hAnsi="Times"/>
        </w:rPr>
        <w:t>c</w:t>
      </w:r>
      <w:r w:rsidRPr="000327F8">
        <w:rPr>
          <w:rFonts w:ascii="Times" w:hAnsi="Times"/>
        </w:rPr>
        <w:t>ovid-19 permet de produire, en guise de conclusion, quelques propositions en vue d’une future crise aux conséquences proche de ce</w:t>
      </w:r>
      <w:r w:rsidR="00D0586B">
        <w:rPr>
          <w:rFonts w:ascii="Times" w:hAnsi="Times"/>
        </w:rPr>
        <w:t>tte pandémie</w:t>
      </w:r>
      <w:r w:rsidRPr="000327F8">
        <w:rPr>
          <w:rStyle w:val="Appelnotedebasdep"/>
          <w:rFonts w:ascii="Times" w:hAnsi="Times"/>
        </w:rPr>
        <w:footnoteReference w:id="1"/>
      </w:r>
      <w:r w:rsidRPr="000327F8">
        <w:rPr>
          <w:rFonts w:ascii="Times" w:hAnsi="Times"/>
        </w:rPr>
        <w:t xml:space="preserve">. À la réflexion, celles-ci s’avèrent </w:t>
      </w:r>
      <w:r w:rsidRPr="000327F8">
        <w:rPr>
          <w:rFonts w:ascii="Times" w:hAnsi="Times"/>
          <w:i/>
          <w:iCs/>
        </w:rPr>
        <w:t>in fine</w:t>
      </w:r>
      <w:r w:rsidRPr="000327F8">
        <w:rPr>
          <w:rFonts w:ascii="Times" w:hAnsi="Times"/>
        </w:rPr>
        <w:t xml:space="preserve"> valables en temps de </w:t>
      </w:r>
      <w:r w:rsidR="00D0586B">
        <w:rPr>
          <w:rFonts w:ascii="Times" w:hAnsi="Times"/>
        </w:rPr>
        <w:t>crise sanitaire</w:t>
      </w:r>
      <w:r w:rsidRPr="000327F8">
        <w:rPr>
          <w:rFonts w:ascii="Times" w:hAnsi="Times"/>
        </w:rPr>
        <w:t xml:space="preserve"> comme en temps normal, dans la mesure où la situation sanitaire mondiale a indubitablement changé les mentalités, les habitudes et</w:t>
      </w:r>
      <w:r w:rsidR="00D0586B">
        <w:rPr>
          <w:rFonts w:ascii="Times" w:hAnsi="Times"/>
        </w:rPr>
        <w:t>,</w:t>
      </w:r>
      <w:r w:rsidRPr="000327F8">
        <w:rPr>
          <w:rFonts w:ascii="Times" w:hAnsi="Times"/>
        </w:rPr>
        <w:t xml:space="preserve"> par conséquent</w:t>
      </w:r>
      <w:r w:rsidR="00D0586B">
        <w:rPr>
          <w:rFonts w:ascii="Times" w:hAnsi="Times"/>
        </w:rPr>
        <w:t>,</w:t>
      </w:r>
      <w:r w:rsidRPr="000327F8">
        <w:rPr>
          <w:rFonts w:ascii="Times" w:hAnsi="Times"/>
        </w:rPr>
        <w:t xml:space="preserve"> les pratiques institutionnelles des organes contentieux. Il faut donc passer de « l’éthique de l’adaptation »</w:t>
      </w:r>
      <w:r>
        <w:rPr>
          <w:rFonts w:ascii="Times" w:hAnsi="Times"/>
        </w:rPr>
        <w:t xml:space="preserve"> (P</w:t>
      </w:r>
      <w:r w:rsidR="00F14DAC">
        <w:rPr>
          <w:rFonts w:ascii="Times" w:hAnsi="Times"/>
        </w:rPr>
        <w:t>ierron</w:t>
      </w:r>
      <w:r>
        <w:rPr>
          <w:rFonts w:ascii="Times" w:hAnsi="Times"/>
        </w:rPr>
        <w:t>, 2022)</w:t>
      </w:r>
      <w:r w:rsidRPr="000327F8">
        <w:rPr>
          <w:rFonts w:ascii="Times" w:hAnsi="Times"/>
        </w:rPr>
        <w:t xml:space="preserve"> à « l’éthique du contentieux » pour développer, au-delà des normes de bonne administration de la justice</w:t>
      </w:r>
      <w:r w:rsidRPr="000327F8">
        <w:rPr>
          <w:rFonts w:ascii="Times" w:hAnsi="Times"/>
        </w:rPr>
        <w:fldChar w:fldCharType="begin"/>
      </w:r>
      <w:r w:rsidRPr="000327F8">
        <w:rPr>
          <w:rFonts w:ascii="Times" w:hAnsi="Times"/>
        </w:rPr>
        <w:instrText xml:space="preserve"> XE "bonne administration de la justice" </w:instrText>
      </w:r>
      <w:r w:rsidRPr="000327F8">
        <w:rPr>
          <w:rFonts w:ascii="Times" w:hAnsi="Times"/>
        </w:rPr>
        <w:fldChar w:fldCharType="end"/>
      </w:r>
      <w:r w:rsidRPr="000327F8">
        <w:rPr>
          <w:rFonts w:ascii="Times" w:hAnsi="Times"/>
        </w:rPr>
        <w:t xml:space="preserve">, une culture du questionnement face aux outils numériques et la volonté, </w:t>
      </w:r>
      <w:r w:rsidRPr="00EC2920">
        <w:rPr>
          <w:rFonts w:ascii="Times" w:hAnsi="Times"/>
          <w:color w:val="FF0000"/>
        </w:rPr>
        <w:t xml:space="preserve">louable et parfois indispensable dans </w:t>
      </w:r>
      <w:r w:rsidRPr="000327F8">
        <w:rPr>
          <w:rFonts w:ascii="Times" w:hAnsi="Times"/>
        </w:rPr>
        <w:t>l’intérêt des usagers, d’accélération du temps judiciaire.</w:t>
      </w:r>
      <w:r w:rsidR="00D0586B">
        <w:rPr>
          <w:rFonts w:ascii="Times" w:hAnsi="Times"/>
        </w:rPr>
        <w:t xml:space="preserve"> </w:t>
      </w:r>
    </w:p>
    <w:p w14:paraId="2EB7DAA3" w14:textId="77777777" w:rsidR="000327F8" w:rsidRPr="000327F8" w:rsidRDefault="000327F8" w:rsidP="004A46A3">
      <w:pPr>
        <w:spacing w:line="360" w:lineRule="auto"/>
        <w:ind w:firstLine="284"/>
        <w:jc w:val="both"/>
        <w:rPr>
          <w:rFonts w:ascii="Times" w:hAnsi="Times"/>
        </w:rPr>
      </w:pPr>
    </w:p>
    <w:p w14:paraId="1B058AC0" w14:textId="559AF36E" w:rsidR="000327F8" w:rsidRPr="005D6852" w:rsidRDefault="005D6852" w:rsidP="005D6852">
      <w:pPr>
        <w:spacing w:line="360" w:lineRule="auto"/>
        <w:rPr>
          <w:rFonts w:ascii="Times" w:hAnsi="Times"/>
        </w:rPr>
      </w:pPr>
      <w:r w:rsidRPr="005D6852">
        <w:rPr>
          <w:rFonts w:ascii="Times" w:hAnsi="Times"/>
        </w:rPr>
        <w:t xml:space="preserve">- </w:t>
      </w:r>
      <w:r w:rsidR="000327F8" w:rsidRPr="005D6852">
        <w:rPr>
          <w:rFonts w:ascii="Times" w:hAnsi="Times"/>
        </w:rPr>
        <w:t>Prévoir une procédure claire en cas de future pandémie</w:t>
      </w:r>
    </w:p>
    <w:p w14:paraId="0F7385AE" w14:textId="77777777" w:rsidR="000F09B2" w:rsidRDefault="000F09B2" w:rsidP="004A46A3">
      <w:pPr>
        <w:spacing w:line="360" w:lineRule="auto"/>
        <w:ind w:firstLine="284"/>
        <w:jc w:val="both"/>
        <w:rPr>
          <w:rFonts w:ascii="Times" w:hAnsi="Times"/>
        </w:rPr>
      </w:pPr>
    </w:p>
    <w:p w14:paraId="3EA8A99D" w14:textId="1F5764E1" w:rsidR="000327F8" w:rsidRDefault="000327F8" w:rsidP="004A46A3">
      <w:pPr>
        <w:spacing w:line="360" w:lineRule="auto"/>
        <w:ind w:firstLine="284"/>
        <w:jc w:val="both"/>
        <w:rPr>
          <w:rFonts w:ascii="Times" w:hAnsi="Times"/>
        </w:rPr>
      </w:pPr>
      <w:r w:rsidRPr="000327F8">
        <w:rPr>
          <w:rFonts w:ascii="Times" w:hAnsi="Times"/>
        </w:rPr>
        <w:lastRenderedPageBreak/>
        <w:t xml:space="preserve">Depuis la </w:t>
      </w:r>
      <w:r w:rsidR="00D0586B">
        <w:rPr>
          <w:rFonts w:ascii="Times" w:hAnsi="Times"/>
        </w:rPr>
        <w:t>crise sanitaire</w:t>
      </w:r>
      <w:r w:rsidRPr="000327F8">
        <w:rPr>
          <w:rFonts w:ascii="Times" w:hAnsi="Times"/>
        </w:rPr>
        <w:t xml:space="preserve">, la plupart des juridictions internationales et internes disposent dorénavant d’une procédure de réaction, permettant le passage rapide au </w:t>
      </w:r>
      <w:r w:rsidR="00D0586B">
        <w:rPr>
          <w:rFonts w:ascii="Times" w:hAnsi="Times"/>
        </w:rPr>
        <w:t>« </w:t>
      </w:r>
      <w:r w:rsidRPr="000327F8">
        <w:rPr>
          <w:rFonts w:ascii="Times" w:hAnsi="Times"/>
        </w:rPr>
        <w:t>distanciel</w:t>
      </w:r>
      <w:r w:rsidR="00D0586B">
        <w:rPr>
          <w:rFonts w:ascii="Times" w:hAnsi="Times"/>
        </w:rPr>
        <w:t> »</w:t>
      </w:r>
      <w:r w:rsidRPr="000327F8">
        <w:rPr>
          <w:rFonts w:ascii="Times" w:hAnsi="Times"/>
        </w:rPr>
        <w:t xml:space="preserve"> ou à des formats hybrides. Celle-ci devrait faire l’objet d’une réflexion </w:t>
      </w:r>
      <w:proofErr w:type="spellStart"/>
      <w:r w:rsidRPr="000327F8">
        <w:rPr>
          <w:rFonts w:ascii="Times" w:hAnsi="Times"/>
        </w:rPr>
        <w:t>post-pandémique</w:t>
      </w:r>
      <w:proofErr w:type="spellEnd"/>
      <w:r w:rsidRPr="000327F8">
        <w:rPr>
          <w:rFonts w:ascii="Times" w:hAnsi="Times"/>
        </w:rPr>
        <w:t xml:space="preserve"> afin de tirer les leçons des dysfonctionnements rencontrés, mais également d’aborder les questions qui ne l’ont pas été, à l’instar des « impensés » suggérés</w:t>
      </w:r>
      <w:r>
        <w:rPr>
          <w:rFonts w:ascii="Times" w:hAnsi="Times"/>
          <w:i/>
          <w:iCs/>
        </w:rPr>
        <w:t xml:space="preserve"> </w:t>
      </w:r>
      <w:r>
        <w:rPr>
          <w:rFonts w:ascii="Times" w:hAnsi="Times"/>
        </w:rPr>
        <w:t>plus haut</w:t>
      </w:r>
      <w:r w:rsidRPr="000327F8">
        <w:rPr>
          <w:rFonts w:ascii="Times" w:hAnsi="Times"/>
        </w:rPr>
        <w:t xml:space="preserve">. Autrement dit, la fin de la pandémie doit être l’occasion de poursuivre la réflexion sur l’urgence appliquée aux organes contentieux, la continuité des services n’étant – théoriquement – plus une problématique urgente. Un système de </w:t>
      </w:r>
      <w:r w:rsidR="00D0586B">
        <w:rPr>
          <w:rFonts w:ascii="Times" w:hAnsi="Times"/>
        </w:rPr>
        <w:t>« </w:t>
      </w:r>
      <w:r w:rsidRPr="000327F8">
        <w:rPr>
          <w:rFonts w:ascii="Times" w:hAnsi="Times"/>
        </w:rPr>
        <w:t>priorisation</w:t>
      </w:r>
      <w:r w:rsidR="00D0586B">
        <w:rPr>
          <w:rFonts w:ascii="Times" w:hAnsi="Times"/>
        </w:rPr>
        <w:t> »</w:t>
      </w:r>
      <w:r w:rsidRPr="000327F8">
        <w:rPr>
          <w:rFonts w:ascii="Times" w:hAnsi="Times"/>
        </w:rPr>
        <w:t xml:space="preserve"> des affaires face à la pandémie, basé sur l’expérience hospitalière, pourrait être étudié en veillant à la bonne conciliation de l’urgence et des droits des usagers des services.</w:t>
      </w:r>
    </w:p>
    <w:p w14:paraId="24CFE6AB" w14:textId="77777777" w:rsidR="000327F8" w:rsidRPr="000327F8" w:rsidRDefault="000327F8" w:rsidP="004A46A3">
      <w:pPr>
        <w:spacing w:line="360" w:lineRule="auto"/>
        <w:ind w:firstLine="284"/>
        <w:jc w:val="both"/>
        <w:rPr>
          <w:rFonts w:ascii="Times" w:hAnsi="Times"/>
        </w:rPr>
      </w:pPr>
    </w:p>
    <w:p w14:paraId="677FB8E9" w14:textId="2E5F44E0" w:rsidR="000327F8" w:rsidRPr="005D6852" w:rsidRDefault="005D6852" w:rsidP="005D6852">
      <w:pPr>
        <w:spacing w:line="360" w:lineRule="auto"/>
        <w:rPr>
          <w:rFonts w:ascii="Times" w:hAnsi="Times"/>
        </w:rPr>
      </w:pPr>
      <w:r w:rsidRPr="005D6852">
        <w:rPr>
          <w:rFonts w:ascii="Times" w:hAnsi="Times"/>
        </w:rPr>
        <w:t xml:space="preserve">- </w:t>
      </w:r>
      <w:r w:rsidR="000327F8" w:rsidRPr="005D6852">
        <w:rPr>
          <w:rFonts w:ascii="Times" w:hAnsi="Times"/>
        </w:rPr>
        <w:t>Limiter le cas de recours aux audiences en visioconférence aux situations pandémiques</w:t>
      </w:r>
    </w:p>
    <w:p w14:paraId="29317C50" w14:textId="77777777" w:rsidR="000327F8" w:rsidRDefault="000327F8" w:rsidP="004A46A3">
      <w:pPr>
        <w:spacing w:line="360" w:lineRule="auto"/>
        <w:ind w:firstLine="284"/>
        <w:jc w:val="both"/>
        <w:rPr>
          <w:rFonts w:ascii="Times" w:hAnsi="Times"/>
        </w:rPr>
      </w:pPr>
    </w:p>
    <w:p w14:paraId="29E5AA6C" w14:textId="6A7ACDFF" w:rsidR="000327F8" w:rsidRDefault="000327F8" w:rsidP="004A46A3">
      <w:pPr>
        <w:spacing w:line="360" w:lineRule="auto"/>
        <w:ind w:firstLine="284"/>
        <w:jc w:val="both"/>
        <w:rPr>
          <w:rFonts w:ascii="Times" w:hAnsi="Times"/>
        </w:rPr>
      </w:pPr>
      <w:r w:rsidRPr="000327F8">
        <w:rPr>
          <w:rFonts w:ascii="Times" w:hAnsi="Times"/>
        </w:rPr>
        <w:t>La réflexion suggérée au point précédent devrait cependant être l’occasion d’affirmer que le recours à la visioconférence, dans la procédure contentieuse, ne devrait être qu’exceptionnel. L’effet d’accoutumance a pu inciter certaines juridictions à modifier leurs procédures pour permettre le recours à la visioconférence en cas d’urgence sanitaire, mais également en cas d’urgence sécuritaire voire, eu égard aux facilités et parfois rapidités offertes par les audiences à distance, de manière générale en cas de besoin. Or, certaines difficultés et limites du distanciel sont indépassables, à l’instar de la perte d’oralité</w:t>
      </w:r>
      <w:r w:rsidRPr="000327F8">
        <w:rPr>
          <w:rFonts w:ascii="Times" w:hAnsi="Times"/>
        </w:rPr>
        <w:fldChar w:fldCharType="begin"/>
      </w:r>
      <w:r w:rsidRPr="000327F8">
        <w:rPr>
          <w:rFonts w:ascii="Times" w:hAnsi="Times"/>
        </w:rPr>
        <w:instrText xml:space="preserve"> XE "</w:instrText>
      </w:r>
      <w:r w:rsidRPr="000327F8">
        <w:rPr>
          <w:rFonts w:ascii="Times" w:hAnsi="Times" w:cs="Times New Roman"/>
        </w:rPr>
        <w:instrText>Oralité</w:instrText>
      </w:r>
      <w:r w:rsidRPr="000327F8">
        <w:rPr>
          <w:rFonts w:ascii="Times" w:hAnsi="Times"/>
        </w:rPr>
        <w:instrText xml:space="preserve">" </w:instrText>
      </w:r>
      <w:r w:rsidRPr="000327F8">
        <w:rPr>
          <w:rFonts w:ascii="Times" w:hAnsi="Times"/>
        </w:rPr>
        <w:fldChar w:fldCharType="end"/>
      </w:r>
      <w:r w:rsidRPr="000327F8">
        <w:rPr>
          <w:rFonts w:ascii="Times" w:hAnsi="Times"/>
        </w:rPr>
        <w:t xml:space="preserve"> directe, de sorte que ces procédures devraient demeurer strictement limitées aux urgences sanitaires.</w:t>
      </w:r>
    </w:p>
    <w:p w14:paraId="043D8DAD" w14:textId="77777777" w:rsidR="000327F8" w:rsidRPr="000327F8" w:rsidRDefault="000327F8" w:rsidP="004A46A3">
      <w:pPr>
        <w:spacing w:line="360" w:lineRule="auto"/>
        <w:ind w:firstLine="284"/>
        <w:jc w:val="both"/>
        <w:rPr>
          <w:rFonts w:ascii="Times" w:hAnsi="Times"/>
        </w:rPr>
      </w:pPr>
    </w:p>
    <w:p w14:paraId="6AC7BAA9" w14:textId="25E8AD84" w:rsidR="000327F8" w:rsidRPr="005D6852" w:rsidRDefault="005D6852" w:rsidP="005D6852">
      <w:pPr>
        <w:spacing w:line="360" w:lineRule="auto"/>
        <w:rPr>
          <w:rFonts w:ascii="Times" w:hAnsi="Times"/>
        </w:rPr>
      </w:pPr>
      <w:r w:rsidRPr="005D6852">
        <w:rPr>
          <w:rFonts w:ascii="Times" w:hAnsi="Times"/>
        </w:rPr>
        <w:t xml:space="preserve">- </w:t>
      </w:r>
      <w:r w:rsidR="000327F8" w:rsidRPr="005D6852">
        <w:rPr>
          <w:rFonts w:ascii="Times" w:hAnsi="Times"/>
        </w:rPr>
        <w:t>Développer l’accès aux outils numériques dans le cadre de l’accès à la justice</w:t>
      </w:r>
      <w:r w:rsidR="000327F8" w:rsidRPr="005D6852">
        <w:rPr>
          <w:rFonts w:ascii="Times" w:hAnsi="Times"/>
        </w:rPr>
        <w:fldChar w:fldCharType="begin"/>
      </w:r>
      <w:r w:rsidR="000327F8" w:rsidRPr="005D6852">
        <w:rPr>
          <w:rFonts w:ascii="Times" w:hAnsi="Times"/>
        </w:rPr>
        <w:instrText xml:space="preserve"> XE "Accès à la justice" </w:instrText>
      </w:r>
      <w:r w:rsidR="000327F8" w:rsidRPr="005D6852">
        <w:rPr>
          <w:rFonts w:ascii="Times" w:hAnsi="Times"/>
        </w:rPr>
        <w:fldChar w:fldCharType="end"/>
      </w:r>
    </w:p>
    <w:p w14:paraId="2C11B98B" w14:textId="77777777" w:rsidR="000327F8" w:rsidRDefault="000327F8" w:rsidP="004A46A3">
      <w:pPr>
        <w:spacing w:line="360" w:lineRule="auto"/>
        <w:ind w:firstLine="284"/>
        <w:jc w:val="both"/>
        <w:rPr>
          <w:rFonts w:ascii="Times" w:hAnsi="Times"/>
        </w:rPr>
      </w:pPr>
    </w:p>
    <w:p w14:paraId="0B50E5E6" w14:textId="3F07C657" w:rsidR="000327F8" w:rsidRDefault="000327F8" w:rsidP="004A46A3">
      <w:pPr>
        <w:spacing w:line="360" w:lineRule="auto"/>
        <w:ind w:firstLine="284"/>
        <w:jc w:val="both"/>
        <w:rPr>
          <w:rFonts w:ascii="Times" w:hAnsi="Times"/>
        </w:rPr>
      </w:pPr>
      <w:r w:rsidRPr="000327F8">
        <w:rPr>
          <w:rFonts w:ascii="Times" w:hAnsi="Times"/>
        </w:rPr>
        <w:t xml:space="preserve">Une autre difficulté liée à la conditionnalité numérique a été rencontrée devant de nombreux organes contentieux. Une réflexion spécifique portant sur la manière de rendre le service public de la justice accessible à tous les justiciables y compris en cas de pandémie doit être menée, en déployant par exemple des espaces dédiés à la visioconférence au sein </w:t>
      </w:r>
      <w:r w:rsidRPr="000327F8">
        <w:rPr>
          <w:rFonts w:ascii="Times" w:hAnsi="Times"/>
        </w:rPr>
        <w:lastRenderedPageBreak/>
        <w:t>de certaines administrations, qu’il serait possible d’isoler – la présence d’un technicien ou d’une personne formée à l’outil devant être adaptée pour garantir une continuité du service – en cas de pandémie.</w:t>
      </w:r>
    </w:p>
    <w:p w14:paraId="2850BDF7" w14:textId="77777777" w:rsidR="000327F8" w:rsidRPr="000327F8" w:rsidRDefault="000327F8" w:rsidP="004A46A3">
      <w:pPr>
        <w:spacing w:line="360" w:lineRule="auto"/>
        <w:ind w:firstLine="284"/>
        <w:jc w:val="both"/>
        <w:rPr>
          <w:rFonts w:ascii="Times" w:hAnsi="Times"/>
        </w:rPr>
      </w:pPr>
    </w:p>
    <w:p w14:paraId="39906FD0" w14:textId="69918240" w:rsidR="000327F8" w:rsidRPr="005D6852" w:rsidRDefault="005D6852" w:rsidP="005D6852">
      <w:pPr>
        <w:spacing w:line="360" w:lineRule="auto"/>
        <w:rPr>
          <w:rFonts w:ascii="Times" w:hAnsi="Times"/>
        </w:rPr>
      </w:pPr>
      <w:r w:rsidRPr="005D6852">
        <w:rPr>
          <w:rFonts w:ascii="Times" w:hAnsi="Times"/>
        </w:rPr>
        <w:t xml:space="preserve">- </w:t>
      </w:r>
      <w:r w:rsidR="000327F8" w:rsidRPr="005D6852">
        <w:rPr>
          <w:rFonts w:ascii="Times" w:hAnsi="Times"/>
        </w:rPr>
        <w:t>Former les professionnels de la justice à l’utilisation des outils numériques</w:t>
      </w:r>
    </w:p>
    <w:p w14:paraId="26749DD0" w14:textId="77777777" w:rsidR="000327F8" w:rsidRDefault="000327F8" w:rsidP="004A46A3">
      <w:pPr>
        <w:spacing w:line="360" w:lineRule="auto"/>
        <w:ind w:firstLine="284"/>
        <w:jc w:val="both"/>
        <w:rPr>
          <w:rFonts w:ascii="Times" w:hAnsi="Times"/>
        </w:rPr>
      </w:pPr>
    </w:p>
    <w:p w14:paraId="751E4E6F" w14:textId="6D0AF438" w:rsidR="000327F8" w:rsidRDefault="000327F8" w:rsidP="004A46A3">
      <w:pPr>
        <w:spacing w:line="360" w:lineRule="auto"/>
        <w:ind w:firstLine="284"/>
        <w:jc w:val="both"/>
        <w:rPr>
          <w:rFonts w:ascii="Times" w:hAnsi="Times"/>
        </w:rPr>
      </w:pPr>
      <w:r w:rsidRPr="000327F8">
        <w:rPr>
          <w:rFonts w:ascii="Times" w:hAnsi="Times"/>
        </w:rPr>
        <w:t>Dans le même ordre d’idées, la pandémie a été l’occasion de mesurer les écarts de compétences numériques entre professionnels de la justice, qu’il s’agisse des avocats, des juges ou des greffes. À cet égard, l’offre de formation continue devrait être densifiée et l’utilisation des outils numériques intégrée aux compétences requises pour accéder aux fonctions judiciaires ou juridictionnelles, ce qui implique l’inclusion de cours d’informatique et d’usage de ces outils à tous les stades des études juridiques. Au-delà de la préparation à de potentielles pandémies futures, il en va également de la compréhension, par les professionnels de la justice et du droit en général, des grands enjeux contemporains et de la société digitale qui s’amorce.</w:t>
      </w:r>
    </w:p>
    <w:p w14:paraId="5847E9C0" w14:textId="77777777" w:rsidR="000327F8" w:rsidRPr="000327F8" w:rsidRDefault="000327F8" w:rsidP="004A46A3">
      <w:pPr>
        <w:spacing w:line="360" w:lineRule="auto"/>
        <w:ind w:firstLine="284"/>
        <w:jc w:val="both"/>
        <w:rPr>
          <w:rFonts w:ascii="Times" w:hAnsi="Times"/>
        </w:rPr>
      </w:pPr>
    </w:p>
    <w:p w14:paraId="26B3EA4B" w14:textId="4717F509" w:rsidR="000327F8" w:rsidRPr="005D6852" w:rsidRDefault="005D6852" w:rsidP="005D6852">
      <w:pPr>
        <w:spacing w:line="360" w:lineRule="auto"/>
        <w:rPr>
          <w:rFonts w:ascii="Times" w:hAnsi="Times"/>
        </w:rPr>
      </w:pPr>
      <w:r w:rsidRPr="005D6852">
        <w:rPr>
          <w:rFonts w:ascii="Times" w:hAnsi="Times"/>
        </w:rPr>
        <w:t xml:space="preserve">- </w:t>
      </w:r>
      <w:r w:rsidR="000327F8" w:rsidRPr="005D6852">
        <w:rPr>
          <w:rFonts w:ascii="Times" w:hAnsi="Times"/>
        </w:rPr>
        <w:t>Développer des plateformes numériques dédiées et sécurisées</w:t>
      </w:r>
    </w:p>
    <w:p w14:paraId="661A9DBB" w14:textId="77777777" w:rsidR="000327F8" w:rsidRDefault="000327F8" w:rsidP="004A46A3">
      <w:pPr>
        <w:spacing w:line="360" w:lineRule="auto"/>
        <w:ind w:firstLine="284"/>
        <w:jc w:val="both"/>
        <w:rPr>
          <w:rFonts w:ascii="Times" w:hAnsi="Times"/>
        </w:rPr>
      </w:pPr>
    </w:p>
    <w:p w14:paraId="5F2FFD5C" w14:textId="59DF49AF" w:rsidR="000327F8" w:rsidRPr="000327F8" w:rsidRDefault="000327F8" w:rsidP="004A46A3">
      <w:pPr>
        <w:spacing w:line="360" w:lineRule="auto"/>
        <w:ind w:firstLine="284"/>
        <w:jc w:val="both"/>
        <w:rPr>
          <w:rFonts w:ascii="Times" w:hAnsi="Times"/>
        </w:rPr>
      </w:pPr>
      <w:r w:rsidRPr="000327F8">
        <w:rPr>
          <w:rFonts w:ascii="Times" w:hAnsi="Times"/>
        </w:rPr>
        <w:t>Il n’est enfin pas concevable que des juridictions étatiques, émanations de la souveraineté des États, comme des organes contentieux internationaux soumis à la seule volonté des parties, se trouvent soumis aux conditions générales d’utilisation de services fournis par des entreprises privées, ce qui a semble-t-il été le cas au moins en début de pandémie. Les enjeux de protection des données comme d’autonomie institutionnelle sont trop importants pour confier à la diversité des auto-régulations privées la gestion technique des audiences et délibérés des organes contentieux étudiés. Il apparaît dès lors indispensable que les ministères de la justice et organisations internationales concernées développent leurs propres outils de gestion voire internalisent totalement les compétences informatiques, afin de déployer au quotidien des services sécurisés offrant les meilleures garanties de confidentialité</w:t>
      </w:r>
      <w:r w:rsidRPr="000327F8">
        <w:rPr>
          <w:rFonts w:ascii="Times" w:hAnsi="Times"/>
        </w:rPr>
        <w:fldChar w:fldCharType="begin"/>
      </w:r>
      <w:r w:rsidRPr="000327F8">
        <w:rPr>
          <w:rFonts w:ascii="Times" w:hAnsi="Times"/>
        </w:rPr>
        <w:instrText xml:space="preserve"> XE "</w:instrText>
      </w:r>
      <w:r w:rsidRPr="000327F8">
        <w:rPr>
          <w:rFonts w:ascii="Times" w:hAnsi="Times" w:cs="Times New Roman"/>
        </w:rPr>
        <w:instrText>Confidentialité</w:instrText>
      </w:r>
      <w:r w:rsidRPr="000327F8">
        <w:rPr>
          <w:rFonts w:ascii="Times" w:hAnsi="Times"/>
        </w:rPr>
        <w:instrText xml:space="preserve">" </w:instrText>
      </w:r>
      <w:r w:rsidRPr="000327F8">
        <w:rPr>
          <w:rFonts w:ascii="Times" w:hAnsi="Times"/>
        </w:rPr>
        <w:fldChar w:fldCharType="end"/>
      </w:r>
      <w:r w:rsidRPr="000327F8">
        <w:rPr>
          <w:rFonts w:ascii="Times" w:hAnsi="Times"/>
        </w:rPr>
        <w:t xml:space="preserve"> et d’indépendance.</w:t>
      </w:r>
    </w:p>
    <w:p w14:paraId="194F3B95" w14:textId="0FAD84B2" w:rsidR="000327F8" w:rsidRDefault="000327F8" w:rsidP="004A46A3">
      <w:pPr>
        <w:spacing w:line="360" w:lineRule="auto"/>
        <w:jc w:val="both"/>
        <w:rPr>
          <w:rFonts w:ascii="Times" w:hAnsi="Times" w:cs="Calibri"/>
        </w:rPr>
      </w:pPr>
    </w:p>
    <w:p w14:paraId="68037646" w14:textId="728BE186" w:rsidR="00796FFB" w:rsidRDefault="000F09B2" w:rsidP="004A46A3">
      <w:pPr>
        <w:spacing w:line="360" w:lineRule="auto"/>
        <w:jc w:val="both"/>
        <w:rPr>
          <w:rFonts w:ascii="Times" w:hAnsi="Times" w:cs="Calibri"/>
          <w:b/>
          <w:bCs/>
        </w:rPr>
      </w:pPr>
      <w:r>
        <w:rPr>
          <w:rFonts w:ascii="Times" w:hAnsi="Times" w:cs="Calibri"/>
          <w:b/>
          <w:bCs/>
        </w:rPr>
        <w:t>Bibliographie</w:t>
      </w:r>
    </w:p>
    <w:p w14:paraId="3B68B126" w14:textId="3A60DD37" w:rsidR="00796FFB" w:rsidRDefault="00796FFB" w:rsidP="004A46A3">
      <w:pPr>
        <w:spacing w:line="360" w:lineRule="auto"/>
        <w:jc w:val="both"/>
        <w:rPr>
          <w:rFonts w:ascii="Times" w:hAnsi="Times" w:cs="Calibri"/>
          <w:b/>
          <w:bCs/>
        </w:rPr>
      </w:pPr>
    </w:p>
    <w:p w14:paraId="1D20BC70" w14:textId="33158E83" w:rsidR="00796FFB" w:rsidRDefault="00796FFB" w:rsidP="004A46A3">
      <w:pPr>
        <w:spacing w:line="360" w:lineRule="auto"/>
        <w:ind w:left="284" w:hanging="284"/>
        <w:jc w:val="both"/>
        <w:rPr>
          <w:rFonts w:ascii="Times" w:hAnsi="Times" w:cs="Calibri"/>
        </w:rPr>
      </w:pPr>
      <w:proofErr w:type="spellStart"/>
      <w:r>
        <w:rPr>
          <w:rFonts w:ascii="Times" w:hAnsi="Times" w:cs="Calibri"/>
        </w:rPr>
        <w:t>C</w:t>
      </w:r>
      <w:r w:rsidR="000F09B2">
        <w:rPr>
          <w:rFonts w:ascii="Times" w:hAnsi="Times" w:cs="Calibri"/>
        </w:rPr>
        <w:t>oatanlem</w:t>
      </w:r>
      <w:proofErr w:type="spellEnd"/>
      <w:r>
        <w:rPr>
          <w:rFonts w:ascii="Times" w:hAnsi="Times" w:cs="Calibri"/>
        </w:rPr>
        <w:t xml:space="preserve"> </w:t>
      </w:r>
      <w:r w:rsidR="000F09B2">
        <w:rPr>
          <w:rFonts w:ascii="Times" w:hAnsi="Times" w:cs="Calibri"/>
        </w:rPr>
        <w:t>Y. (</w:t>
      </w:r>
      <w:r>
        <w:rPr>
          <w:rFonts w:ascii="Times" w:hAnsi="Times" w:cs="Calibri"/>
        </w:rPr>
        <w:t>2017</w:t>
      </w:r>
      <w:r w:rsidR="000F09B2">
        <w:rPr>
          <w:rFonts w:ascii="Times" w:hAnsi="Times" w:cs="Calibri"/>
        </w:rPr>
        <w:t>)</w:t>
      </w:r>
      <w:r>
        <w:rPr>
          <w:rFonts w:ascii="Times" w:hAnsi="Times" w:cs="Calibri"/>
        </w:rPr>
        <w:t xml:space="preserve">, </w:t>
      </w:r>
      <w:r>
        <w:rPr>
          <w:rFonts w:ascii="Times" w:hAnsi="Times" w:cs="Calibri"/>
          <w:i/>
          <w:iCs/>
        </w:rPr>
        <w:t>Le gouvernement des citoyens</w:t>
      </w:r>
      <w:r>
        <w:rPr>
          <w:rFonts w:ascii="Times" w:hAnsi="Times" w:cs="Calibri"/>
        </w:rPr>
        <w:t>, Paris, PUF.</w:t>
      </w:r>
    </w:p>
    <w:p w14:paraId="29ADEE73" w14:textId="3607475E" w:rsidR="00EC6421" w:rsidRDefault="00EC6421" w:rsidP="004A46A3">
      <w:pPr>
        <w:spacing w:line="360" w:lineRule="auto"/>
        <w:ind w:left="284" w:hanging="284"/>
        <w:jc w:val="both"/>
        <w:rPr>
          <w:rFonts w:ascii="Times" w:hAnsi="Times" w:cs="Calibri"/>
        </w:rPr>
      </w:pPr>
      <w:proofErr w:type="spellStart"/>
      <w:r>
        <w:rPr>
          <w:rFonts w:ascii="Times" w:hAnsi="Times" w:cs="Calibri"/>
        </w:rPr>
        <w:t>C</w:t>
      </w:r>
      <w:r w:rsidR="000F09B2">
        <w:rPr>
          <w:rFonts w:ascii="Times" w:hAnsi="Times" w:cs="Calibri"/>
        </w:rPr>
        <w:t>evalier</w:t>
      </w:r>
      <w:proofErr w:type="spellEnd"/>
      <w:r>
        <w:rPr>
          <w:rFonts w:ascii="Times" w:hAnsi="Times" w:cs="Calibri"/>
        </w:rPr>
        <w:t xml:space="preserve"> </w:t>
      </w:r>
      <w:r w:rsidR="000F09B2">
        <w:rPr>
          <w:rFonts w:ascii="Times" w:hAnsi="Times" w:cs="Calibri"/>
        </w:rPr>
        <w:t>E. (</w:t>
      </w:r>
      <w:r>
        <w:rPr>
          <w:rFonts w:ascii="Times" w:hAnsi="Times" w:cs="Calibri"/>
        </w:rPr>
        <w:t>2022</w:t>
      </w:r>
      <w:r w:rsidR="000F09B2">
        <w:rPr>
          <w:rFonts w:ascii="Times" w:hAnsi="Times" w:cs="Calibri"/>
        </w:rPr>
        <w:t>)</w:t>
      </w:r>
      <w:r>
        <w:rPr>
          <w:rFonts w:ascii="Times" w:hAnsi="Times" w:cs="Calibri"/>
        </w:rPr>
        <w:t xml:space="preserve">, « L’adaptation de la Cour de justice de l’Union européenne », </w:t>
      </w:r>
      <w:r>
        <w:rPr>
          <w:rFonts w:ascii="Times" w:hAnsi="Times" w:cs="Calibri"/>
          <w:i/>
          <w:iCs/>
        </w:rPr>
        <w:t xml:space="preserve">in </w:t>
      </w:r>
      <w:r w:rsidR="000F09B2">
        <w:rPr>
          <w:rFonts w:ascii="Times" w:hAnsi="Times" w:cs="Calibri"/>
        </w:rPr>
        <w:t>R. Maurel</w:t>
      </w:r>
      <w:r>
        <w:rPr>
          <w:rFonts w:ascii="Times" w:hAnsi="Times" w:cs="Calibri"/>
        </w:rPr>
        <w:t>,</w:t>
      </w:r>
      <w:r w:rsidR="000F09B2">
        <w:rPr>
          <w:rFonts w:ascii="Times" w:hAnsi="Times" w:cs="Calibri"/>
        </w:rPr>
        <w:t xml:space="preserve"> </w:t>
      </w:r>
      <w:proofErr w:type="spellStart"/>
      <w:r w:rsidR="000F09B2">
        <w:rPr>
          <w:rFonts w:ascii="Times" w:hAnsi="Times" w:cs="Calibri"/>
        </w:rPr>
        <w:t>dir</w:t>
      </w:r>
      <w:proofErr w:type="spellEnd"/>
      <w:r w:rsidR="000F09B2">
        <w:rPr>
          <w:rFonts w:ascii="Times" w:hAnsi="Times" w:cs="Calibri"/>
        </w:rPr>
        <w:t>.,</w:t>
      </w:r>
      <w:r>
        <w:rPr>
          <w:rFonts w:ascii="Times" w:hAnsi="Times" w:cs="Calibri"/>
        </w:rPr>
        <w:t xml:space="preserve"> </w:t>
      </w:r>
      <w:r>
        <w:rPr>
          <w:rFonts w:ascii="Times" w:hAnsi="Times" w:cs="Calibri"/>
          <w:i/>
          <w:iCs/>
        </w:rPr>
        <w:t>L’adaptation des procédures contentieuses en temps de pandémie. Comparaison internationale et limites éthiques</w:t>
      </w:r>
      <w:r>
        <w:rPr>
          <w:rFonts w:ascii="Times" w:hAnsi="Times" w:cs="Calibri"/>
        </w:rPr>
        <w:t>,</w:t>
      </w:r>
      <w:r w:rsidRPr="00D93EBC">
        <w:rPr>
          <w:rFonts w:ascii="Times" w:hAnsi="Times" w:cs="Calibri"/>
        </w:rPr>
        <w:t xml:space="preserve"> </w:t>
      </w:r>
      <w:r>
        <w:rPr>
          <w:rFonts w:ascii="Times" w:hAnsi="Times" w:cs="Calibri"/>
        </w:rPr>
        <w:t>Bruxelles, Bruylant.</w:t>
      </w:r>
    </w:p>
    <w:p w14:paraId="77632A77" w14:textId="32D67AD2" w:rsidR="00F3222A" w:rsidRPr="00CC7ACD" w:rsidRDefault="00F3222A" w:rsidP="004A46A3">
      <w:pPr>
        <w:spacing w:line="360" w:lineRule="auto"/>
        <w:ind w:left="284" w:hanging="284"/>
        <w:jc w:val="both"/>
        <w:rPr>
          <w:rFonts w:ascii="Times" w:hAnsi="Times" w:cs="Calibri"/>
        </w:rPr>
      </w:pPr>
      <w:r>
        <w:rPr>
          <w:rFonts w:ascii="Times" w:hAnsi="Times" w:cs="Calibri"/>
        </w:rPr>
        <w:t>D</w:t>
      </w:r>
      <w:r w:rsidR="000F09B2">
        <w:rPr>
          <w:rFonts w:ascii="Times" w:hAnsi="Times" w:cs="Calibri"/>
        </w:rPr>
        <w:t>aly</w:t>
      </w:r>
      <w:r>
        <w:rPr>
          <w:rFonts w:ascii="Times" w:hAnsi="Times" w:cs="Calibri"/>
        </w:rPr>
        <w:t xml:space="preserve"> P</w:t>
      </w:r>
      <w:r w:rsidR="000F09B2">
        <w:rPr>
          <w:rFonts w:ascii="Times" w:hAnsi="Times" w:cs="Calibri"/>
        </w:rPr>
        <w:t>.</w:t>
      </w:r>
      <w:r w:rsidR="00EC6421">
        <w:rPr>
          <w:rFonts w:ascii="Times" w:hAnsi="Times" w:cs="Calibri"/>
        </w:rPr>
        <w:t xml:space="preserve"> </w:t>
      </w:r>
      <w:r w:rsidR="000F09B2">
        <w:rPr>
          <w:rFonts w:ascii="Times" w:hAnsi="Times" w:cs="Calibri"/>
        </w:rPr>
        <w:t>(</w:t>
      </w:r>
      <w:r w:rsidR="00EC6421">
        <w:rPr>
          <w:rFonts w:ascii="Times" w:hAnsi="Times" w:cs="Calibri"/>
        </w:rPr>
        <w:t>2022</w:t>
      </w:r>
      <w:r w:rsidR="000F09B2">
        <w:rPr>
          <w:rFonts w:ascii="Times" w:hAnsi="Times" w:cs="Calibri"/>
        </w:rPr>
        <w:t>)</w:t>
      </w:r>
      <w:r>
        <w:rPr>
          <w:rFonts w:ascii="Times" w:hAnsi="Times" w:cs="Calibri"/>
        </w:rPr>
        <w:t>, « </w:t>
      </w:r>
      <w:r w:rsidR="00923911">
        <w:rPr>
          <w:rFonts w:ascii="Times" w:hAnsi="Times" w:cs="Calibri"/>
        </w:rPr>
        <w:t xml:space="preserve">L’éthique des procédures contentieuses au Canada dans l’ère de la Covid-19 », </w:t>
      </w:r>
      <w:r w:rsidR="00923911">
        <w:rPr>
          <w:rFonts w:ascii="Times" w:hAnsi="Times" w:cs="Calibri"/>
          <w:i/>
          <w:iCs/>
        </w:rPr>
        <w:t xml:space="preserve">in </w:t>
      </w:r>
      <w:r w:rsidR="000F09B2">
        <w:rPr>
          <w:rFonts w:ascii="Times" w:hAnsi="Times" w:cs="Calibri"/>
        </w:rPr>
        <w:t>R. Maurel</w:t>
      </w:r>
      <w:r w:rsidR="00923911">
        <w:rPr>
          <w:rFonts w:ascii="Times" w:hAnsi="Times" w:cs="Calibri"/>
        </w:rPr>
        <w:t xml:space="preserve">, </w:t>
      </w:r>
      <w:r w:rsidR="00923911">
        <w:rPr>
          <w:rFonts w:ascii="Times" w:hAnsi="Times" w:cs="Calibri"/>
          <w:i/>
          <w:iCs/>
        </w:rPr>
        <w:t xml:space="preserve">L’adaptation des procédures contentieuses en temps de pandémie. </w:t>
      </w:r>
      <w:r w:rsidR="00923911" w:rsidRPr="00CC7ACD">
        <w:rPr>
          <w:rFonts w:ascii="Times" w:hAnsi="Times" w:cs="Calibri"/>
          <w:i/>
          <w:iCs/>
        </w:rPr>
        <w:t>Comparaison internationale et limites éthiques</w:t>
      </w:r>
      <w:r w:rsidR="00923911" w:rsidRPr="00CC7ACD">
        <w:rPr>
          <w:rFonts w:ascii="Times" w:hAnsi="Times" w:cs="Calibri"/>
        </w:rPr>
        <w:t>, Bruxelles, Bruylant.</w:t>
      </w:r>
    </w:p>
    <w:p w14:paraId="5AB024AC" w14:textId="0B0D187A" w:rsidR="00923911" w:rsidRPr="000F09B2" w:rsidRDefault="00923911" w:rsidP="004A46A3">
      <w:pPr>
        <w:spacing w:line="360" w:lineRule="auto"/>
        <w:ind w:left="284" w:hanging="284"/>
        <w:jc w:val="both"/>
        <w:rPr>
          <w:rFonts w:ascii="Times" w:hAnsi="Times" w:cs="Calibri"/>
          <w:lang w:val="en-US"/>
        </w:rPr>
      </w:pPr>
      <w:r w:rsidRPr="00CC7ACD">
        <w:rPr>
          <w:rFonts w:ascii="Times" w:hAnsi="Times"/>
        </w:rPr>
        <w:t>D</w:t>
      </w:r>
      <w:r w:rsidR="000F09B2" w:rsidRPr="00CC7ACD">
        <w:rPr>
          <w:rFonts w:ascii="Times" w:hAnsi="Times"/>
        </w:rPr>
        <w:t>iamond</w:t>
      </w:r>
      <w:r w:rsidRPr="00CC7ACD">
        <w:rPr>
          <w:rFonts w:ascii="Times" w:hAnsi="Times"/>
        </w:rPr>
        <w:t xml:space="preserve"> S</w:t>
      </w:r>
      <w:r w:rsidR="000F09B2" w:rsidRPr="00CC7ACD">
        <w:rPr>
          <w:rFonts w:ascii="Times" w:hAnsi="Times"/>
        </w:rPr>
        <w:t xml:space="preserve">. </w:t>
      </w:r>
      <w:r w:rsidR="000F09B2" w:rsidRPr="00CC7ACD">
        <w:rPr>
          <w:rFonts w:ascii="Times" w:hAnsi="Times"/>
          <w:i/>
          <w:iCs/>
        </w:rPr>
        <w:t>et</w:t>
      </w:r>
      <w:r w:rsidRPr="00CC7ACD">
        <w:rPr>
          <w:rFonts w:ascii="Times" w:hAnsi="Times"/>
          <w:i/>
          <w:iCs/>
        </w:rPr>
        <w:t xml:space="preserve"> al</w:t>
      </w:r>
      <w:r w:rsidRPr="00CC7ACD">
        <w:rPr>
          <w:rFonts w:ascii="Times" w:hAnsi="Times"/>
        </w:rPr>
        <w:t>.</w:t>
      </w:r>
      <w:r w:rsidR="000F09B2" w:rsidRPr="00CC7ACD">
        <w:rPr>
          <w:rFonts w:ascii="Times" w:hAnsi="Times"/>
        </w:rPr>
        <w:t xml:space="preserve"> </w:t>
      </w:r>
      <w:r w:rsidR="000F09B2">
        <w:rPr>
          <w:rFonts w:ascii="Times" w:hAnsi="Times"/>
          <w:lang w:val="en-GB"/>
        </w:rPr>
        <w:t>(</w:t>
      </w:r>
      <w:r>
        <w:rPr>
          <w:rFonts w:ascii="Times" w:hAnsi="Times"/>
          <w:lang w:val="en-GB"/>
        </w:rPr>
        <w:t>2010</w:t>
      </w:r>
      <w:r w:rsidR="000F09B2">
        <w:rPr>
          <w:rFonts w:ascii="Times" w:hAnsi="Times"/>
          <w:lang w:val="en-GB"/>
        </w:rPr>
        <w:t>)</w:t>
      </w:r>
      <w:r>
        <w:rPr>
          <w:rFonts w:ascii="Times" w:hAnsi="Times"/>
          <w:lang w:val="en-GB"/>
        </w:rPr>
        <w:t xml:space="preserve">, </w:t>
      </w:r>
      <w:r w:rsidRPr="00796FFB">
        <w:rPr>
          <w:rFonts w:ascii="Times" w:hAnsi="Times"/>
          <w:lang w:val="en-GB"/>
        </w:rPr>
        <w:t xml:space="preserve">« Efficiency and Cost: The Impact of </w:t>
      </w:r>
      <w:proofErr w:type="spellStart"/>
      <w:r w:rsidRPr="00796FFB">
        <w:rPr>
          <w:rFonts w:ascii="Times" w:hAnsi="Times"/>
          <w:lang w:val="en-GB"/>
        </w:rPr>
        <w:t>Videoconferenced</w:t>
      </w:r>
      <w:proofErr w:type="spellEnd"/>
      <w:r w:rsidRPr="00796FFB">
        <w:rPr>
          <w:rFonts w:ascii="Times" w:hAnsi="Times"/>
          <w:lang w:val="en-GB"/>
        </w:rPr>
        <w:t xml:space="preserve"> Hearings on Bail Decisions », </w:t>
      </w:r>
      <w:r w:rsidRPr="00796FFB">
        <w:rPr>
          <w:rFonts w:ascii="Times" w:hAnsi="Times"/>
          <w:i/>
          <w:lang w:val="en-GB"/>
        </w:rPr>
        <w:t>Journal of Criminal Law and Criminology</w:t>
      </w:r>
      <w:r w:rsidRPr="00796FFB">
        <w:rPr>
          <w:rFonts w:ascii="Times" w:hAnsi="Times"/>
          <w:lang w:val="en-GB"/>
        </w:rPr>
        <w:t>, vol. 100</w:t>
      </w:r>
      <w:r>
        <w:rPr>
          <w:rFonts w:ascii="Times" w:hAnsi="Times"/>
          <w:lang w:val="en-GB"/>
        </w:rPr>
        <w:t>.</w:t>
      </w:r>
    </w:p>
    <w:p w14:paraId="0722D58A" w14:textId="1D4E14AC" w:rsidR="003D2F3F" w:rsidRDefault="003D2F3F" w:rsidP="004A46A3">
      <w:pPr>
        <w:spacing w:line="360" w:lineRule="auto"/>
        <w:ind w:left="284" w:hanging="284"/>
        <w:jc w:val="both"/>
        <w:rPr>
          <w:rFonts w:ascii="Times" w:hAnsi="Times" w:cs="Calibri"/>
        </w:rPr>
      </w:pPr>
      <w:proofErr w:type="spellStart"/>
      <w:r>
        <w:rPr>
          <w:rFonts w:ascii="Times" w:hAnsi="Times" w:cs="Calibri"/>
        </w:rPr>
        <w:t>F</w:t>
      </w:r>
      <w:r w:rsidR="000F09B2">
        <w:rPr>
          <w:rFonts w:ascii="Times" w:hAnsi="Times" w:cs="Calibri"/>
        </w:rPr>
        <w:t>iorini</w:t>
      </w:r>
      <w:proofErr w:type="spellEnd"/>
      <w:r>
        <w:rPr>
          <w:rFonts w:ascii="Times" w:hAnsi="Times" w:cs="Calibri"/>
        </w:rPr>
        <w:t xml:space="preserve"> </w:t>
      </w:r>
      <w:r w:rsidR="000F09B2">
        <w:rPr>
          <w:rFonts w:ascii="Times" w:hAnsi="Times" w:cs="Calibri"/>
        </w:rPr>
        <w:t>B. (</w:t>
      </w:r>
      <w:r>
        <w:rPr>
          <w:rFonts w:ascii="Times" w:hAnsi="Times" w:cs="Calibri"/>
        </w:rPr>
        <w:t>2022</w:t>
      </w:r>
      <w:r w:rsidR="000F09B2">
        <w:rPr>
          <w:rFonts w:ascii="Times" w:hAnsi="Times" w:cs="Calibri"/>
        </w:rPr>
        <w:t>)</w:t>
      </w:r>
      <w:r>
        <w:rPr>
          <w:rFonts w:ascii="Times" w:hAnsi="Times" w:cs="Calibri"/>
        </w:rPr>
        <w:t xml:space="preserve">, « L’adaptation des juridictions pénales américaines », </w:t>
      </w:r>
      <w:r>
        <w:rPr>
          <w:rFonts w:ascii="Times" w:hAnsi="Times" w:cs="Calibri"/>
          <w:i/>
          <w:iCs/>
        </w:rPr>
        <w:t xml:space="preserve">in </w:t>
      </w:r>
      <w:r w:rsidR="000F09B2">
        <w:rPr>
          <w:rFonts w:ascii="Times" w:hAnsi="Times" w:cs="Calibri"/>
        </w:rPr>
        <w:t xml:space="preserve">R. Maurel, </w:t>
      </w:r>
      <w:proofErr w:type="spellStart"/>
      <w:r w:rsidR="000F09B2">
        <w:rPr>
          <w:rFonts w:ascii="Times" w:hAnsi="Times" w:cs="Calibri"/>
        </w:rPr>
        <w:t>dir</w:t>
      </w:r>
      <w:proofErr w:type="spellEnd"/>
      <w:r w:rsidR="000F09B2">
        <w:rPr>
          <w:rFonts w:ascii="Times" w:hAnsi="Times" w:cs="Calibri"/>
        </w:rPr>
        <w:t>.</w:t>
      </w:r>
      <w:r>
        <w:rPr>
          <w:rFonts w:ascii="Times" w:hAnsi="Times" w:cs="Calibri"/>
        </w:rPr>
        <w:t xml:space="preserve">, </w:t>
      </w:r>
      <w:r w:rsidR="004A46A3">
        <w:rPr>
          <w:rFonts w:ascii="Times" w:hAnsi="Times" w:cs="Calibri"/>
          <w:i/>
          <w:iCs/>
        </w:rPr>
        <w:t xml:space="preserve">op. </w:t>
      </w:r>
      <w:proofErr w:type="spellStart"/>
      <w:proofErr w:type="gramStart"/>
      <w:r w:rsidR="004A46A3">
        <w:rPr>
          <w:rFonts w:ascii="Times" w:hAnsi="Times" w:cs="Calibri"/>
          <w:i/>
          <w:iCs/>
        </w:rPr>
        <w:t>cit</w:t>
      </w:r>
      <w:proofErr w:type="spellEnd"/>
      <w:proofErr w:type="gramEnd"/>
      <w:r>
        <w:rPr>
          <w:rFonts w:ascii="Times" w:hAnsi="Times" w:cs="Calibri"/>
        </w:rPr>
        <w:t>.</w:t>
      </w:r>
    </w:p>
    <w:p w14:paraId="0C878DFE" w14:textId="16409BDA" w:rsidR="00F3222A" w:rsidRDefault="00F3222A" w:rsidP="004A46A3">
      <w:pPr>
        <w:spacing w:line="360" w:lineRule="auto"/>
        <w:ind w:left="284" w:hanging="284"/>
        <w:jc w:val="both"/>
        <w:rPr>
          <w:rFonts w:ascii="Times" w:hAnsi="Times" w:cs="Calibri"/>
        </w:rPr>
      </w:pPr>
      <w:proofErr w:type="spellStart"/>
      <w:r>
        <w:rPr>
          <w:rFonts w:ascii="Times" w:hAnsi="Times" w:cs="Calibri"/>
        </w:rPr>
        <w:t>G</w:t>
      </w:r>
      <w:r w:rsidR="000F09B2">
        <w:rPr>
          <w:rFonts w:ascii="Times" w:hAnsi="Times" w:cs="Calibri"/>
        </w:rPr>
        <w:t>uttierez</w:t>
      </w:r>
      <w:proofErr w:type="spellEnd"/>
      <w:r w:rsidR="000F09B2">
        <w:rPr>
          <w:rFonts w:ascii="Times" w:hAnsi="Times" w:cs="Calibri"/>
        </w:rPr>
        <w:t xml:space="preserve"> L. M. </w:t>
      </w:r>
      <w:r>
        <w:rPr>
          <w:rFonts w:ascii="Times" w:hAnsi="Times" w:cs="Calibri"/>
        </w:rPr>
        <w:t xml:space="preserve"> (2022</w:t>
      </w:r>
      <w:r w:rsidR="000F09B2">
        <w:rPr>
          <w:rFonts w:ascii="Times" w:hAnsi="Times" w:cs="Calibri"/>
        </w:rPr>
        <w:t>)</w:t>
      </w:r>
      <w:r>
        <w:rPr>
          <w:rFonts w:ascii="Times" w:hAnsi="Times" w:cs="Calibri"/>
        </w:rPr>
        <w:t xml:space="preserve">, « L’adaptation du fonctionnement de la Cour interaméricaine des droits de l’homme en période de Covid-19 », </w:t>
      </w:r>
      <w:r>
        <w:rPr>
          <w:rFonts w:ascii="Times" w:hAnsi="Times" w:cs="Calibri"/>
          <w:i/>
          <w:iCs/>
        </w:rPr>
        <w:t xml:space="preserve">in </w:t>
      </w:r>
      <w:r w:rsidR="000F09B2">
        <w:rPr>
          <w:rFonts w:ascii="Times" w:hAnsi="Times" w:cs="Calibri"/>
        </w:rPr>
        <w:t xml:space="preserve">R. Maurel, </w:t>
      </w:r>
      <w:proofErr w:type="spellStart"/>
      <w:r w:rsidR="000F09B2">
        <w:rPr>
          <w:rFonts w:ascii="Times" w:hAnsi="Times" w:cs="Calibri"/>
        </w:rPr>
        <w:t>dir</w:t>
      </w:r>
      <w:proofErr w:type="spellEnd"/>
      <w:r w:rsidR="000F09B2">
        <w:rPr>
          <w:rFonts w:ascii="Times" w:hAnsi="Times" w:cs="Calibri"/>
        </w:rPr>
        <w:t>.,</w:t>
      </w:r>
      <w:r>
        <w:rPr>
          <w:rFonts w:ascii="Times" w:hAnsi="Times" w:cs="Calibri"/>
        </w:rPr>
        <w:t xml:space="preserve"> </w:t>
      </w:r>
      <w:r>
        <w:rPr>
          <w:rFonts w:ascii="Times" w:hAnsi="Times" w:cs="Calibri"/>
          <w:i/>
          <w:iCs/>
        </w:rPr>
        <w:t>L’adaptation des procédures contentieuses en temps de pandémie. Comparaison internationale et limites éthiques</w:t>
      </w:r>
      <w:r>
        <w:rPr>
          <w:rFonts w:ascii="Times" w:hAnsi="Times" w:cs="Calibri"/>
        </w:rPr>
        <w:t>,</w:t>
      </w:r>
      <w:r w:rsidRPr="00D93EBC">
        <w:rPr>
          <w:rFonts w:ascii="Times" w:hAnsi="Times" w:cs="Calibri"/>
        </w:rPr>
        <w:t xml:space="preserve"> </w:t>
      </w:r>
      <w:r>
        <w:rPr>
          <w:rFonts w:ascii="Times" w:hAnsi="Times" w:cs="Calibri"/>
        </w:rPr>
        <w:t>Bruxelles, Bruylant.</w:t>
      </w:r>
    </w:p>
    <w:p w14:paraId="7FE05ED2" w14:textId="657EAEA3" w:rsidR="003D2F3F" w:rsidRDefault="00F3222A" w:rsidP="004A46A3">
      <w:pPr>
        <w:spacing w:line="360" w:lineRule="auto"/>
        <w:ind w:left="284" w:hanging="284"/>
        <w:jc w:val="both"/>
        <w:rPr>
          <w:rFonts w:ascii="Times" w:hAnsi="Times" w:cs="Calibri"/>
        </w:rPr>
      </w:pPr>
      <w:proofErr w:type="spellStart"/>
      <w:r>
        <w:rPr>
          <w:rFonts w:ascii="Times" w:hAnsi="Times" w:cs="Calibri"/>
        </w:rPr>
        <w:t>J</w:t>
      </w:r>
      <w:r w:rsidR="000F09B2">
        <w:rPr>
          <w:rFonts w:ascii="Times" w:hAnsi="Times" w:cs="Calibri"/>
        </w:rPr>
        <w:t>onason</w:t>
      </w:r>
      <w:proofErr w:type="spellEnd"/>
      <w:r>
        <w:rPr>
          <w:rFonts w:ascii="Times" w:hAnsi="Times" w:cs="Calibri"/>
        </w:rPr>
        <w:t xml:space="preserve"> </w:t>
      </w:r>
      <w:r w:rsidR="000F09B2">
        <w:rPr>
          <w:rFonts w:ascii="Times" w:hAnsi="Times" w:cs="Calibri"/>
        </w:rPr>
        <w:t>P. (</w:t>
      </w:r>
      <w:r>
        <w:rPr>
          <w:rFonts w:ascii="Times" w:hAnsi="Times" w:cs="Calibri"/>
        </w:rPr>
        <w:t>2022</w:t>
      </w:r>
      <w:r w:rsidR="000F09B2">
        <w:rPr>
          <w:rFonts w:ascii="Times" w:hAnsi="Times" w:cs="Calibri"/>
        </w:rPr>
        <w:t>)</w:t>
      </w:r>
      <w:r>
        <w:rPr>
          <w:rFonts w:ascii="Times" w:hAnsi="Times" w:cs="Calibri"/>
        </w:rPr>
        <w:t xml:space="preserve">, « Les juridictions suédoises face à la pandémie de Covid-19 », </w:t>
      </w:r>
      <w:r>
        <w:rPr>
          <w:rFonts w:ascii="Times" w:hAnsi="Times" w:cs="Calibri"/>
          <w:i/>
          <w:iCs/>
        </w:rPr>
        <w:t xml:space="preserve">in </w:t>
      </w:r>
      <w:r w:rsidR="000F09B2">
        <w:rPr>
          <w:rFonts w:ascii="Times" w:hAnsi="Times" w:cs="Calibri"/>
        </w:rPr>
        <w:t>R. Maurel</w:t>
      </w:r>
      <w:r w:rsidR="004A46A3">
        <w:rPr>
          <w:rFonts w:ascii="Times" w:hAnsi="Times" w:cs="Calibri"/>
        </w:rPr>
        <w:t xml:space="preserve">, </w:t>
      </w:r>
      <w:proofErr w:type="spellStart"/>
      <w:r w:rsidR="004A46A3">
        <w:rPr>
          <w:rFonts w:ascii="Times" w:hAnsi="Times" w:cs="Calibri"/>
        </w:rPr>
        <w:t>dir</w:t>
      </w:r>
      <w:proofErr w:type="spellEnd"/>
      <w:r w:rsidR="004A46A3">
        <w:rPr>
          <w:rFonts w:ascii="Times" w:hAnsi="Times" w:cs="Calibri"/>
        </w:rPr>
        <w:t>.</w:t>
      </w:r>
      <w:r w:rsidR="000F09B2">
        <w:rPr>
          <w:rFonts w:ascii="Times" w:hAnsi="Times" w:cs="Calibri"/>
        </w:rPr>
        <w:t xml:space="preserve">, </w:t>
      </w:r>
      <w:r w:rsidR="004A46A3" w:rsidRPr="004A46A3">
        <w:rPr>
          <w:rFonts w:ascii="Times" w:hAnsi="Times" w:cs="Calibri"/>
          <w:i/>
          <w:iCs/>
        </w:rPr>
        <w:t xml:space="preserve">op. </w:t>
      </w:r>
      <w:proofErr w:type="spellStart"/>
      <w:proofErr w:type="gramStart"/>
      <w:r w:rsidR="004A46A3" w:rsidRPr="004A46A3">
        <w:rPr>
          <w:rFonts w:ascii="Times" w:hAnsi="Times" w:cs="Calibri"/>
          <w:i/>
          <w:iCs/>
        </w:rPr>
        <w:t>cit</w:t>
      </w:r>
      <w:proofErr w:type="spellEnd"/>
      <w:proofErr w:type="gramEnd"/>
      <w:r w:rsidR="004A46A3" w:rsidRPr="004A46A3">
        <w:rPr>
          <w:rFonts w:ascii="Times" w:hAnsi="Times" w:cs="Calibri"/>
          <w:i/>
          <w:iCs/>
        </w:rPr>
        <w:t>.</w:t>
      </w:r>
    </w:p>
    <w:p w14:paraId="2D32A08A" w14:textId="6B2E39F3" w:rsidR="003D2F3F" w:rsidRDefault="00796FFB" w:rsidP="004A46A3">
      <w:pPr>
        <w:spacing w:line="360" w:lineRule="auto"/>
        <w:ind w:left="284" w:hanging="284"/>
        <w:jc w:val="both"/>
        <w:rPr>
          <w:rFonts w:ascii="Times" w:hAnsi="Times" w:cs="Calibri"/>
        </w:rPr>
      </w:pPr>
      <w:proofErr w:type="spellStart"/>
      <w:r w:rsidRPr="00796FFB">
        <w:rPr>
          <w:rFonts w:ascii="Times" w:hAnsi="Times" w:cs="Calibri"/>
        </w:rPr>
        <w:t>K</w:t>
      </w:r>
      <w:r w:rsidR="000F09B2">
        <w:rPr>
          <w:rFonts w:ascii="Times" w:hAnsi="Times" w:cs="Calibri"/>
        </w:rPr>
        <w:t>erléo</w:t>
      </w:r>
      <w:proofErr w:type="spellEnd"/>
      <w:r>
        <w:rPr>
          <w:rFonts w:ascii="Times" w:hAnsi="Times" w:cs="Calibri"/>
        </w:rPr>
        <w:t xml:space="preserve"> J</w:t>
      </w:r>
      <w:r w:rsidR="000F09B2">
        <w:rPr>
          <w:rFonts w:ascii="Times" w:hAnsi="Times" w:cs="Calibri"/>
        </w:rPr>
        <w:t>.</w:t>
      </w:r>
      <w:r>
        <w:rPr>
          <w:rFonts w:ascii="Times" w:hAnsi="Times" w:cs="Calibri"/>
        </w:rPr>
        <w:t>-</w:t>
      </w:r>
      <w:r w:rsidR="000F09B2">
        <w:rPr>
          <w:rFonts w:ascii="Times" w:hAnsi="Times" w:cs="Calibri"/>
        </w:rPr>
        <w:t>F. (</w:t>
      </w:r>
      <w:r>
        <w:rPr>
          <w:rFonts w:ascii="Times" w:hAnsi="Times" w:cs="Calibri"/>
        </w:rPr>
        <w:t>2021</w:t>
      </w:r>
      <w:r w:rsidR="000F09B2">
        <w:rPr>
          <w:rFonts w:ascii="Times" w:hAnsi="Times" w:cs="Calibri"/>
        </w:rPr>
        <w:t>)</w:t>
      </w:r>
      <w:r>
        <w:rPr>
          <w:rFonts w:ascii="Times" w:hAnsi="Times" w:cs="Calibri"/>
        </w:rPr>
        <w:t xml:space="preserve">, </w:t>
      </w:r>
      <w:r w:rsidRPr="00796FFB">
        <w:rPr>
          <w:rFonts w:ascii="Times" w:hAnsi="Times" w:cs="Calibri"/>
        </w:rPr>
        <w:t xml:space="preserve">« Libre avant-propos », </w:t>
      </w:r>
      <w:r w:rsidRPr="00796FFB">
        <w:rPr>
          <w:rFonts w:ascii="Times" w:hAnsi="Times" w:cs="Calibri"/>
          <w:i/>
          <w:iCs/>
        </w:rPr>
        <w:t>in</w:t>
      </w:r>
      <w:r w:rsidRPr="00796FFB">
        <w:rPr>
          <w:rFonts w:ascii="Times" w:hAnsi="Times" w:cs="Calibri"/>
        </w:rPr>
        <w:t xml:space="preserve"> </w:t>
      </w:r>
      <w:r w:rsidR="000F09B2">
        <w:rPr>
          <w:rFonts w:ascii="Times" w:hAnsi="Times" w:cs="Calibri"/>
        </w:rPr>
        <w:t xml:space="preserve">V. Barbé, J.-F. </w:t>
      </w:r>
      <w:proofErr w:type="spellStart"/>
      <w:r w:rsidR="000F09B2">
        <w:rPr>
          <w:rFonts w:ascii="Times" w:hAnsi="Times" w:cs="Calibri"/>
        </w:rPr>
        <w:t>Kerléo</w:t>
      </w:r>
      <w:proofErr w:type="spellEnd"/>
      <w:r w:rsidR="000F09B2">
        <w:rPr>
          <w:rFonts w:ascii="Times" w:hAnsi="Times" w:cs="Calibri"/>
        </w:rPr>
        <w:t xml:space="preserve">, J. Padovani, </w:t>
      </w:r>
      <w:proofErr w:type="spellStart"/>
      <w:r w:rsidR="000F09B2">
        <w:rPr>
          <w:rFonts w:ascii="Times" w:hAnsi="Times" w:cs="Calibri"/>
        </w:rPr>
        <w:t>dir</w:t>
      </w:r>
      <w:proofErr w:type="spellEnd"/>
      <w:r w:rsidR="000F09B2">
        <w:rPr>
          <w:rFonts w:ascii="Times" w:hAnsi="Times" w:cs="Calibri"/>
        </w:rPr>
        <w:t>.</w:t>
      </w:r>
      <w:r w:rsidRPr="00796FFB">
        <w:rPr>
          <w:rFonts w:ascii="Times" w:hAnsi="Times" w:cs="Calibri"/>
        </w:rPr>
        <w:t xml:space="preserve">, </w:t>
      </w:r>
      <w:r w:rsidRPr="00796FFB">
        <w:rPr>
          <w:rFonts w:ascii="Times" w:hAnsi="Times" w:cs="Calibri"/>
          <w:i/>
          <w:iCs/>
        </w:rPr>
        <w:t>L’éthique à l’épreuve de la crise</w:t>
      </w:r>
      <w:r w:rsidRPr="00796FFB">
        <w:rPr>
          <w:rFonts w:ascii="Times" w:hAnsi="Times" w:cs="Calibri"/>
        </w:rPr>
        <w:t>, Toulouse, Éditions L’Épitoge</w:t>
      </w:r>
      <w:r>
        <w:rPr>
          <w:rFonts w:ascii="Times" w:hAnsi="Times" w:cs="Calibri"/>
        </w:rPr>
        <w:t>.</w:t>
      </w:r>
    </w:p>
    <w:p w14:paraId="6CD2641D" w14:textId="5BCDF21E" w:rsidR="00923911" w:rsidRDefault="000F09B2" w:rsidP="004A46A3">
      <w:pPr>
        <w:spacing w:line="360" w:lineRule="auto"/>
        <w:ind w:left="284" w:hanging="284"/>
        <w:jc w:val="both"/>
        <w:rPr>
          <w:rFonts w:ascii="Times" w:hAnsi="Times" w:cs="Calibri"/>
        </w:rPr>
      </w:pPr>
      <w:r>
        <w:rPr>
          <w:rFonts w:ascii="Times" w:hAnsi="Times" w:cs="Calibri"/>
        </w:rPr>
        <w:t>L</w:t>
      </w:r>
      <w:r w:rsidRPr="00923911">
        <w:rPr>
          <w:rFonts w:ascii="Times" w:hAnsi="Times" w:cs="Calibri"/>
        </w:rPr>
        <w:t xml:space="preserve">equesne </w:t>
      </w:r>
      <w:r>
        <w:rPr>
          <w:rFonts w:ascii="Times" w:hAnsi="Times" w:cs="Calibri"/>
        </w:rPr>
        <w:t>R</w:t>
      </w:r>
      <w:r w:rsidRPr="00923911">
        <w:rPr>
          <w:rFonts w:ascii="Times" w:hAnsi="Times" w:cs="Calibri"/>
        </w:rPr>
        <w:t xml:space="preserve">oth </w:t>
      </w:r>
      <w:r>
        <w:rPr>
          <w:rFonts w:ascii="Times" w:hAnsi="Times" w:cs="Calibri"/>
        </w:rPr>
        <w:t>C.</w:t>
      </w:r>
      <w:r w:rsidR="00923911" w:rsidRPr="00923911">
        <w:rPr>
          <w:rFonts w:ascii="Times" w:hAnsi="Times" w:cs="Calibri"/>
        </w:rPr>
        <w:t xml:space="preserve">, </w:t>
      </w:r>
      <w:proofErr w:type="spellStart"/>
      <w:r w:rsidR="00923911" w:rsidRPr="00923911">
        <w:rPr>
          <w:rFonts w:ascii="Times" w:hAnsi="Times" w:cs="Calibri"/>
        </w:rPr>
        <w:t>K</w:t>
      </w:r>
      <w:r>
        <w:rPr>
          <w:rFonts w:ascii="Times" w:hAnsi="Times" w:cs="Calibri"/>
        </w:rPr>
        <w:t>imri</w:t>
      </w:r>
      <w:proofErr w:type="spellEnd"/>
      <w:r>
        <w:rPr>
          <w:rFonts w:ascii="Times" w:hAnsi="Times" w:cs="Calibri"/>
        </w:rPr>
        <w:t xml:space="preserve"> M.</w:t>
      </w:r>
      <w:r w:rsidR="00923911" w:rsidRPr="00923911">
        <w:rPr>
          <w:rFonts w:ascii="Times" w:hAnsi="Times" w:cs="Calibri"/>
        </w:rPr>
        <w:t xml:space="preserve">, </w:t>
      </w:r>
      <w:r>
        <w:rPr>
          <w:rFonts w:ascii="Times" w:hAnsi="Times" w:cs="Calibri"/>
        </w:rPr>
        <w:t>Legros</w:t>
      </w:r>
      <w:r w:rsidR="00923911" w:rsidRPr="00923911">
        <w:rPr>
          <w:rFonts w:ascii="Times" w:hAnsi="Times" w:cs="Calibri"/>
        </w:rPr>
        <w:t xml:space="preserve"> </w:t>
      </w:r>
      <w:r>
        <w:rPr>
          <w:rFonts w:ascii="Times" w:hAnsi="Times" w:cs="Calibri"/>
        </w:rPr>
        <w:t>P. (</w:t>
      </w:r>
      <w:r w:rsidR="00923911" w:rsidRPr="00923911">
        <w:rPr>
          <w:rFonts w:ascii="Times" w:hAnsi="Times" w:cs="Calibri"/>
        </w:rPr>
        <w:t>2021</w:t>
      </w:r>
      <w:r>
        <w:rPr>
          <w:rFonts w:ascii="Times" w:hAnsi="Times" w:cs="Calibri"/>
        </w:rPr>
        <w:t>)</w:t>
      </w:r>
      <w:r w:rsidR="00923911" w:rsidRPr="00923911">
        <w:rPr>
          <w:rFonts w:ascii="Times" w:hAnsi="Times" w:cs="Calibri"/>
        </w:rPr>
        <w:t xml:space="preserve">, </w:t>
      </w:r>
      <w:r w:rsidR="00923911" w:rsidRPr="00923911">
        <w:rPr>
          <w:rFonts w:ascii="Times" w:hAnsi="Times" w:cs="Calibri"/>
          <w:i/>
          <w:iCs/>
        </w:rPr>
        <w:t>La digitalisation du service public. Pour une éthique numérique inclusive</w:t>
      </w:r>
      <w:r w:rsidR="00923911" w:rsidRPr="00923911">
        <w:rPr>
          <w:rFonts w:ascii="Times" w:hAnsi="Times" w:cs="Calibri"/>
        </w:rPr>
        <w:t>, Paris, Livre blanc de l'Observatoire de l'éthique publique.</w:t>
      </w:r>
    </w:p>
    <w:p w14:paraId="09C23459" w14:textId="18517FEF" w:rsidR="00923911" w:rsidRPr="00796FFB" w:rsidRDefault="00923911" w:rsidP="004A46A3">
      <w:pPr>
        <w:spacing w:line="360" w:lineRule="auto"/>
        <w:ind w:left="284" w:hanging="284"/>
        <w:jc w:val="both"/>
        <w:rPr>
          <w:rFonts w:ascii="Times" w:hAnsi="Times" w:cs="Calibri"/>
        </w:rPr>
      </w:pPr>
      <w:proofErr w:type="spellStart"/>
      <w:r>
        <w:rPr>
          <w:rFonts w:ascii="Times" w:hAnsi="Times" w:cs="Calibri"/>
        </w:rPr>
        <w:t>L</w:t>
      </w:r>
      <w:r w:rsidR="000F09B2">
        <w:rPr>
          <w:rFonts w:ascii="Times" w:hAnsi="Times" w:cs="Calibri"/>
        </w:rPr>
        <w:t>oquin</w:t>
      </w:r>
      <w:proofErr w:type="spellEnd"/>
      <w:r>
        <w:rPr>
          <w:rFonts w:ascii="Times" w:hAnsi="Times" w:cs="Calibri"/>
        </w:rPr>
        <w:t xml:space="preserve"> </w:t>
      </w:r>
      <w:r w:rsidR="000F09B2">
        <w:rPr>
          <w:rFonts w:ascii="Times" w:hAnsi="Times" w:cs="Calibri"/>
        </w:rPr>
        <w:t>E. (</w:t>
      </w:r>
      <w:r>
        <w:rPr>
          <w:rFonts w:ascii="Times" w:hAnsi="Times" w:cs="Calibri"/>
        </w:rPr>
        <w:t>2022</w:t>
      </w:r>
      <w:r w:rsidR="000F09B2">
        <w:rPr>
          <w:rFonts w:ascii="Times" w:hAnsi="Times" w:cs="Calibri"/>
        </w:rPr>
        <w:t>)</w:t>
      </w:r>
      <w:r>
        <w:rPr>
          <w:rFonts w:ascii="Times" w:hAnsi="Times" w:cs="Calibri"/>
        </w:rPr>
        <w:t xml:space="preserve">, « L’adaptation de la procédure arbitrale à la pandémie de Covid par le droit français de l’arbitrage interne et international et par la pratique arbitrale », </w:t>
      </w:r>
      <w:r>
        <w:rPr>
          <w:rFonts w:ascii="Times" w:hAnsi="Times" w:cs="Calibri"/>
          <w:i/>
          <w:iCs/>
        </w:rPr>
        <w:t xml:space="preserve">in </w:t>
      </w:r>
      <w:r w:rsidR="000F09B2">
        <w:rPr>
          <w:rFonts w:ascii="Times" w:hAnsi="Times" w:cs="Calibri"/>
        </w:rPr>
        <w:t xml:space="preserve">R. Maurel, </w:t>
      </w:r>
      <w:proofErr w:type="spellStart"/>
      <w:r w:rsidR="000F09B2">
        <w:rPr>
          <w:rFonts w:ascii="Times" w:hAnsi="Times" w:cs="Calibri"/>
        </w:rPr>
        <w:t>dir</w:t>
      </w:r>
      <w:proofErr w:type="spellEnd"/>
      <w:r w:rsidR="000F09B2">
        <w:rPr>
          <w:rFonts w:ascii="Times" w:hAnsi="Times" w:cs="Calibri"/>
        </w:rPr>
        <w:t>.,</w:t>
      </w:r>
      <w:r>
        <w:rPr>
          <w:rFonts w:ascii="Times" w:hAnsi="Times" w:cs="Calibri"/>
        </w:rPr>
        <w:t xml:space="preserve"> </w:t>
      </w:r>
      <w:r w:rsidR="004A46A3">
        <w:rPr>
          <w:rFonts w:ascii="Times" w:hAnsi="Times" w:cs="Calibri"/>
          <w:i/>
          <w:iCs/>
        </w:rPr>
        <w:t xml:space="preserve">op. </w:t>
      </w:r>
      <w:proofErr w:type="spellStart"/>
      <w:proofErr w:type="gramStart"/>
      <w:r w:rsidR="004A46A3">
        <w:rPr>
          <w:rFonts w:ascii="Times" w:hAnsi="Times" w:cs="Calibri"/>
          <w:i/>
          <w:iCs/>
        </w:rPr>
        <w:t>cit</w:t>
      </w:r>
      <w:proofErr w:type="spellEnd"/>
      <w:proofErr w:type="gramEnd"/>
      <w:r>
        <w:rPr>
          <w:rFonts w:ascii="Times" w:hAnsi="Times" w:cs="Calibri"/>
        </w:rPr>
        <w:t>.</w:t>
      </w:r>
    </w:p>
    <w:p w14:paraId="31135BBA" w14:textId="1704FA08" w:rsidR="00796FFB" w:rsidRDefault="00796FFB" w:rsidP="004A46A3">
      <w:pPr>
        <w:spacing w:line="360" w:lineRule="auto"/>
        <w:ind w:left="284" w:hanging="284"/>
        <w:jc w:val="both"/>
        <w:rPr>
          <w:rFonts w:ascii="Times" w:hAnsi="Times" w:cs="Calibri"/>
        </w:rPr>
      </w:pPr>
      <w:r>
        <w:rPr>
          <w:rFonts w:ascii="Times" w:hAnsi="Times" w:cs="Calibri"/>
        </w:rPr>
        <w:t>M</w:t>
      </w:r>
      <w:r w:rsidR="000F09B2">
        <w:rPr>
          <w:rFonts w:ascii="Times" w:hAnsi="Times" w:cs="Calibri"/>
        </w:rPr>
        <w:t>aurel R.</w:t>
      </w:r>
      <w:r>
        <w:rPr>
          <w:rFonts w:ascii="Times" w:hAnsi="Times" w:cs="Calibri"/>
        </w:rPr>
        <w:t xml:space="preserve"> (2022</w:t>
      </w:r>
      <w:r w:rsidR="000F09B2">
        <w:rPr>
          <w:rFonts w:ascii="Times" w:hAnsi="Times" w:cs="Calibri"/>
        </w:rPr>
        <w:t>)</w:t>
      </w:r>
      <w:r>
        <w:rPr>
          <w:rFonts w:ascii="Times" w:hAnsi="Times" w:cs="Calibri"/>
        </w:rPr>
        <w:t xml:space="preserve">, </w:t>
      </w:r>
      <w:r>
        <w:rPr>
          <w:rFonts w:ascii="Times" w:hAnsi="Times" w:cs="Calibri"/>
          <w:i/>
          <w:iCs/>
        </w:rPr>
        <w:t>L’adaptation des procédures contentieuses en temps de pandémie. Comparaison internationale et limites éthiques</w:t>
      </w:r>
      <w:r>
        <w:rPr>
          <w:rFonts w:ascii="Times" w:hAnsi="Times" w:cs="Calibri"/>
        </w:rPr>
        <w:t xml:space="preserve">, </w:t>
      </w:r>
      <w:r w:rsidR="003D2F3F">
        <w:rPr>
          <w:rFonts w:ascii="Times" w:hAnsi="Times" w:cs="Calibri"/>
        </w:rPr>
        <w:t>Bruxelles, Bruylant.</w:t>
      </w:r>
    </w:p>
    <w:p w14:paraId="48D26AC4" w14:textId="51882339" w:rsidR="00F3222A" w:rsidRDefault="00F3222A" w:rsidP="004A46A3">
      <w:pPr>
        <w:spacing w:line="360" w:lineRule="auto"/>
        <w:ind w:left="284" w:hanging="284"/>
        <w:jc w:val="both"/>
        <w:rPr>
          <w:rFonts w:ascii="Times" w:hAnsi="Times" w:cs="Calibri"/>
        </w:rPr>
      </w:pPr>
      <w:proofErr w:type="spellStart"/>
      <w:r>
        <w:rPr>
          <w:rFonts w:ascii="Times" w:hAnsi="Times" w:cs="Calibri"/>
        </w:rPr>
        <w:lastRenderedPageBreak/>
        <w:t>M</w:t>
      </w:r>
      <w:r w:rsidR="000F09B2">
        <w:rPr>
          <w:rFonts w:ascii="Times" w:hAnsi="Times" w:cs="Calibri"/>
        </w:rPr>
        <w:t>etou</w:t>
      </w:r>
      <w:proofErr w:type="spellEnd"/>
      <w:r>
        <w:rPr>
          <w:rFonts w:ascii="Times" w:hAnsi="Times" w:cs="Calibri"/>
        </w:rPr>
        <w:t xml:space="preserve"> </w:t>
      </w:r>
      <w:r w:rsidR="000F09B2">
        <w:rPr>
          <w:rFonts w:ascii="Times" w:hAnsi="Times" w:cs="Calibri"/>
        </w:rPr>
        <w:t>B. M.</w:t>
      </w:r>
      <w:r w:rsidR="004A46A3">
        <w:rPr>
          <w:rFonts w:ascii="Times" w:hAnsi="Times" w:cs="Calibri"/>
        </w:rPr>
        <w:t xml:space="preserve"> (</w:t>
      </w:r>
      <w:r>
        <w:rPr>
          <w:rFonts w:ascii="Times" w:hAnsi="Times" w:cs="Calibri"/>
        </w:rPr>
        <w:t>2022</w:t>
      </w:r>
      <w:r w:rsidR="004A46A3">
        <w:rPr>
          <w:rFonts w:ascii="Times" w:hAnsi="Times" w:cs="Calibri"/>
        </w:rPr>
        <w:t>)</w:t>
      </w:r>
      <w:r>
        <w:rPr>
          <w:rFonts w:ascii="Times" w:hAnsi="Times" w:cs="Calibri"/>
        </w:rPr>
        <w:t xml:space="preserve">, « L’adaptation des juridictions camerounaises », </w:t>
      </w:r>
      <w:r>
        <w:rPr>
          <w:rFonts w:ascii="Times" w:hAnsi="Times" w:cs="Calibri"/>
          <w:i/>
          <w:iCs/>
        </w:rPr>
        <w:t xml:space="preserve">in </w:t>
      </w:r>
      <w:r w:rsidR="000F09B2">
        <w:rPr>
          <w:rFonts w:ascii="Times" w:hAnsi="Times" w:cs="Calibri"/>
        </w:rPr>
        <w:t xml:space="preserve">R. Maurel, </w:t>
      </w:r>
      <w:proofErr w:type="spellStart"/>
      <w:r w:rsidR="000F09B2">
        <w:rPr>
          <w:rFonts w:ascii="Times" w:hAnsi="Times" w:cs="Calibri"/>
        </w:rPr>
        <w:t>dir</w:t>
      </w:r>
      <w:proofErr w:type="spellEnd"/>
      <w:r w:rsidR="000F09B2">
        <w:rPr>
          <w:rFonts w:ascii="Times" w:hAnsi="Times" w:cs="Calibri"/>
        </w:rPr>
        <w:t>.,</w:t>
      </w:r>
      <w:r>
        <w:rPr>
          <w:rFonts w:ascii="Times" w:hAnsi="Times" w:cs="Calibri"/>
        </w:rPr>
        <w:t xml:space="preserve"> </w:t>
      </w:r>
      <w:r w:rsidR="004A46A3">
        <w:rPr>
          <w:rFonts w:ascii="Times" w:hAnsi="Times" w:cs="Calibri"/>
          <w:i/>
          <w:iCs/>
        </w:rPr>
        <w:t xml:space="preserve">op. </w:t>
      </w:r>
      <w:proofErr w:type="spellStart"/>
      <w:proofErr w:type="gramStart"/>
      <w:r w:rsidR="004A46A3">
        <w:rPr>
          <w:rFonts w:ascii="Times" w:hAnsi="Times" w:cs="Calibri"/>
          <w:i/>
          <w:iCs/>
        </w:rPr>
        <w:t>cit</w:t>
      </w:r>
      <w:proofErr w:type="spellEnd"/>
      <w:proofErr w:type="gramEnd"/>
      <w:r>
        <w:rPr>
          <w:rFonts w:ascii="Times" w:hAnsi="Times" w:cs="Calibri"/>
        </w:rPr>
        <w:t>.</w:t>
      </w:r>
    </w:p>
    <w:p w14:paraId="1AD4C393" w14:textId="3B07B751" w:rsidR="00EC6421" w:rsidRDefault="004A46A3" w:rsidP="004A46A3">
      <w:pPr>
        <w:spacing w:line="360" w:lineRule="auto"/>
        <w:ind w:left="284" w:hanging="284"/>
        <w:jc w:val="both"/>
        <w:rPr>
          <w:rFonts w:ascii="Times" w:hAnsi="Times" w:cs="Calibri"/>
        </w:rPr>
      </w:pPr>
      <w:proofErr w:type="spellStart"/>
      <w:r>
        <w:rPr>
          <w:rFonts w:ascii="Times" w:hAnsi="Times"/>
          <w:smallCaps/>
        </w:rPr>
        <w:t>N</w:t>
      </w:r>
      <w:r w:rsidRPr="004A46A3">
        <w:rPr>
          <w:rFonts w:ascii="Times New Roman" w:hAnsi="Times New Roman" w:cs="Times New Roman (Corps CS)"/>
        </w:rPr>
        <w:t>abat</w:t>
      </w:r>
      <w:proofErr w:type="spellEnd"/>
      <w:r w:rsidRPr="004A46A3">
        <w:rPr>
          <w:rFonts w:ascii="Times New Roman" w:hAnsi="Times New Roman" w:cs="Times New Roman (Corps CS)"/>
        </w:rPr>
        <w:t xml:space="preserve"> </w:t>
      </w:r>
      <w:r w:rsidR="00EC6421" w:rsidRPr="00EC6421">
        <w:rPr>
          <w:rFonts w:ascii="Times" w:hAnsi="Times"/>
        </w:rPr>
        <w:t>Y</w:t>
      </w:r>
      <w:r>
        <w:rPr>
          <w:rFonts w:ascii="Times" w:hAnsi="Times"/>
        </w:rPr>
        <w:t>.</w:t>
      </w:r>
      <w:r w:rsidR="00EC6421">
        <w:rPr>
          <w:rFonts w:ascii="Times" w:hAnsi="Times"/>
        </w:rPr>
        <w:t>,</w:t>
      </w:r>
      <w:r w:rsidR="00EC6421" w:rsidRPr="00796FFB">
        <w:rPr>
          <w:rFonts w:ascii="Times" w:hAnsi="Times"/>
        </w:rPr>
        <w:t xml:space="preserve"> </w:t>
      </w:r>
      <w:r w:rsidR="00EC6421">
        <w:rPr>
          <w:rFonts w:ascii="Times" w:hAnsi="Times"/>
        </w:rPr>
        <w:t xml:space="preserve">2021, </w:t>
      </w:r>
      <w:r w:rsidR="00EC6421" w:rsidRPr="00796FFB">
        <w:rPr>
          <w:rFonts w:ascii="Times" w:hAnsi="Times"/>
        </w:rPr>
        <w:t xml:space="preserve">« Les risques de l’avènement de nouvelles formes numériques de surveillance sanitaire », </w:t>
      </w:r>
      <w:r w:rsidR="00EC6421" w:rsidRPr="00796FFB">
        <w:rPr>
          <w:rFonts w:ascii="Times" w:hAnsi="Times"/>
          <w:i/>
        </w:rPr>
        <w:t>The Conversation</w:t>
      </w:r>
      <w:r w:rsidR="00EC6421">
        <w:rPr>
          <w:rFonts w:ascii="Times" w:hAnsi="Times"/>
        </w:rPr>
        <w:t>.</w:t>
      </w:r>
    </w:p>
    <w:p w14:paraId="66CD91C3" w14:textId="0DF4FE00" w:rsidR="00796FFB" w:rsidRDefault="00796FFB" w:rsidP="004A46A3">
      <w:pPr>
        <w:spacing w:line="360" w:lineRule="auto"/>
        <w:ind w:left="284" w:hanging="284"/>
        <w:jc w:val="both"/>
        <w:rPr>
          <w:rFonts w:ascii="Times" w:hAnsi="Times" w:cs="Calibri"/>
        </w:rPr>
      </w:pPr>
      <w:r>
        <w:rPr>
          <w:rFonts w:ascii="Times" w:hAnsi="Times" w:cs="Calibri"/>
        </w:rPr>
        <w:t>P</w:t>
      </w:r>
      <w:r w:rsidR="004A46A3">
        <w:rPr>
          <w:rFonts w:ascii="Times" w:hAnsi="Times" w:cs="Calibri"/>
        </w:rPr>
        <w:t>ierron J.-P. (2022)</w:t>
      </w:r>
      <w:r>
        <w:rPr>
          <w:rFonts w:ascii="Times" w:hAnsi="Times" w:cs="Calibri"/>
        </w:rPr>
        <w:t xml:space="preserve">, </w:t>
      </w:r>
      <w:r w:rsidR="00D93EBC">
        <w:rPr>
          <w:rFonts w:ascii="Times" w:hAnsi="Times" w:cs="Calibri"/>
        </w:rPr>
        <w:t xml:space="preserve">« Le rapport de la procédure à l’exception : l’adaptation au service de quelle éthique ? », </w:t>
      </w:r>
      <w:r w:rsidR="00D93EBC" w:rsidRPr="004A46A3">
        <w:rPr>
          <w:rFonts w:ascii="Times" w:hAnsi="Times" w:cs="Calibri"/>
          <w:i/>
          <w:iCs/>
        </w:rPr>
        <w:t>in</w:t>
      </w:r>
      <w:r w:rsidR="004A46A3" w:rsidRPr="004A46A3">
        <w:rPr>
          <w:rFonts w:ascii="Times" w:hAnsi="Times" w:cs="Calibri"/>
        </w:rPr>
        <w:t xml:space="preserve"> R. Maurel, </w:t>
      </w:r>
      <w:proofErr w:type="spellStart"/>
      <w:r w:rsidR="004A46A3" w:rsidRPr="004A46A3">
        <w:rPr>
          <w:rFonts w:ascii="Times" w:hAnsi="Times" w:cs="Calibri"/>
        </w:rPr>
        <w:t>dir</w:t>
      </w:r>
      <w:proofErr w:type="spellEnd"/>
      <w:r w:rsidR="004A46A3" w:rsidRPr="004A46A3">
        <w:rPr>
          <w:rFonts w:ascii="Times" w:hAnsi="Times" w:cs="Calibri"/>
        </w:rPr>
        <w:t>.,</w:t>
      </w:r>
      <w:r w:rsidR="004A46A3">
        <w:rPr>
          <w:rFonts w:ascii="Times" w:hAnsi="Times" w:cs="Calibri"/>
          <w:i/>
          <w:iCs/>
        </w:rPr>
        <w:t xml:space="preserve"> op. </w:t>
      </w:r>
      <w:proofErr w:type="spellStart"/>
      <w:proofErr w:type="gramStart"/>
      <w:r w:rsidR="004A46A3">
        <w:rPr>
          <w:rFonts w:ascii="Times" w:hAnsi="Times" w:cs="Calibri"/>
          <w:i/>
          <w:iCs/>
        </w:rPr>
        <w:t>cit</w:t>
      </w:r>
      <w:proofErr w:type="spellEnd"/>
      <w:proofErr w:type="gramEnd"/>
      <w:r w:rsidR="004A46A3">
        <w:rPr>
          <w:rFonts w:ascii="Times" w:hAnsi="Times" w:cs="Calibri"/>
          <w:i/>
          <w:iCs/>
        </w:rPr>
        <w:t>.</w:t>
      </w:r>
      <w:r w:rsidR="00D93EBC">
        <w:rPr>
          <w:rFonts w:ascii="Times" w:hAnsi="Times" w:cs="Calibri"/>
          <w:i/>
          <w:iCs/>
        </w:rPr>
        <w:t xml:space="preserve"> </w:t>
      </w:r>
    </w:p>
    <w:p w14:paraId="0060EB98" w14:textId="06796367" w:rsidR="004A46A3" w:rsidRDefault="004A46A3" w:rsidP="004A46A3">
      <w:pPr>
        <w:spacing w:line="360" w:lineRule="auto"/>
        <w:ind w:left="284" w:hanging="284"/>
        <w:jc w:val="both"/>
        <w:rPr>
          <w:rFonts w:ascii="Times" w:hAnsi="Times" w:cs="Calibri"/>
        </w:rPr>
      </w:pPr>
      <w:r>
        <w:rPr>
          <w:rFonts w:ascii="Times" w:hAnsi="Times" w:cs="Calibri"/>
        </w:rPr>
        <w:t xml:space="preserve">Thevenot-Werner </w:t>
      </w:r>
      <w:r w:rsidR="00923911">
        <w:rPr>
          <w:rFonts w:ascii="Times" w:hAnsi="Times" w:cs="Calibri"/>
        </w:rPr>
        <w:t>A</w:t>
      </w:r>
      <w:r>
        <w:rPr>
          <w:rFonts w:ascii="Times" w:hAnsi="Times" w:cs="Calibri"/>
        </w:rPr>
        <w:t>.</w:t>
      </w:r>
      <w:r w:rsidR="00923911">
        <w:rPr>
          <w:rFonts w:ascii="Times" w:hAnsi="Times" w:cs="Calibri"/>
        </w:rPr>
        <w:t>-M</w:t>
      </w:r>
      <w:r>
        <w:rPr>
          <w:rFonts w:ascii="Times" w:hAnsi="Times" w:cs="Calibri"/>
        </w:rPr>
        <w:t>. (</w:t>
      </w:r>
      <w:r w:rsidR="00923911">
        <w:rPr>
          <w:rFonts w:ascii="Times" w:hAnsi="Times" w:cs="Calibri"/>
        </w:rPr>
        <w:t>2022</w:t>
      </w:r>
      <w:r>
        <w:rPr>
          <w:rFonts w:ascii="Times" w:hAnsi="Times" w:cs="Calibri"/>
        </w:rPr>
        <w:t>)</w:t>
      </w:r>
      <w:r w:rsidR="00923911">
        <w:rPr>
          <w:rFonts w:ascii="Times" w:hAnsi="Times" w:cs="Calibri"/>
        </w:rPr>
        <w:t xml:space="preserve">, « L’adaptation des tribunaux administratifs internationaux à la pandémie », </w:t>
      </w:r>
      <w:r w:rsidRPr="004A46A3">
        <w:rPr>
          <w:rFonts w:ascii="Times" w:hAnsi="Times" w:cs="Calibri"/>
          <w:i/>
          <w:iCs/>
        </w:rPr>
        <w:t>in</w:t>
      </w:r>
      <w:r w:rsidRPr="004A46A3">
        <w:rPr>
          <w:rFonts w:ascii="Times" w:hAnsi="Times" w:cs="Calibri"/>
        </w:rPr>
        <w:t xml:space="preserve"> R. Maurel, </w:t>
      </w:r>
      <w:proofErr w:type="spellStart"/>
      <w:r w:rsidRPr="004A46A3">
        <w:rPr>
          <w:rFonts w:ascii="Times" w:hAnsi="Times" w:cs="Calibri"/>
        </w:rPr>
        <w:t>dir</w:t>
      </w:r>
      <w:proofErr w:type="spellEnd"/>
      <w:r w:rsidRPr="004A46A3">
        <w:rPr>
          <w:rFonts w:ascii="Times" w:hAnsi="Times" w:cs="Calibri"/>
        </w:rPr>
        <w:t>.,</w:t>
      </w:r>
      <w:r>
        <w:rPr>
          <w:rFonts w:ascii="Times" w:hAnsi="Times" w:cs="Calibri"/>
          <w:i/>
          <w:iCs/>
        </w:rPr>
        <w:t xml:space="preserve"> op. </w:t>
      </w:r>
      <w:proofErr w:type="spellStart"/>
      <w:proofErr w:type="gramStart"/>
      <w:r>
        <w:rPr>
          <w:rFonts w:ascii="Times" w:hAnsi="Times" w:cs="Calibri"/>
          <w:i/>
          <w:iCs/>
        </w:rPr>
        <w:t>cit</w:t>
      </w:r>
      <w:proofErr w:type="spellEnd"/>
      <w:proofErr w:type="gramEnd"/>
      <w:r>
        <w:rPr>
          <w:rFonts w:ascii="Times" w:hAnsi="Times" w:cs="Calibri"/>
          <w:i/>
          <w:iCs/>
        </w:rPr>
        <w:t xml:space="preserve">. </w:t>
      </w:r>
    </w:p>
    <w:p w14:paraId="25EA8DEE" w14:textId="1B4754F5" w:rsidR="004A46A3" w:rsidRDefault="00F3222A" w:rsidP="004A46A3">
      <w:pPr>
        <w:spacing w:line="360" w:lineRule="auto"/>
        <w:ind w:left="284" w:hanging="284"/>
        <w:jc w:val="both"/>
        <w:rPr>
          <w:rFonts w:ascii="Times" w:hAnsi="Times" w:cs="Calibri"/>
        </w:rPr>
      </w:pPr>
      <w:proofErr w:type="spellStart"/>
      <w:r>
        <w:rPr>
          <w:rFonts w:ascii="Times" w:hAnsi="Times" w:cs="Calibri"/>
        </w:rPr>
        <w:t>T</w:t>
      </w:r>
      <w:r w:rsidR="004A46A3">
        <w:rPr>
          <w:rFonts w:ascii="Times" w:hAnsi="Times" w:cs="Calibri"/>
        </w:rPr>
        <w:t>onetto</w:t>
      </w:r>
      <w:proofErr w:type="spellEnd"/>
      <w:r>
        <w:rPr>
          <w:rFonts w:ascii="Times" w:hAnsi="Times" w:cs="Calibri"/>
        </w:rPr>
        <w:t xml:space="preserve"> F</w:t>
      </w:r>
      <w:r w:rsidR="004A46A3">
        <w:rPr>
          <w:rFonts w:ascii="Times" w:hAnsi="Times" w:cs="Calibri"/>
        </w:rPr>
        <w:t>. (</w:t>
      </w:r>
      <w:r>
        <w:rPr>
          <w:rFonts w:ascii="Times" w:hAnsi="Times" w:cs="Calibri"/>
        </w:rPr>
        <w:t>2022</w:t>
      </w:r>
      <w:r w:rsidR="004A46A3">
        <w:rPr>
          <w:rFonts w:ascii="Times" w:hAnsi="Times" w:cs="Calibri"/>
        </w:rPr>
        <w:t>)</w:t>
      </w:r>
      <w:r>
        <w:rPr>
          <w:rFonts w:ascii="Times" w:hAnsi="Times" w:cs="Calibri"/>
        </w:rPr>
        <w:t xml:space="preserve">, « Le rôle de la Cour suprême du Brésil dans le contexte de la pandémie de la Covid-19 », </w:t>
      </w:r>
      <w:r w:rsidR="004A46A3" w:rsidRPr="004A46A3">
        <w:rPr>
          <w:rFonts w:ascii="Times" w:hAnsi="Times" w:cs="Calibri"/>
          <w:i/>
          <w:iCs/>
        </w:rPr>
        <w:t>in</w:t>
      </w:r>
      <w:r w:rsidR="004A46A3" w:rsidRPr="004A46A3">
        <w:rPr>
          <w:rFonts w:ascii="Times" w:hAnsi="Times" w:cs="Calibri"/>
        </w:rPr>
        <w:t xml:space="preserve"> R. Maurel, </w:t>
      </w:r>
      <w:proofErr w:type="spellStart"/>
      <w:r w:rsidR="004A46A3" w:rsidRPr="004A46A3">
        <w:rPr>
          <w:rFonts w:ascii="Times" w:hAnsi="Times" w:cs="Calibri"/>
        </w:rPr>
        <w:t>dir</w:t>
      </w:r>
      <w:proofErr w:type="spellEnd"/>
      <w:r w:rsidR="004A46A3" w:rsidRPr="004A46A3">
        <w:rPr>
          <w:rFonts w:ascii="Times" w:hAnsi="Times" w:cs="Calibri"/>
        </w:rPr>
        <w:t>.,</w:t>
      </w:r>
      <w:r w:rsidR="004A46A3">
        <w:rPr>
          <w:rFonts w:ascii="Times" w:hAnsi="Times" w:cs="Calibri"/>
          <w:i/>
          <w:iCs/>
        </w:rPr>
        <w:t xml:space="preserve"> op. </w:t>
      </w:r>
      <w:proofErr w:type="spellStart"/>
      <w:proofErr w:type="gramStart"/>
      <w:r w:rsidR="004A46A3">
        <w:rPr>
          <w:rFonts w:ascii="Times" w:hAnsi="Times" w:cs="Calibri"/>
          <w:i/>
          <w:iCs/>
        </w:rPr>
        <w:t>cit</w:t>
      </w:r>
      <w:proofErr w:type="spellEnd"/>
      <w:proofErr w:type="gramEnd"/>
      <w:r w:rsidR="004A46A3">
        <w:rPr>
          <w:rFonts w:ascii="Times" w:hAnsi="Times" w:cs="Calibri"/>
          <w:i/>
          <w:iCs/>
        </w:rPr>
        <w:t xml:space="preserve">. </w:t>
      </w:r>
    </w:p>
    <w:p w14:paraId="404D6F2A" w14:textId="3253A241" w:rsidR="00F3222A" w:rsidRPr="00D93EBC" w:rsidRDefault="00F3222A" w:rsidP="004A46A3">
      <w:pPr>
        <w:spacing w:line="360" w:lineRule="auto"/>
        <w:jc w:val="both"/>
        <w:rPr>
          <w:rFonts w:ascii="Times" w:hAnsi="Times" w:cs="Calibri"/>
        </w:rPr>
      </w:pPr>
    </w:p>
    <w:sectPr w:rsidR="00F3222A" w:rsidRPr="00D93EBC">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6E773" w14:textId="77777777" w:rsidR="00B16A75" w:rsidRDefault="00B16A75" w:rsidP="009205F6">
      <w:r>
        <w:separator/>
      </w:r>
    </w:p>
  </w:endnote>
  <w:endnote w:type="continuationSeparator" w:id="0">
    <w:p w14:paraId="6A8B821E" w14:textId="77777777" w:rsidR="00B16A75" w:rsidRDefault="00B16A75" w:rsidP="0092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altName w:val="Sylfaen"/>
    <w:panose1 w:val="00000500000000020000"/>
    <w:charset w:val="00"/>
    <w:family w:val="auto"/>
    <w:pitch w:val="variable"/>
    <w:sig w:usb0="E00002FF" w:usb1="5000205A" w:usb2="00000000" w:usb3="00000000" w:csb0="0000019F" w:csb1="00000000"/>
  </w:font>
  <w:font w:name="Times New Roman (Corps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78117062"/>
      <w:docPartObj>
        <w:docPartGallery w:val="Page Numbers (Bottom of Page)"/>
        <w:docPartUnique/>
      </w:docPartObj>
    </w:sdtPr>
    <w:sdtContent>
      <w:p w14:paraId="481EB0FE" w14:textId="2CA89AB6" w:rsidR="00E5134F" w:rsidRDefault="00E5134F" w:rsidP="004A46A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4A46A3">
          <w:rPr>
            <w:rStyle w:val="Numrodepage"/>
            <w:noProof/>
          </w:rPr>
          <w:t>7</w:t>
        </w:r>
        <w:r>
          <w:rPr>
            <w:rStyle w:val="Numrodepage"/>
          </w:rPr>
          <w:fldChar w:fldCharType="end"/>
        </w:r>
      </w:p>
    </w:sdtContent>
  </w:sdt>
  <w:p w14:paraId="61FFA7AF" w14:textId="77777777" w:rsidR="00E5134F" w:rsidRDefault="00E5134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Fonts w:ascii="Times New Roman" w:hAnsi="Times New Roman" w:cs="Times New Roman"/>
      </w:rPr>
      <w:id w:val="1856534378"/>
      <w:docPartObj>
        <w:docPartGallery w:val="Page Numbers (Bottom of Page)"/>
        <w:docPartUnique/>
      </w:docPartObj>
    </w:sdtPr>
    <w:sdtContent>
      <w:p w14:paraId="07BE9C47" w14:textId="25585864" w:rsidR="004A46A3" w:rsidRPr="004A46A3" w:rsidRDefault="004A46A3" w:rsidP="00710E45">
        <w:pPr>
          <w:pStyle w:val="Pieddepage"/>
          <w:framePr w:wrap="none" w:vAnchor="text" w:hAnchor="margin" w:xAlign="center" w:y="1"/>
          <w:rPr>
            <w:rStyle w:val="Numrodepage"/>
            <w:rFonts w:ascii="Times New Roman" w:hAnsi="Times New Roman" w:cs="Times New Roman"/>
          </w:rPr>
        </w:pPr>
        <w:r w:rsidRPr="004A46A3">
          <w:rPr>
            <w:rStyle w:val="Numrodepage"/>
            <w:rFonts w:ascii="Times New Roman" w:hAnsi="Times New Roman" w:cs="Times New Roman"/>
          </w:rPr>
          <w:fldChar w:fldCharType="begin"/>
        </w:r>
        <w:r w:rsidRPr="004A46A3">
          <w:rPr>
            <w:rStyle w:val="Numrodepage"/>
            <w:rFonts w:ascii="Times New Roman" w:hAnsi="Times New Roman" w:cs="Times New Roman"/>
          </w:rPr>
          <w:instrText xml:space="preserve"> PAGE </w:instrText>
        </w:r>
        <w:r w:rsidRPr="004A46A3">
          <w:rPr>
            <w:rStyle w:val="Numrodepage"/>
            <w:rFonts w:ascii="Times New Roman" w:hAnsi="Times New Roman" w:cs="Times New Roman"/>
          </w:rPr>
          <w:fldChar w:fldCharType="separate"/>
        </w:r>
        <w:r w:rsidRPr="004A46A3">
          <w:rPr>
            <w:rStyle w:val="Numrodepage"/>
            <w:rFonts w:ascii="Times New Roman" w:hAnsi="Times New Roman" w:cs="Times New Roman"/>
            <w:noProof/>
          </w:rPr>
          <w:t>7</w:t>
        </w:r>
        <w:r w:rsidRPr="004A46A3">
          <w:rPr>
            <w:rStyle w:val="Numrodepage"/>
            <w:rFonts w:ascii="Times New Roman" w:hAnsi="Times New Roman" w:cs="Times New Roman"/>
          </w:rPr>
          <w:fldChar w:fldCharType="end"/>
        </w:r>
      </w:p>
    </w:sdtContent>
  </w:sdt>
  <w:p w14:paraId="448D1D02" w14:textId="77777777" w:rsidR="004A46A3" w:rsidRDefault="004A46A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86E1C" w14:textId="77777777" w:rsidR="00B16A75" w:rsidRDefault="00B16A75" w:rsidP="009205F6">
      <w:r>
        <w:separator/>
      </w:r>
    </w:p>
  </w:footnote>
  <w:footnote w:type="continuationSeparator" w:id="0">
    <w:p w14:paraId="378E39E8" w14:textId="77777777" w:rsidR="00B16A75" w:rsidRDefault="00B16A75" w:rsidP="009205F6">
      <w:r>
        <w:continuationSeparator/>
      </w:r>
    </w:p>
  </w:footnote>
  <w:footnote w:id="1">
    <w:p w14:paraId="0C15FE30" w14:textId="2A8118AC" w:rsidR="000327F8" w:rsidRPr="000327F8" w:rsidRDefault="000327F8" w:rsidP="00B17CCF">
      <w:pPr>
        <w:pStyle w:val="Notedebasdepage0"/>
        <w:jc w:val="both"/>
        <w:rPr>
          <w:rFonts w:ascii="Times" w:hAnsi="Times"/>
        </w:rPr>
      </w:pPr>
      <w:r w:rsidRPr="000327F8">
        <w:rPr>
          <w:rStyle w:val="Appelnotedebasdep"/>
          <w:rFonts w:ascii="Times" w:hAnsi="Times"/>
        </w:rPr>
        <w:footnoteRef/>
      </w:r>
      <w:r w:rsidRPr="000327F8">
        <w:rPr>
          <w:rFonts w:ascii="Times" w:hAnsi="Times"/>
        </w:rPr>
        <w:t xml:space="preserve"> Les éléments qui suivent reprennent la dernière section des conclusions de l’ouvrage sur lequel s’appuie cette contribution. Ils ont été </w:t>
      </w:r>
      <w:proofErr w:type="spellStart"/>
      <w:r w:rsidRPr="000327F8">
        <w:rPr>
          <w:rFonts w:ascii="Times" w:hAnsi="Times"/>
        </w:rPr>
        <w:t>co-rédigés</w:t>
      </w:r>
      <w:proofErr w:type="spellEnd"/>
      <w:r w:rsidRPr="000327F8">
        <w:rPr>
          <w:rFonts w:ascii="Times" w:hAnsi="Times"/>
        </w:rPr>
        <w:t xml:space="preserve"> par </w:t>
      </w:r>
      <w:r w:rsidR="00BA4ACB">
        <w:rPr>
          <w:rFonts w:ascii="Times" w:hAnsi="Times"/>
        </w:rPr>
        <w:t>l’auteur de ce chapitre</w:t>
      </w:r>
      <w:r w:rsidRPr="000327F8">
        <w:rPr>
          <w:rFonts w:ascii="Times" w:hAnsi="Times"/>
        </w:rPr>
        <w:t xml:space="preserve"> et </w:t>
      </w:r>
      <w:proofErr w:type="spellStart"/>
      <w:r w:rsidRPr="000327F8">
        <w:rPr>
          <w:rFonts w:ascii="Times" w:hAnsi="Times"/>
        </w:rPr>
        <w:t>Moïze</w:t>
      </w:r>
      <w:proofErr w:type="spellEnd"/>
      <w:r w:rsidRPr="000327F8">
        <w:rPr>
          <w:rFonts w:ascii="Times" w:hAnsi="Times"/>
        </w:rPr>
        <w:t xml:space="preserve"> </w:t>
      </w:r>
      <w:proofErr w:type="spellStart"/>
      <w:r w:rsidRPr="000327F8">
        <w:rPr>
          <w:rFonts w:ascii="Times" w:hAnsi="Times"/>
        </w:rPr>
        <w:t>P</w:t>
      </w:r>
      <w:r w:rsidR="00F14DAC">
        <w:rPr>
          <w:rFonts w:ascii="Times" w:hAnsi="Times"/>
        </w:rPr>
        <w:t>ezet</w:t>
      </w:r>
      <w:proofErr w:type="spellEnd"/>
      <w:r w:rsidRPr="000327F8">
        <w:rPr>
          <w:rFonts w:ascii="Times" w:hAnsi="Times"/>
        </w:rPr>
        <w:t xml:space="preserve">, étudiant en M2 à l’Université Clermont Auvergne et stagiaire au </w:t>
      </w:r>
      <w:proofErr w:type="spellStart"/>
      <w:r w:rsidRPr="000327F8">
        <w:rPr>
          <w:rFonts w:ascii="Times" w:hAnsi="Times"/>
        </w:rPr>
        <w:t>C</w:t>
      </w:r>
      <w:r w:rsidR="00B17CCF">
        <w:rPr>
          <w:rFonts w:ascii="Times" w:hAnsi="Times"/>
        </w:rPr>
        <w:t>redimi</w:t>
      </w:r>
      <w:proofErr w:type="spellEnd"/>
      <w:r w:rsidRPr="000327F8">
        <w:rPr>
          <w:rFonts w:ascii="Times" w:hAnsi="Times"/>
        </w:rPr>
        <w:t xml:space="preserve"> en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F2A496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2012"/>
      <w:numFmt w:val="bullet"/>
      <w:lvlText w:val="-"/>
      <w:lvlJc w:val="left"/>
      <w:pPr>
        <w:tabs>
          <w:tab w:val="num" w:pos="0"/>
        </w:tabs>
        <w:ind w:left="1065" w:hanging="360"/>
      </w:pPr>
      <w:rPr>
        <w:rFonts w:ascii="Arial" w:hAnsi="Arial" w:cs="Arial"/>
        <w:sz w:val="22"/>
        <w:szCs w:val="22"/>
      </w:rPr>
    </w:lvl>
  </w:abstractNum>
  <w:abstractNum w:abstractNumId="2" w15:restartNumberingAfterBreak="0">
    <w:nsid w:val="6CF966FE"/>
    <w:multiLevelType w:val="hybridMultilevel"/>
    <w:tmpl w:val="9DB46932"/>
    <w:lvl w:ilvl="0" w:tplc="57444440">
      <w:start w:val="1"/>
      <w:numFmt w:val="decimal"/>
      <w:lvlText w:val="%1."/>
      <w:lvlJc w:val="left"/>
      <w:pPr>
        <w:ind w:left="644" w:hanging="360"/>
      </w:pPr>
      <w:rPr>
        <w:rFonts w:hint="default"/>
        <w:b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72475C79"/>
    <w:multiLevelType w:val="hybridMultilevel"/>
    <w:tmpl w:val="F7EEEA98"/>
    <w:lvl w:ilvl="0" w:tplc="60921DC2">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82991770">
    <w:abstractNumId w:val="2"/>
  </w:num>
  <w:num w:numId="2" w16cid:durableId="1241600656">
    <w:abstractNumId w:val="3"/>
  </w:num>
  <w:num w:numId="3" w16cid:durableId="79178803">
    <w:abstractNumId w:val="0"/>
  </w:num>
  <w:num w:numId="4" w16cid:durableId="967322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5F6"/>
    <w:rsid w:val="000327F8"/>
    <w:rsid w:val="0008263E"/>
    <w:rsid w:val="00093DB6"/>
    <w:rsid w:val="000F09B2"/>
    <w:rsid w:val="00193100"/>
    <w:rsid w:val="002A4553"/>
    <w:rsid w:val="00385C56"/>
    <w:rsid w:val="003D2F3F"/>
    <w:rsid w:val="00403742"/>
    <w:rsid w:val="00447DD1"/>
    <w:rsid w:val="00471787"/>
    <w:rsid w:val="00474080"/>
    <w:rsid w:val="0047764C"/>
    <w:rsid w:val="004A46A3"/>
    <w:rsid w:val="004D0D00"/>
    <w:rsid w:val="00520A04"/>
    <w:rsid w:val="00540DD9"/>
    <w:rsid w:val="005523AF"/>
    <w:rsid w:val="005A55EC"/>
    <w:rsid w:val="005D6852"/>
    <w:rsid w:val="006B6A17"/>
    <w:rsid w:val="006C13C9"/>
    <w:rsid w:val="00732358"/>
    <w:rsid w:val="007668AE"/>
    <w:rsid w:val="00796FFB"/>
    <w:rsid w:val="007D47D8"/>
    <w:rsid w:val="00830306"/>
    <w:rsid w:val="00877A5E"/>
    <w:rsid w:val="009205F6"/>
    <w:rsid w:val="00923911"/>
    <w:rsid w:val="009462D8"/>
    <w:rsid w:val="009D00D1"/>
    <w:rsid w:val="00AC0600"/>
    <w:rsid w:val="00B16A75"/>
    <w:rsid w:val="00B17CCF"/>
    <w:rsid w:val="00B67844"/>
    <w:rsid w:val="00BA4ACB"/>
    <w:rsid w:val="00C848E1"/>
    <w:rsid w:val="00CA3D0F"/>
    <w:rsid w:val="00CC7ACD"/>
    <w:rsid w:val="00CD5371"/>
    <w:rsid w:val="00CD62E9"/>
    <w:rsid w:val="00D0586B"/>
    <w:rsid w:val="00D25ED1"/>
    <w:rsid w:val="00D3073F"/>
    <w:rsid w:val="00D46986"/>
    <w:rsid w:val="00D52769"/>
    <w:rsid w:val="00D6104E"/>
    <w:rsid w:val="00D6675F"/>
    <w:rsid w:val="00D93EBC"/>
    <w:rsid w:val="00DC1F8C"/>
    <w:rsid w:val="00E5134F"/>
    <w:rsid w:val="00E9757D"/>
    <w:rsid w:val="00EA44D7"/>
    <w:rsid w:val="00EB2618"/>
    <w:rsid w:val="00EC2920"/>
    <w:rsid w:val="00EC6421"/>
    <w:rsid w:val="00F05991"/>
    <w:rsid w:val="00F10B42"/>
    <w:rsid w:val="00F14DAC"/>
    <w:rsid w:val="00F322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3A374"/>
  <w15:chartTrackingRefBased/>
  <w15:docId w15:val="{50CE5AB1-E624-ED44-81C9-5ADEC79E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9205F6"/>
    <w:rPr>
      <w:i/>
      <w:iCs/>
    </w:rPr>
  </w:style>
  <w:style w:type="paragraph" w:customStyle="1" w:styleId="Notedebasdepage">
    <w:name w:val="Notedebasdepage"/>
    <w:basedOn w:val="Notedebasdepage0"/>
    <w:link w:val="NotedebasdepageCar"/>
    <w:qFormat/>
    <w:rsid w:val="009205F6"/>
    <w:pPr>
      <w:jc w:val="both"/>
    </w:pPr>
    <w:rPr>
      <w:rFonts w:ascii="Times New Roman" w:hAnsi="Times New Roman" w:cs="Times New Roman"/>
      <w:iCs/>
      <w:color w:val="000000" w:themeColor="text1"/>
    </w:rPr>
  </w:style>
  <w:style w:type="character" w:customStyle="1" w:styleId="NotedebasdepageCar">
    <w:name w:val="Notedebasdepage Car"/>
    <w:basedOn w:val="Policepardfaut"/>
    <w:link w:val="Notedebasdepage"/>
    <w:rsid w:val="009205F6"/>
    <w:rPr>
      <w:rFonts w:ascii="Times New Roman" w:hAnsi="Times New Roman" w:cs="Times New Roman"/>
      <w:iCs/>
      <w:color w:val="000000" w:themeColor="text1"/>
      <w:sz w:val="20"/>
      <w:szCs w:val="20"/>
    </w:rPr>
  </w:style>
  <w:style w:type="character" w:styleId="Appelnotedebasdep">
    <w:name w:val="footnote reference"/>
    <w:aliases w:val="Ciae niinee-FN,FZ,Знак сноски-FN,Referencia nota al pie,JFR-Fußnotenzeichen,Ciae niinee 1,Çíàê ñíîñêè 1,Çíàê ñíîñêè-FN,Знак сноски 1,ftref,JFR-Fu?notenzeichen,Appel note de bas de page,Знак сноски Н,Ciae niinee I,Текст сновски,fr"/>
    <w:basedOn w:val="Policepardfaut"/>
    <w:link w:val="FootnotesrefssCaracterCaracterCaracterCaracterCaracterCaracterCaracterCaracter"/>
    <w:uiPriority w:val="99"/>
    <w:unhideWhenUsed/>
    <w:qFormat/>
    <w:rsid w:val="009205F6"/>
    <w:rPr>
      <w:vertAlign w:val="superscript"/>
    </w:rPr>
  </w:style>
  <w:style w:type="character" w:customStyle="1" w:styleId="Aucun">
    <w:name w:val="Aucun"/>
    <w:rsid w:val="009205F6"/>
    <w:rPr>
      <w:lang w:val="fr-FR"/>
    </w:rPr>
  </w:style>
  <w:style w:type="paragraph" w:customStyle="1" w:styleId="FootnotesrefssCaracterCaracterCaracterCaracterCaracterCaracterCaracterCaracter">
    <w:name w:val="Footnotes refss Caracter Caracter Caracter Caracter Caracter Caracter Caracter Caracter"/>
    <w:aliases w:val="Appel note de bas de p Caracter Caracter Caracter Caracter Caracter Caracter Caracter Caracter Caracter Caracter,Footnotes refss Caracter"/>
    <w:basedOn w:val="Normal"/>
    <w:link w:val="Appelnotedebasdep"/>
    <w:uiPriority w:val="99"/>
    <w:rsid w:val="009205F6"/>
    <w:pPr>
      <w:spacing w:after="160" w:line="240" w:lineRule="exact"/>
    </w:pPr>
    <w:rPr>
      <w:vertAlign w:val="superscript"/>
    </w:rPr>
  </w:style>
  <w:style w:type="paragraph" w:styleId="Notedebasdepage0">
    <w:name w:val="footnote text"/>
    <w:basedOn w:val="Normal"/>
    <w:link w:val="NotedebasdepageCar0"/>
    <w:uiPriority w:val="99"/>
    <w:semiHidden/>
    <w:unhideWhenUsed/>
    <w:rsid w:val="009205F6"/>
    <w:rPr>
      <w:sz w:val="20"/>
      <w:szCs w:val="20"/>
    </w:rPr>
  </w:style>
  <w:style w:type="character" w:customStyle="1" w:styleId="NotedebasdepageCar0">
    <w:name w:val="Note de bas de page Car"/>
    <w:basedOn w:val="Policepardfaut"/>
    <w:link w:val="Notedebasdepage0"/>
    <w:uiPriority w:val="99"/>
    <w:semiHidden/>
    <w:rsid w:val="009205F6"/>
    <w:rPr>
      <w:sz w:val="20"/>
      <w:szCs w:val="20"/>
    </w:rPr>
  </w:style>
  <w:style w:type="paragraph" w:styleId="Paragraphedeliste">
    <w:name w:val="List Paragraph"/>
    <w:basedOn w:val="Normal"/>
    <w:uiPriority w:val="34"/>
    <w:qFormat/>
    <w:rsid w:val="009D00D1"/>
    <w:pPr>
      <w:spacing w:after="120"/>
      <w:ind w:left="720" w:firstLine="284"/>
      <w:contextualSpacing/>
      <w:jc w:val="both"/>
    </w:pPr>
    <w:rPr>
      <w:rFonts w:ascii="Times New Roman" w:hAnsi="Times New Roman"/>
      <w:color w:val="000000" w:themeColor="text1"/>
    </w:rPr>
  </w:style>
  <w:style w:type="paragraph" w:customStyle="1" w:styleId="1Section">
    <w:name w:val="1. Section"/>
    <w:basedOn w:val="Normal"/>
    <w:link w:val="1SectionCar"/>
    <w:qFormat/>
    <w:rsid w:val="009D00D1"/>
    <w:pPr>
      <w:spacing w:after="120"/>
      <w:jc w:val="center"/>
      <w:outlineLvl w:val="3"/>
    </w:pPr>
    <w:rPr>
      <w:rFonts w:ascii="Times New Roman" w:hAnsi="Times New Roman" w:cs="Times New Roman"/>
      <w:color w:val="000000" w:themeColor="text1"/>
    </w:rPr>
  </w:style>
  <w:style w:type="character" w:customStyle="1" w:styleId="1SectionCar">
    <w:name w:val="1. Section Car"/>
    <w:basedOn w:val="Policepardfaut"/>
    <w:link w:val="1Section"/>
    <w:rsid w:val="009D00D1"/>
    <w:rPr>
      <w:rFonts w:ascii="Times New Roman" w:hAnsi="Times New Roman" w:cs="Times New Roman"/>
      <w:color w:val="000000" w:themeColor="text1"/>
    </w:rPr>
  </w:style>
  <w:style w:type="character" w:styleId="Lienhypertexte">
    <w:name w:val="Hyperlink"/>
    <w:basedOn w:val="Policepardfaut"/>
    <w:uiPriority w:val="99"/>
    <w:unhideWhenUsed/>
    <w:rsid w:val="009D00D1"/>
    <w:rPr>
      <w:color w:val="0000FF"/>
      <w:u w:val="single"/>
    </w:rPr>
  </w:style>
  <w:style w:type="paragraph" w:styleId="En-tte">
    <w:name w:val="header"/>
    <w:basedOn w:val="Normal"/>
    <w:link w:val="En-tteCar"/>
    <w:uiPriority w:val="99"/>
    <w:unhideWhenUsed/>
    <w:rsid w:val="00E5134F"/>
    <w:pPr>
      <w:tabs>
        <w:tab w:val="center" w:pos="4536"/>
        <w:tab w:val="right" w:pos="9072"/>
      </w:tabs>
    </w:pPr>
  </w:style>
  <w:style w:type="character" w:customStyle="1" w:styleId="En-tteCar">
    <w:name w:val="En-tête Car"/>
    <w:basedOn w:val="Policepardfaut"/>
    <w:link w:val="En-tte"/>
    <w:uiPriority w:val="99"/>
    <w:rsid w:val="00E5134F"/>
  </w:style>
  <w:style w:type="paragraph" w:styleId="Pieddepage">
    <w:name w:val="footer"/>
    <w:basedOn w:val="Normal"/>
    <w:link w:val="PieddepageCar"/>
    <w:uiPriority w:val="99"/>
    <w:unhideWhenUsed/>
    <w:rsid w:val="00E5134F"/>
    <w:pPr>
      <w:tabs>
        <w:tab w:val="center" w:pos="4536"/>
        <w:tab w:val="right" w:pos="9072"/>
      </w:tabs>
    </w:pPr>
  </w:style>
  <w:style w:type="character" w:customStyle="1" w:styleId="PieddepageCar">
    <w:name w:val="Pied de page Car"/>
    <w:basedOn w:val="Policepardfaut"/>
    <w:link w:val="Pieddepage"/>
    <w:uiPriority w:val="99"/>
    <w:rsid w:val="00E5134F"/>
  </w:style>
  <w:style w:type="character" w:styleId="Numrodepage">
    <w:name w:val="page number"/>
    <w:basedOn w:val="Policepardfaut"/>
    <w:uiPriority w:val="99"/>
    <w:semiHidden/>
    <w:unhideWhenUsed/>
    <w:rsid w:val="00E5134F"/>
  </w:style>
  <w:style w:type="paragraph" w:styleId="Listepuces">
    <w:name w:val="List Bullet"/>
    <w:basedOn w:val="Normal"/>
    <w:uiPriority w:val="99"/>
    <w:unhideWhenUsed/>
    <w:rsid w:val="00EC6421"/>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4075</Words>
  <Characters>20948</Characters>
  <Application>Microsoft Office Word</Application>
  <DocSecurity>0</DocSecurity>
  <Lines>395</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Raphaël MAUREL</dc:creator>
  <cp:keywords/>
  <dc:description/>
  <cp:lastModifiedBy>Raphaël MAUREL</cp:lastModifiedBy>
  <cp:revision>2</cp:revision>
  <dcterms:created xsi:type="dcterms:W3CDTF">2023-11-22T15:36:00Z</dcterms:created>
  <dcterms:modified xsi:type="dcterms:W3CDTF">2023-11-22T15:36:00Z</dcterms:modified>
</cp:coreProperties>
</file>