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1F930" w14:textId="77777777" w:rsidR="00CE4849" w:rsidRPr="002A1C17" w:rsidRDefault="005001DB" w:rsidP="00D11C33">
      <w:pPr>
        <w:spacing w:line="240" w:lineRule="auto"/>
        <w:jc w:val="center"/>
        <w:rPr>
          <w:rFonts w:ascii="Times" w:hAnsi="Times"/>
          <w:b/>
          <w:bCs/>
          <w:szCs w:val="24"/>
        </w:rPr>
      </w:pPr>
      <w:r w:rsidRPr="002A1C17">
        <w:rPr>
          <w:rFonts w:ascii="Times" w:hAnsi="Times"/>
          <w:b/>
          <w:bCs/>
          <w:szCs w:val="24"/>
        </w:rPr>
        <w:t>REGULER LA NORMALISATION TECHNIQUE PRIVEE ? LES REPONSES DU DROIT ADMINISTRATIF GLOBAL</w:t>
      </w:r>
    </w:p>
    <w:p w14:paraId="0F215A37" w14:textId="77777777" w:rsidR="000D7FA2" w:rsidRPr="002A1C17" w:rsidRDefault="000D7FA2" w:rsidP="00D11C33">
      <w:pPr>
        <w:spacing w:line="240" w:lineRule="auto"/>
        <w:jc w:val="center"/>
        <w:rPr>
          <w:rFonts w:ascii="Times" w:hAnsi="Times"/>
          <w:szCs w:val="24"/>
        </w:rPr>
      </w:pPr>
    </w:p>
    <w:p w14:paraId="0D8EB72A" w14:textId="77777777" w:rsidR="000D7FA2" w:rsidRPr="002A1C17" w:rsidRDefault="000D7FA2" w:rsidP="00D11C33">
      <w:pPr>
        <w:spacing w:line="240" w:lineRule="auto"/>
        <w:jc w:val="center"/>
        <w:rPr>
          <w:rFonts w:ascii="Times" w:hAnsi="Times"/>
          <w:szCs w:val="24"/>
        </w:rPr>
      </w:pPr>
    </w:p>
    <w:p w14:paraId="37158F2A" w14:textId="77777777" w:rsidR="00CE4849" w:rsidRPr="002A1C17" w:rsidRDefault="00CE4849" w:rsidP="00D11C33">
      <w:pPr>
        <w:spacing w:line="240" w:lineRule="auto"/>
        <w:jc w:val="center"/>
        <w:rPr>
          <w:rFonts w:ascii="Times" w:hAnsi="Times"/>
          <w:b/>
          <w:bCs/>
          <w:szCs w:val="24"/>
        </w:rPr>
      </w:pPr>
      <w:r w:rsidRPr="002A1C17">
        <w:rPr>
          <w:rFonts w:ascii="Times" w:hAnsi="Times"/>
          <w:b/>
          <w:bCs/>
          <w:smallCaps/>
          <w:szCs w:val="24"/>
        </w:rPr>
        <w:t>Raphaël M</w:t>
      </w:r>
      <w:r w:rsidR="005001DB" w:rsidRPr="002A1C17">
        <w:rPr>
          <w:rFonts w:ascii="Times" w:hAnsi="Times"/>
          <w:b/>
          <w:bCs/>
          <w:smallCaps/>
          <w:szCs w:val="24"/>
        </w:rPr>
        <w:t>aurel</w:t>
      </w:r>
      <w:r w:rsidRPr="002A1C17">
        <w:rPr>
          <w:rStyle w:val="Appelnotedebasdep"/>
          <w:rFonts w:ascii="Times" w:hAnsi="Times"/>
          <w:szCs w:val="24"/>
        </w:rPr>
        <w:footnoteReference w:id="1"/>
      </w:r>
    </w:p>
    <w:p w14:paraId="51220DFB" w14:textId="77777777" w:rsidR="00CE4849" w:rsidRPr="002A1C17" w:rsidRDefault="00CE4849" w:rsidP="00D11C33">
      <w:pPr>
        <w:spacing w:line="240" w:lineRule="auto"/>
        <w:jc w:val="both"/>
        <w:rPr>
          <w:rFonts w:ascii="Times" w:hAnsi="Times"/>
          <w:szCs w:val="24"/>
        </w:rPr>
      </w:pPr>
    </w:p>
    <w:p w14:paraId="227F3A37" w14:textId="77777777" w:rsidR="005001DB" w:rsidRPr="002A1C17" w:rsidRDefault="005001DB" w:rsidP="00D11C33">
      <w:pPr>
        <w:spacing w:line="240" w:lineRule="auto"/>
        <w:jc w:val="both"/>
        <w:rPr>
          <w:rFonts w:ascii="Times" w:hAnsi="Times"/>
          <w:szCs w:val="24"/>
        </w:rPr>
      </w:pPr>
    </w:p>
    <w:p w14:paraId="05E91644" w14:textId="498ADE35" w:rsidR="00A2178A" w:rsidRPr="002A1C17" w:rsidRDefault="00A2178A" w:rsidP="00D11C33">
      <w:pPr>
        <w:spacing w:line="240" w:lineRule="auto"/>
        <w:jc w:val="both"/>
        <w:rPr>
          <w:rFonts w:ascii="Times" w:hAnsi="Times"/>
          <w:szCs w:val="24"/>
        </w:rPr>
      </w:pPr>
      <w:r w:rsidRPr="002A1C17">
        <w:rPr>
          <w:rFonts w:ascii="Times" w:hAnsi="Times"/>
          <w:szCs w:val="24"/>
        </w:rPr>
        <w:t>« </w:t>
      </w:r>
      <w:r w:rsidR="006A4FDD" w:rsidRPr="002A1C17">
        <w:rPr>
          <w:rFonts w:ascii="Times" w:hAnsi="Times"/>
          <w:szCs w:val="24"/>
        </w:rPr>
        <w:t>R</w:t>
      </w:r>
      <w:r w:rsidRPr="002A1C17">
        <w:rPr>
          <w:rFonts w:ascii="Times" w:hAnsi="Times"/>
          <w:szCs w:val="24"/>
        </w:rPr>
        <w:t>égulation », « normalisation », « normalisation technique »,</w:t>
      </w:r>
      <w:r w:rsidR="006A4FDD" w:rsidRPr="002A1C17">
        <w:rPr>
          <w:rFonts w:ascii="Times" w:hAnsi="Times"/>
          <w:szCs w:val="24"/>
        </w:rPr>
        <w:t xml:space="preserve"> </w:t>
      </w:r>
      <w:r w:rsidRPr="002A1C17">
        <w:rPr>
          <w:rFonts w:ascii="Times" w:hAnsi="Times"/>
          <w:szCs w:val="24"/>
        </w:rPr>
        <w:t>« normalisation technique privée »</w:t>
      </w:r>
      <w:r w:rsidR="006A4FDD" w:rsidRPr="002A1C17">
        <w:rPr>
          <w:rFonts w:ascii="Times" w:hAnsi="Times"/>
          <w:szCs w:val="24"/>
        </w:rPr>
        <w:t>,</w:t>
      </w:r>
      <w:r w:rsidRPr="002A1C17">
        <w:rPr>
          <w:rFonts w:ascii="Times" w:hAnsi="Times"/>
          <w:szCs w:val="24"/>
        </w:rPr>
        <w:t xml:space="preserve"> « droit administratif global »</w:t>
      </w:r>
      <w:r w:rsidR="006A4FDD" w:rsidRPr="002A1C17">
        <w:rPr>
          <w:rFonts w:ascii="Times" w:hAnsi="Times"/>
          <w:szCs w:val="24"/>
        </w:rPr>
        <w:t xml:space="preserve"> : </w:t>
      </w:r>
      <w:r w:rsidR="0023436B">
        <w:rPr>
          <w:rFonts w:ascii="Times" w:hAnsi="Times"/>
          <w:szCs w:val="24"/>
        </w:rPr>
        <w:t>toutes ces expressions</w:t>
      </w:r>
      <w:r w:rsidRPr="002A1C17">
        <w:rPr>
          <w:rFonts w:ascii="Times" w:hAnsi="Times"/>
          <w:szCs w:val="24"/>
        </w:rPr>
        <w:t xml:space="preserve"> suscit</w:t>
      </w:r>
      <w:r w:rsidR="00A01DD3" w:rsidRPr="002A1C17">
        <w:rPr>
          <w:rFonts w:ascii="Times" w:hAnsi="Times"/>
          <w:szCs w:val="24"/>
        </w:rPr>
        <w:t>e</w:t>
      </w:r>
      <w:r w:rsidRPr="002A1C17">
        <w:rPr>
          <w:rFonts w:ascii="Times" w:hAnsi="Times"/>
          <w:szCs w:val="24"/>
        </w:rPr>
        <w:t>nt régulièrement l</w:t>
      </w:r>
      <w:r w:rsidR="00D72851">
        <w:rPr>
          <w:rFonts w:ascii="Times" w:hAnsi="Times"/>
          <w:szCs w:val="24"/>
        </w:rPr>
        <w:t>’</w:t>
      </w:r>
      <w:r w:rsidRPr="002A1C17">
        <w:rPr>
          <w:rFonts w:ascii="Times" w:hAnsi="Times"/>
          <w:szCs w:val="24"/>
        </w:rPr>
        <w:t>interrogation</w:t>
      </w:r>
      <w:bookmarkStart w:id="0" w:name="_Ref54637776"/>
      <w:r w:rsidR="00CB782E" w:rsidRPr="002A1C17">
        <w:rPr>
          <w:rStyle w:val="Appelnotedebasdep"/>
          <w:rFonts w:ascii="Times" w:hAnsi="Times"/>
          <w:szCs w:val="24"/>
        </w:rPr>
        <w:footnoteReference w:id="2"/>
      </w:r>
      <w:bookmarkEnd w:id="0"/>
      <w:r w:rsidR="006A4FDD" w:rsidRPr="002A1C17">
        <w:rPr>
          <w:rFonts w:ascii="Times" w:hAnsi="Times"/>
          <w:szCs w:val="24"/>
        </w:rPr>
        <w:t xml:space="preserve">. Le juriste, notamment, </w:t>
      </w:r>
      <w:r w:rsidR="00EE6E5A" w:rsidRPr="002A1C17">
        <w:rPr>
          <w:rFonts w:ascii="Times" w:hAnsi="Times"/>
          <w:szCs w:val="24"/>
        </w:rPr>
        <w:t>peut être</w:t>
      </w:r>
      <w:r w:rsidR="006A4FDD" w:rsidRPr="002A1C17">
        <w:rPr>
          <w:rFonts w:ascii="Times" w:hAnsi="Times"/>
          <w:szCs w:val="24"/>
        </w:rPr>
        <w:t xml:space="preserve"> mis en difficulté face à</w:t>
      </w:r>
      <w:r w:rsidR="00EE6E5A" w:rsidRPr="002A1C17">
        <w:rPr>
          <w:rFonts w:ascii="Times" w:hAnsi="Times"/>
          <w:szCs w:val="24"/>
        </w:rPr>
        <w:t xml:space="preserve"> la normalisation technique privée, phénomène concret qui </w:t>
      </w:r>
      <w:r w:rsidR="00A01DD3" w:rsidRPr="002A1C17">
        <w:rPr>
          <w:rFonts w:ascii="Times" w:hAnsi="Times"/>
          <w:szCs w:val="24"/>
        </w:rPr>
        <w:t xml:space="preserve">peut </w:t>
      </w:r>
      <w:r w:rsidR="00EE6E5A" w:rsidRPr="002A1C17">
        <w:rPr>
          <w:rFonts w:ascii="Times" w:hAnsi="Times"/>
          <w:szCs w:val="24"/>
        </w:rPr>
        <w:t>lui échappe</w:t>
      </w:r>
      <w:r w:rsidR="00A01DD3" w:rsidRPr="002A1C17">
        <w:rPr>
          <w:rFonts w:ascii="Times" w:hAnsi="Times"/>
          <w:szCs w:val="24"/>
        </w:rPr>
        <w:t>r</w:t>
      </w:r>
      <w:r w:rsidR="00EE6E5A" w:rsidRPr="002A1C17">
        <w:rPr>
          <w:rFonts w:ascii="Times" w:hAnsi="Times"/>
          <w:szCs w:val="24"/>
        </w:rPr>
        <w:t>. C</w:t>
      </w:r>
      <w:r w:rsidR="00D72851">
        <w:rPr>
          <w:rFonts w:ascii="Times" w:hAnsi="Times"/>
          <w:szCs w:val="24"/>
        </w:rPr>
        <w:t>’</w:t>
      </w:r>
      <w:r w:rsidR="00EE6E5A" w:rsidRPr="002A1C17">
        <w:rPr>
          <w:rFonts w:ascii="Times" w:hAnsi="Times"/>
          <w:szCs w:val="24"/>
        </w:rPr>
        <w:t>est, d</w:t>
      </w:r>
      <w:r w:rsidR="00D72851">
        <w:rPr>
          <w:rFonts w:ascii="Times" w:hAnsi="Times"/>
          <w:szCs w:val="24"/>
        </w:rPr>
        <w:t>’</w:t>
      </w:r>
      <w:r w:rsidR="00EE6E5A" w:rsidRPr="002A1C17">
        <w:rPr>
          <w:rFonts w:ascii="Times" w:hAnsi="Times"/>
          <w:szCs w:val="24"/>
        </w:rPr>
        <w:t xml:space="preserve">ailleurs </w:t>
      </w:r>
      <w:r w:rsidR="00A01DD3" w:rsidRPr="002A1C17">
        <w:rPr>
          <w:rFonts w:ascii="Times" w:hAnsi="Times"/>
          <w:szCs w:val="24"/>
        </w:rPr>
        <w:t>l</w:t>
      </w:r>
      <w:r w:rsidR="00D72851">
        <w:rPr>
          <w:rFonts w:ascii="Times" w:hAnsi="Times"/>
          <w:szCs w:val="24"/>
        </w:rPr>
        <w:t>’</w:t>
      </w:r>
      <w:r w:rsidR="00A01DD3" w:rsidRPr="002A1C17">
        <w:rPr>
          <w:rFonts w:ascii="Times" w:hAnsi="Times"/>
          <w:szCs w:val="24"/>
        </w:rPr>
        <w:t>un des facteurs du processus</w:t>
      </w:r>
      <w:r w:rsidR="00EE6E5A" w:rsidRPr="002A1C17">
        <w:rPr>
          <w:rFonts w:ascii="Times" w:hAnsi="Times"/>
          <w:szCs w:val="24"/>
        </w:rPr>
        <w:t xml:space="preserve">, </w:t>
      </w:r>
      <w:r w:rsidR="00A01DD3" w:rsidRPr="002A1C17">
        <w:rPr>
          <w:rFonts w:ascii="Times" w:hAnsi="Times"/>
          <w:szCs w:val="24"/>
        </w:rPr>
        <w:t>conformément</w:t>
      </w:r>
      <w:r w:rsidR="00EE6E5A" w:rsidRPr="002A1C17">
        <w:rPr>
          <w:rFonts w:ascii="Times" w:hAnsi="Times"/>
          <w:szCs w:val="24"/>
        </w:rPr>
        <w:t xml:space="preserve"> à la sentence bien connue de Giraudoux</w:t>
      </w:r>
      <w:r w:rsidR="0023436B">
        <w:rPr>
          <w:rStyle w:val="Appelnotedebasdep"/>
          <w:rFonts w:ascii="Times" w:hAnsi="Times"/>
          <w:szCs w:val="24"/>
        </w:rPr>
        <w:footnoteReference w:id="3"/>
      </w:r>
      <w:r w:rsidR="00EE6E5A" w:rsidRPr="002A1C17">
        <w:rPr>
          <w:rFonts w:ascii="Times" w:hAnsi="Times"/>
          <w:szCs w:val="24"/>
        </w:rPr>
        <w:t xml:space="preserve">, </w:t>
      </w:r>
      <w:r w:rsidR="00A01DD3" w:rsidRPr="002A1C17">
        <w:rPr>
          <w:rFonts w:ascii="Times" w:hAnsi="Times"/>
          <w:szCs w:val="24"/>
        </w:rPr>
        <w:t>d</w:t>
      </w:r>
      <w:r w:rsidR="00D72851">
        <w:rPr>
          <w:rFonts w:ascii="Times" w:hAnsi="Times"/>
          <w:szCs w:val="24"/>
        </w:rPr>
        <w:t>’</w:t>
      </w:r>
      <w:r w:rsidR="00A01DD3" w:rsidRPr="002A1C17">
        <w:rPr>
          <w:rFonts w:ascii="Times" w:hAnsi="Times"/>
          <w:szCs w:val="24"/>
        </w:rPr>
        <w:t>invention par le juriste</w:t>
      </w:r>
      <w:r w:rsidR="00EE6E5A" w:rsidRPr="002A1C17">
        <w:rPr>
          <w:rFonts w:ascii="Times" w:hAnsi="Times"/>
          <w:szCs w:val="24"/>
        </w:rPr>
        <w:t xml:space="preserve"> de nouvelles notions pour s</w:t>
      </w:r>
      <w:r w:rsidR="00D72851">
        <w:rPr>
          <w:rFonts w:ascii="Times" w:hAnsi="Times"/>
          <w:szCs w:val="24"/>
        </w:rPr>
        <w:t>’</w:t>
      </w:r>
      <w:r w:rsidR="00EE6E5A" w:rsidRPr="002A1C17">
        <w:rPr>
          <w:rFonts w:ascii="Times" w:hAnsi="Times"/>
          <w:szCs w:val="24"/>
        </w:rPr>
        <w:t>adapter à la réalité telle qu</w:t>
      </w:r>
      <w:r w:rsidR="00D72851">
        <w:rPr>
          <w:rFonts w:ascii="Times" w:hAnsi="Times"/>
          <w:szCs w:val="24"/>
        </w:rPr>
        <w:t>’</w:t>
      </w:r>
      <w:r w:rsidR="00EE6E5A" w:rsidRPr="002A1C17">
        <w:rPr>
          <w:rFonts w:ascii="Times" w:hAnsi="Times"/>
          <w:szCs w:val="24"/>
        </w:rPr>
        <w:t>il la perçoit</w:t>
      </w:r>
      <w:r w:rsidR="00A01DD3" w:rsidRPr="002A1C17">
        <w:rPr>
          <w:rFonts w:ascii="Times" w:hAnsi="Times"/>
          <w:szCs w:val="24"/>
        </w:rPr>
        <w:t>. S</w:t>
      </w:r>
      <w:r w:rsidR="00EE6E5A" w:rsidRPr="002A1C17">
        <w:rPr>
          <w:rFonts w:ascii="Times" w:hAnsi="Times"/>
          <w:szCs w:val="24"/>
        </w:rPr>
        <w:t xml:space="preserve">ans doute le « droit administratif global » relève-t-il, </w:t>
      </w:r>
      <w:r w:rsidR="00A01DD3" w:rsidRPr="002A1C17">
        <w:rPr>
          <w:rFonts w:ascii="Times" w:hAnsi="Times"/>
          <w:szCs w:val="24"/>
        </w:rPr>
        <w:t>d</w:t>
      </w:r>
      <w:r w:rsidR="00D72851">
        <w:rPr>
          <w:rFonts w:ascii="Times" w:hAnsi="Times"/>
          <w:szCs w:val="24"/>
        </w:rPr>
        <w:t>’</w:t>
      </w:r>
      <w:r w:rsidR="00A01DD3" w:rsidRPr="002A1C17">
        <w:rPr>
          <w:rFonts w:ascii="Times" w:hAnsi="Times"/>
          <w:szCs w:val="24"/>
        </w:rPr>
        <w:t>une manière ou d</w:t>
      </w:r>
      <w:r w:rsidR="00D72851">
        <w:rPr>
          <w:rFonts w:ascii="Times" w:hAnsi="Times"/>
          <w:szCs w:val="24"/>
        </w:rPr>
        <w:t>’</w:t>
      </w:r>
      <w:r w:rsidR="00A01DD3" w:rsidRPr="002A1C17">
        <w:rPr>
          <w:rFonts w:ascii="Times" w:hAnsi="Times"/>
          <w:szCs w:val="24"/>
        </w:rPr>
        <w:t>une autre,</w:t>
      </w:r>
      <w:r w:rsidR="00EE6E5A" w:rsidRPr="002A1C17">
        <w:rPr>
          <w:rFonts w:ascii="Times" w:hAnsi="Times"/>
          <w:szCs w:val="24"/>
        </w:rPr>
        <w:t xml:space="preserve"> de ce cycle naturel.</w:t>
      </w:r>
    </w:p>
    <w:p w14:paraId="5A07F0B7" w14:textId="77777777" w:rsidR="00DF6957" w:rsidRPr="002A1C17" w:rsidRDefault="00DF6957" w:rsidP="00D11C33">
      <w:pPr>
        <w:spacing w:line="240" w:lineRule="auto"/>
        <w:jc w:val="both"/>
        <w:rPr>
          <w:rFonts w:ascii="Times" w:hAnsi="Times"/>
          <w:szCs w:val="24"/>
        </w:rPr>
      </w:pPr>
    </w:p>
    <w:p w14:paraId="7DAA774A" w14:textId="6B8736DD" w:rsidR="008E7DDD" w:rsidRPr="002A1C17" w:rsidRDefault="00EE6E5A" w:rsidP="00D11C33">
      <w:pPr>
        <w:spacing w:line="240" w:lineRule="auto"/>
        <w:jc w:val="both"/>
        <w:rPr>
          <w:rFonts w:ascii="Times" w:hAnsi="Times"/>
          <w:szCs w:val="24"/>
        </w:rPr>
      </w:pPr>
      <w:r w:rsidRPr="002A1C17">
        <w:rPr>
          <w:rFonts w:ascii="Times" w:hAnsi="Times"/>
          <w:szCs w:val="24"/>
        </w:rPr>
        <w:t>Sans prétendre délivrer ici de</w:t>
      </w:r>
      <w:r w:rsidR="00D672DF" w:rsidRPr="002A1C17">
        <w:rPr>
          <w:rFonts w:ascii="Times" w:hAnsi="Times"/>
          <w:szCs w:val="24"/>
        </w:rPr>
        <w:t>s</w:t>
      </w:r>
      <w:r w:rsidRPr="002A1C17">
        <w:rPr>
          <w:rFonts w:ascii="Times" w:hAnsi="Times"/>
          <w:szCs w:val="24"/>
        </w:rPr>
        <w:t xml:space="preserve"> définitions exhaustives de chacun des termes composant le sujet retenu</w:t>
      </w:r>
      <w:r w:rsidR="0023436B">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szCs w:val="24"/>
        </w:rPr>
        <w:t xml:space="preserve">on peut néanmoins en dessiner les contours. </w:t>
      </w:r>
      <w:r w:rsidR="001D17EC" w:rsidRPr="002A1C17">
        <w:rPr>
          <w:rFonts w:ascii="Times" w:hAnsi="Times"/>
          <w:szCs w:val="24"/>
        </w:rPr>
        <w:t>La normalisation</w:t>
      </w:r>
      <w:r w:rsidRPr="002A1C17">
        <w:rPr>
          <w:rFonts w:ascii="Times" w:hAnsi="Times"/>
          <w:szCs w:val="24"/>
        </w:rPr>
        <w:t>, d</w:t>
      </w:r>
      <w:r w:rsidR="00D72851">
        <w:rPr>
          <w:rFonts w:ascii="Times" w:hAnsi="Times"/>
          <w:szCs w:val="24"/>
        </w:rPr>
        <w:t>’</w:t>
      </w:r>
      <w:r w:rsidRPr="002A1C17">
        <w:rPr>
          <w:rFonts w:ascii="Times" w:hAnsi="Times"/>
          <w:szCs w:val="24"/>
        </w:rPr>
        <w:t>abord</w:t>
      </w:r>
      <w:r w:rsidR="0012013B" w:rsidRPr="002A1C17">
        <w:rPr>
          <w:rFonts w:ascii="Times" w:hAnsi="Times"/>
          <w:szCs w:val="24"/>
        </w:rPr>
        <w:t xml:space="preserve">, </w:t>
      </w:r>
      <w:r w:rsidR="001D17EC" w:rsidRPr="002A1C17">
        <w:rPr>
          <w:rFonts w:ascii="Times" w:hAnsi="Times"/>
          <w:szCs w:val="24"/>
        </w:rPr>
        <w:t xml:space="preserve">souvent présentée comme une manière de </w:t>
      </w:r>
      <w:r w:rsidR="001D17EC" w:rsidRPr="002A1C17">
        <w:rPr>
          <w:rFonts w:ascii="Times" w:hAnsi="Times"/>
          <w:szCs w:val="24"/>
        </w:rPr>
        <w:t xml:space="preserve">réguler </w:t>
      </w:r>
      <w:r w:rsidR="007B1805" w:rsidRPr="002A1C17">
        <w:rPr>
          <w:rFonts w:ascii="Times" w:hAnsi="Times"/>
          <w:szCs w:val="24"/>
        </w:rPr>
        <w:t xml:space="preserve">de </w:t>
      </w:r>
      <w:r w:rsidR="0020244C">
        <w:rPr>
          <w:rFonts w:ascii="Times" w:hAnsi="Times"/>
          <w:szCs w:val="24"/>
        </w:rPr>
        <w:t>façon</w:t>
      </w:r>
      <w:r w:rsidR="0020244C" w:rsidRPr="002A1C17">
        <w:rPr>
          <w:rFonts w:ascii="Times" w:hAnsi="Times"/>
          <w:szCs w:val="24"/>
        </w:rPr>
        <w:t xml:space="preserve"> </w:t>
      </w:r>
      <w:r w:rsidR="007B1805" w:rsidRPr="002A1C17">
        <w:rPr>
          <w:rFonts w:ascii="Times" w:hAnsi="Times"/>
          <w:szCs w:val="24"/>
        </w:rPr>
        <w:t xml:space="preserve">harmonisée </w:t>
      </w:r>
      <w:r w:rsidR="001D17EC" w:rsidRPr="002A1C17">
        <w:rPr>
          <w:rFonts w:ascii="Times" w:hAnsi="Times"/>
          <w:szCs w:val="24"/>
        </w:rPr>
        <w:t xml:space="preserve">certains domaines </w:t>
      </w:r>
      <w:r w:rsidR="00832A2D" w:rsidRPr="002A1C17">
        <w:rPr>
          <w:rFonts w:ascii="Times" w:hAnsi="Times"/>
          <w:szCs w:val="24"/>
        </w:rPr>
        <w:t>techniques</w:t>
      </w:r>
      <w:r w:rsidR="0012013B" w:rsidRPr="002A1C17">
        <w:rPr>
          <w:rFonts w:ascii="Times" w:hAnsi="Times"/>
          <w:szCs w:val="24"/>
        </w:rPr>
        <w:t xml:space="preserve"> en vue de réduire les barrières commerciales, désigne </w:t>
      </w:r>
      <w:r w:rsidR="0012013B" w:rsidRPr="002A1C17">
        <w:rPr>
          <w:rFonts w:ascii="Times" w:hAnsi="Times"/>
          <w:szCs w:val="24"/>
        </w:rPr>
        <w:t>le processus de production de standards techniques</w:t>
      </w:r>
      <w:bookmarkStart w:id="1" w:name="_Ref15028440"/>
      <w:r w:rsidR="0012013B" w:rsidRPr="002A1C17">
        <w:rPr>
          <w:rStyle w:val="Appelnotedebasdep"/>
          <w:rFonts w:ascii="Times" w:hAnsi="Times"/>
          <w:szCs w:val="24"/>
        </w:rPr>
        <w:footnoteReference w:id="4"/>
      </w:r>
      <w:bookmarkEnd w:id="1"/>
      <w:r w:rsidR="0012013B" w:rsidRPr="002A1C17">
        <w:rPr>
          <w:rFonts w:ascii="Times" w:hAnsi="Times"/>
          <w:szCs w:val="24"/>
        </w:rPr>
        <w:t xml:space="preserve">. </w:t>
      </w:r>
      <w:r w:rsidR="00832A2D" w:rsidRPr="002A1C17">
        <w:rPr>
          <w:rFonts w:ascii="Times" w:hAnsi="Times"/>
          <w:szCs w:val="24"/>
        </w:rPr>
        <w:t>Devenue essentielle au commerce international, e</w:t>
      </w:r>
      <w:r w:rsidR="00163940" w:rsidRPr="002A1C17">
        <w:rPr>
          <w:rFonts w:ascii="Times" w:hAnsi="Times"/>
          <w:szCs w:val="24"/>
        </w:rPr>
        <w:t xml:space="preserve">lle </w:t>
      </w:r>
      <w:r w:rsidR="0017364D" w:rsidRPr="002A1C17">
        <w:rPr>
          <w:rFonts w:ascii="Times" w:hAnsi="Times"/>
          <w:szCs w:val="24"/>
        </w:rPr>
        <w:t>intervient</w:t>
      </w:r>
      <w:r w:rsidR="00163940" w:rsidRPr="002A1C17">
        <w:rPr>
          <w:rFonts w:ascii="Times" w:hAnsi="Times"/>
          <w:szCs w:val="24"/>
        </w:rPr>
        <w:t xml:space="preserve"> dans des domaines de plus en plus nombreux</w:t>
      </w:r>
      <w:r w:rsidR="00832A2D" w:rsidRPr="002A1C17">
        <w:rPr>
          <w:rFonts w:ascii="Times" w:hAnsi="Times"/>
          <w:szCs w:val="24"/>
        </w:rPr>
        <w:t>, comme</w:t>
      </w:r>
      <w:r w:rsidR="00163940" w:rsidRPr="002A1C17">
        <w:rPr>
          <w:rFonts w:ascii="Times" w:hAnsi="Times"/>
          <w:szCs w:val="24"/>
        </w:rPr>
        <w:t xml:space="preserve"> la protection de l</w:t>
      </w:r>
      <w:r w:rsidR="00D72851">
        <w:rPr>
          <w:rFonts w:ascii="Times" w:hAnsi="Times"/>
          <w:szCs w:val="24"/>
        </w:rPr>
        <w:t>’</w:t>
      </w:r>
      <w:r w:rsidR="00163940" w:rsidRPr="002A1C17">
        <w:rPr>
          <w:rFonts w:ascii="Times" w:hAnsi="Times"/>
          <w:szCs w:val="24"/>
        </w:rPr>
        <w:t xml:space="preserve">environnement, la </w:t>
      </w:r>
      <w:r w:rsidR="003932BC" w:rsidRPr="002A1C17">
        <w:rPr>
          <w:rFonts w:ascii="Times" w:hAnsi="Times"/>
          <w:szCs w:val="24"/>
        </w:rPr>
        <w:t>responsabilité sociale des entreprises (RSE)</w:t>
      </w:r>
      <w:r w:rsidR="00163940" w:rsidRPr="002A1C17">
        <w:rPr>
          <w:rFonts w:ascii="Times" w:hAnsi="Times"/>
          <w:szCs w:val="24"/>
        </w:rPr>
        <w:t xml:space="preserve">, les droits sociaux des travailleurs ou encore la comptabilité bancaire. </w:t>
      </w:r>
      <w:r w:rsidR="007B1805" w:rsidRPr="002A1C17">
        <w:rPr>
          <w:rFonts w:ascii="Times" w:hAnsi="Times"/>
          <w:szCs w:val="24"/>
        </w:rPr>
        <w:t>La norme</w:t>
      </w:r>
      <w:r w:rsidR="005E1892" w:rsidRPr="002A1C17">
        <w:rPr>
          <w:rFonts w:ascii="Times" w:hAnsi="Times"/>
          <w:szCs w:val="24"/>
        </w:rPr>
        <w:t xml:space="preserve"> technique privée</w:t>
      </w:r>
      <w:r w:rsidR="007B1805" w:rsidRPr="002A1C17">
        <w:rPr>
          <w:rFonts w:ascii="Times" w:hAnsi="Times"/>
          <w:szCs w:val="24"/>
        </w:rPr>
        <w:t xml:space="preserve"> n</w:t>
      </w:r>
      <w:r w:rsidR="00D72851">
        <w:rPr>
          <w:rFonts w:ascii="Times" w:hAnsi="Times"/>
          <w:szCs w:val="24"/>
        </w:rPr>
        <w:t>’</w:t>
      </w:r>
      <w:r w:rsidR="007B1805" w:rsidRPr="002A1C17">
        <w:rPr>
          <w:rFonts w:ascii="Times" w:hAnsi="Times"/>
          <w:szCs w:val="24"/>
        </w:rPr>
        <w:t>est pas</w:t>
      </w:r>
      <w:r w:rsidR="00A01DD3" w:rsidRPr="002A1C17">
        <w:rPr>
          <w:rFonts w:ascii="Times" w:hAnsi="Times"/>
          <w:szCs w:val="24"/>
        </w:rPr>
        <w:t xml:space="preserve"> en elle-même</w:t>
      </w:r>
      <w:r w:rsidR="005E1892" w:rsidRPr="002A1C17">
        <w:rPr>
          <w:rFonts w:ascii="Times" w:hAnsi="Times"/>
          <w:szCs w:val="24"/>
        </w:rPr>
        <w:t xml:space="preserve"> </w:t>
      </w:r>
      <w:r w:rsidR="007B1805" w:rsidRPr="002A1C17">
        <w:rPr>
          <w:rFonts w:ascii="Times" w:hAnsi="Times"/>
          <w:szCs w:val="24"/>
        </w:rPr>
        <w:t>obligatoire : elle ne le devient que lorsqu</w:t>
      </w:r>
      <w:r w:rsidR="00D72851">
        <w:rPr>
          <w:rFonts w:ascii="Times" w:hAnsi="Times"/>
          <w:szCs w:val="24"/>
        </w:rPr>
        <w:t>’</w:t>
      </w:r>
      <w:r w:rsidR="007B1805" w:rsidRPr="002A1C17">
        <w:rPr>
          <w:rFonts w:ascii="Times" w:hAnsi="Times"/>
          <w:szCs w:val="24"/>
        </w:rPr>
        <w:t>une entité l</w:t>
      </w:r>
      <w:r w:rsidR="00D72851">
        <w:rPr>
          <w:rFonts w:ascii="Times" w:hAnsi="Times"/>
          <w:szCs w:val="24"/>
        </w:rPr>
        <w:t>’</w:t>
      </w:r>
      <w:r w:rsidR="007B1805" w:rsidRPr="002A1C17">
        <w:rPr>
          <w:rFonts w:ascii="Times" w:hAnsi="Times"/>
          <w:szCs w:val="24"/>
        </w:rPr>
        <w:t>adopte volontairement</w:t>
      </w:r>
      <w:r w:rsidR="003932BC" w:rsidRPr="002A1C17">
        <w:rPr>
          <w:rFonts w:ascii="Times" w:hAnsi="Times"/>
          <w:szCs w:val="24"/>
        </w:rPr>
        <w:t>,</w:t>
      </w:r>
      <w:r w:rsidR="005E1892" w:rsidRPr="002A1C17">
        <w:rPr>
          <w:rFonts w:ascii="Times" w:hAnsi="Times"/>
          <w:szCs w:val="24"/>
        </w:rPr>
        <w:t xml:space="preserve"> et l</w:t>
      </w:r>
      <w:r w:rsidR="00D72851">
        <w:rPr>
          <w:rFonts w:ascii="Times" w:hAnsi="Times"/>
          <w:szCs w:val="24"/>
        </w:rPr>
        <w:t>’</w:t>
      </w:r>
      <w:r w:rsidR="005E1892" w:rsidRPr="002A1C17">
        <w:rPr>
          <w:rFonts w:ascii="Times" w:hAnsi="Times"/>
          <w:szCs w:val="24"/>
        </w:rPr>
        <w:t>intègre au sein de son ordre juridique</w:t>
      </w:r>
      <w:r w:rsidR="007B1805" w:rsidRPr="002A1C17">
        <w:rPr>
          <w:rStyle w:val="Appelnotedebasdep"/>
          <w:rFonts w:ascii="Times" w:hAnsi="Times"/>
          <w:szCs w:val="24"/>
        </w:rPr>
        <w:footnoteReference w:id="5"/>
      </w:r>
      <w:r w:rsidR="007B1805" w:rsidRPr="002A1C17">
        <w:rPr>
          <w:rFonts w:ascii="Times" w:hAnsi="Times"/>
          <w:szCs w:val="24"/>
        </w:rPr>
        <w:t>.</w:t>
      </w:r>
      <w:r w:rsidR="00163940" w:rsidRPr="002A1C17">
        <w:rPr>
          <w:rFonts w:ascii="Times" w:hAnsi="Times"/>
          <w:szCs w:val="24"/>
        </w:rPr>
        <w:t xml:space="preserve"> </w:t>
      </w:r>
      <w:r w:rsidR="001D17EC" w:rsidRPr="002A1C17">
        <w:rPr>
          <w:rFonts w:ascii="Times" w:hAnsi="Times"/>
          <w:szCs w:val="24"/>
        </w:rPr>
        <w:t>Pourtant</w:t>
      </w:r>
      <w:r w:rsidR="007B1805" w:rsidRPr="002A1C17">
        <w:rPr>
          <w:rFonts w:ascii="Times" w:hAnsi="Times"/>
          <w:szCs w:val="24"/>
        </w:rPr>
        <w:t xml:space="preserve">, elle est omniprésente, </w:t>
      </w:r>
      <w:r w:rsidR="006365BA" w:rsidRPr="002A1C17">
        <w:rPr>
          <w:rFonts w:ascii="Times" w:hAnsi="Times"/>
          <w:szCs w:val="24"/>
        </w:rPr>
        <w:t>et</w:t>
      </w:r>
      <w:r w:rsidR="001D17EC" w:rsidRPr="002A1C17">
        <w:rPr>
          <w:rFonts w:ascii="Times" w:hAnsi="Times"/>
          <w:szCs w:val="24"/>
        </w:rPr>
        <w:t xml:space="preserve"> soulève de plus en plus d</w:t>
      </w:r>
      <w:r w:rsidR="00D72851">
        <w:rPr>
          <w:rFonts w:ascii="Times" w:hAnsi="Times"/>
          <w:szCs w:val="24"/>
        </w:rPr>
        <w:t>’</w:t>
      </w:r>
      <w:r w:rsidR="001D17EC" w:rsidRPr="002A1C17">
        <w:rPr>
          <w:rFonts w:ascii="Times" w:hAnsi="Times"/>
          <w:szCs w:val="24"/>
        </w:rPr>
        <w:t>interrogations quant à sa légitimité</w:t>
      </w:r>
      <w:r w:rsidR="005E1892" w:rsidRPr="002A1C17">
        <w:rPr>
          <w:rFonts w:ascii="Times" w:hAnsi="Times"/>
          <w:szCs w:val="24"/>
        </w:rPr>
        <w:t xml:space="preserve"> – </w:t>
      </w:r>
      <w:r w:rsidR="007B1805" w:rsidRPr="002A1C17">
        <w:rPr>
          <w:rFonts w:ascii="Times" w:hAnsi="Times"/>
          <w:szCs w:val="24"/>
        </w:rPr>
        <w:t xml:space="preserve">questionnements </w:t>
      </w:r>
      <w:r w:rsidR="008F11AD" w:rsidRPr="002A1C17">
        <w:rPr>
          <w:rFonts w:ascii="Times" w:hAnsi="Times"/>
          <w:szCs w:val="24"/>
        </w:rPr>
        <w:t>favorisé</w:t>
      </w:r>
      <w:r w:rsidR="007B1805" w:rsidRPr="002A1C17">
        <w:rPr>
          <w:rFonts w:ascii="Times" w:hAnsi="Times"/>
          <w:szCs w:val="24"/>
        </w:rPr>
        <w:t>s</w:t>
      </w:r>
      <w:r w:rsidR="008F11AD" w:rsidRPr="002A1C17">
        <w:rPr>
          <w:rFonts w:ascii="Times" w:hAnsi="Times"/>
          <w:szCs w:val="24"/>
        </w:rPr>
        <w:t xml:space="preserve"> par le développement des moyens d</w:t>
      </w:r>
      <w:r w:rsidR="00D72851">
        <w:rPr>
          <w:rFonts w:ascii="Times" w:hAnsi="Times"/>
          <w:szCs w:val="24"/>
        </w:rPr>
        <w:t>’</w:t>
      </w:r>
      <w:r w:rsidR="008F11AD" w:rsidRPr="002A1C17">
        <w:rPr>
          <w:rFonts w:ascii="Times" w:hAnsi="Times"/>
          <w:szCs w:val="24"/>
        </w:rPr>
        <w:t>information</w:t>
      </w:r>
      <w:r w:rsidR="007243E8" w:rsidRPr="002A1C17">
        <w:rPr>
          <w:rFonts w:ascii="Times" w:hAnsi="Times"/>
          <w:szCs w:val="24"/>
        </w:rPr>
        <w:t>, lequel</w:t>
      </w:r>
      <w:r w:rsidR="008F11AD" w:rsidRPr="002A1C17">
        <w:rPr>
          <w:rFonts w:ascii="Times" w:hAnsi="Times"/>
          <w:szCs w:val="24"/>
        </w:rPr>
        <w:t xml:space="preserve"> amène la société civile à demander des comptes à ses gouvernants. C</w:t>
      </w:r>
      <w:r w:rsidR="00D72851">
        <w:rPr>
          <w:rFonts w:ascii="Times" w:hAnsi="Times"/>
          <w:szCs w:val="24"/>
        </w:rPr>
        <w:t>’</w:t>
      </w:r>
      <w:r w:rsidR="008F11AD" w:rsidRPr="002A1C17">
        <w:rPr>
          <w:rFonts w:ascii="Times" w:hAnsi="Times"/>
          <w:szCs w:val="24"/>
        </w:rPr>
        <w:t>est ainsi</w:t>
      </w:r>
      <w:r w:rsidR="001D17EC" w:rsidRPr="002A1C17">
        <w:rPr>
          <w:rFonts w:ascii="Times" w:hAnsi="Times"/>
          <w:szCs w:val="24"/>
        </w:rPr>
        <w:t xml:space="preserve"> que les questions de la formation des normes techniques, de leur réception par les ordres juridiques internes et de </w:t>
      </w:r>
      <w:r w:rsidR="003932BC" w:rsidRPr="002A1C17">
        <w:rPr>
          <w:rFonts w:ascii="Times" w:hAnsi="Times"/>
          <w:szCs w:val="24"/>
        </w:rPr>
        <w:t xml:space="preserve">la redevabilité – ou </w:t>
      </w:r>
      <w:r w:rsidR="001D17EC" w:rsidRPr="002A1C17">
        <w:rPr>
          <w:rFonts w:ascii="Times" w:hAnsi="Times"/>
          <w:i/>
          <w:iCs/>
          <w:szCs w:val="24"/>
        </w:rPr>
        <w:t>accountability</w:t>
      </w:r>
      <w:r w:rsidR="003932BC" w:rsidRPr="002A1C17">
        <w:rPr>
          <w:rFonts w:ascii="Times" w:hAnsi="Times"/>
          <w:szCs w:val="24"/>
        </w:rPr>
        <w:t xml:space="preserve">, le terme étant difficilement traduisible – </w:t>
      </w:r>
      <w:r w:rsidR="001D17EC" w:rsidRPr="002A1C17">
        <w:rPr>
          <w:rFonts w:ascii="Times" w:hAnsi="Times"/>
          <w:szCs w:val="24"/>
        </w:rPr>
        <w:t>des organismes de normalisation se posent</w:t>
      </w:r>
      <w:r w:rsidR="008F11AD" w:rsidRPr="002A1C17">
        <w:rPr>
          <w:rFonts w:ascii="Times" w:hAnsi="Times"/>
          <w:szCs w:val="24"/>
        </w:rPr>
        <w:t xml:space="preserve"> dorénavant</w:t>
      </w:r>
      <w:r w:rsidR="001D17EC" w:rsidRPr="002A1C17">
        <w:rPr>
          <w:rFonts w:ascii="Times" w:hAnsi="Times"/>
          <w:szCs w:val="24"/>
        </w:rPr>
        <w:t xml:space="preserve"> avec</w:t>
      </w:r>
      <w:r w:rsidR="005E1892" w:rsidRPr="002A1C17">
        <w:rPr>
          <w:rFonts w:ascii="Times" w:hAnsi="Times"/>
          <w:szCs w:val="24"/>
        </w:rPr>
        <w:t xml:space="preserve"> grande</w:t>
      </w:r>
      <w:r w:rsidR="001D17EC" w:rsidRPr="002A1C17">
        <w:rPr>
          <w:rFonts w:ascii="Times" w:hAnsi="Times"/>
          <w:szCs w:val="24"/>
        </w:rPr>
        <w:t xml:space="preserve"> vigueur. </w:t>
      </w:r>
    </w:p>
    <w:p w14:paraId="0FAF57C8" w14:textId="77777777" w:rsidR="003B6E03" w:rsidRPr="002A1C17" w:rsidRDefault="003B6E03" w:rsidP="00D11C33">
      <w:pPr>
        <w:spacing w:line="240" w:lineRule="auto"/>
        <w:ind w:firstLine="708"/>
        <w:jc w:val="both"/>
        <w:rPr>
          <w:rFonts w:ascii="Times" w:hAnsi="Times"/>
          <w:szCs w:val="24"/>
        </w:rPr>
      </w:pPr>
    </w:p>
    <w:p w14:paraId="54C75DE9" w14:textId="4A281D84" w:rsidR="00A01DD3" w:rsidRPr="002A1C17" w:rsidRDefault="001D17EC" w:rsidP="00D11C33">
      <w:pPr>
        <w:spacing w:line="240" w:lineRule="auto"/>
        <w:jc w:val="both"/>
        <w:rPr>
          <w:rFonts w:ascii="Times" w:hAnsi="Times"/>
          <w:szCs w:val="24"/>
        </w:rPr>
      </w:pPr>
      <w:r w:rsidRPr="002A1C17">
        <w:rPr>
          <w:rFonts w:ascii="Times" w:hAnsi="Times"/>
          <w:szCs w:val="24"/>
        </w:rPr>
        <w:t xml:space="preserve">Le projet du </w:t>
      </w:r>
      <w:r w:rsidRPr="002A1C17">
        <w:rPr>
          <w:rFonts w:ascii="Times" w:hAnsi="Times"/>
          <w:i/>
          <w:iCs/>
          <w:szCs w:val="24"/>
        </w:rPr>
        <w:t>global administrative law</w:t>
      </w:r>
      <w:r w:rsidR="00DD7264" w:rsidRPr="002A1C17">
        <w:rPr>
          <w:rFonts w:ascii="Times" w:hAnsi="Times"/>
          <w:i/>
          <w:iCs/>
          <w:szCs w:val="24"/>
        </w:rPr>
        <w:t xml:space="preserve"> </w:t>
      </w:r>
      <w:r w:rsidR="00DD7264" w:rsidRPr="002A1C17">
        <w:rPr>
          <w:rFonts w:ascii="Times" w:hAnsi="Times"/>
          <w:szCs w:val="24"/>
        </w:rPr>
        <w:t>(</w:t>
      </w:r>
      <w:r w:rsidR="00DD7264" w:rsidRPr="009611E8">
        <w:rPr>
          <w:rFonts w:ascii="Times" w:hAnsi="Times"/>
          <w:i/>
          <w:iCs/>
          <w:szCs w:val="24"/>
        </w:rPr>
        <w:t>GAL</w:t>
      </w:r>
      <w:r w:rsidR="00DD7264" w:rsidRPr="002A1C17">
        <w:rPr>
          <w:rFonts w:ascii="Times" w:hAnsi="Times"/>
          <w:szCs w:val="24"/>
        </w:rPr>
        <w:t>)</w:t>
      </w:r>
      <w:r w:rsidRPr="002A1C17">
        <w:rPr>
          <w:rFonts w:ascii="Times" w:hAnsi="Times"/>
          <w:szCs w:val="24"/>
        </w:rPr>
        <w:t xml:space="preserve"> s</w:t>
      </w:r>
      <w:r w:rsidR="00D72851">
        <w:rPr>
          <w:rFonts w:ascii="Times" w:hAnsi="Times"/>
          <w:szCs w:val="24"/>
        </w:rPr>
        <w:t>’</w:t>
      </w:r>
      <w:r w:rsidRPr="002A1C17">
        <w:rPr>
          <w:rFonts w:ascii="Times" w:hAnsi="Times"/>
          <w:szCs w:val="24"/>
        </w:rPr>
        <w:t>est</w:t>
      </w:r>
      <w:r w:rsidR="003B6E03" w:rsidRPr="002A1C17">
        <w:rPr>
          <w:rFonts w:ascii="Times" w:hAnsi="Times"/>
          <w:szCs w:val="24"/>
        </w:rPr>
        <w:t xml:space="preserve"> justement</w:t>
      </w:r>
      <w:r w:rsidRPr="002A1C17">
        <w:rPr>
          <w:rFonts w:ascii="Times" w:hAnsi="Times"/>
          <w:szCs w:val="24"/>
        </w:rPr>
        <w:t xml:space="preserve"> donné pour objectif d</w:t>
      </w:r>
      <w:r w:rsidR="00D72851">
        <w:rPr>
          <w:rFonts w:ascii="Times" w:hAnsi="Times"/>
          <w:szCs w:val="24"/>
        </w:rPr>
        <w:t>’</w:t>
      </w:r>
      <w:r w:rsidRPr="002A1C17">
        <w:rPr>
          <w:rFonts w:ascii="Times" w:hAnsi="Times"/>
          <w:szCs w:val="24"/>
        </w:rPr>
        <w:t>évaluer, à l</w:t>
      </w:r>
      <w:r w:rsidR="00D72851">
        <w:rPr>
          <w:rFonts w:ascii="Times" w:hAnsi="Times"/>
          <w:szCs w:val="24"/>
        </w:rPr>
        <w:t>’</w:t>
      </w:r>
      <w:r w:rsidRPr="002A1C17">
        <w:rPr>
          <w:rFonts w:ascii="Times" w:hAnsi="Times"/>
          <w:szCs w:val="24"/>
        </w:rPr>
        <w:t>aune d</w:t>
      </w:r>
      <w:r w:rsidR="00D72851">
        <w:rPr>
          <w:rFonts w:ascii="Times" w:hAnsi="Times"/>
          <w:szCs w:val="24"/>
        </w:rPr>
        <w:t>’</w:t>
      </w:r>
      <w:r w:rsidRPr="002A1C17">
        <w:rPr>
          <w:rFonts w:ascii="Times" w:hAnsi="Times"/>
          <w:szCs w:val="24"/>
        </w:rPr>
        <w:t>une panoplie d</w:t>
      </w:r>
      <w:r w:rsidR="00D72851">
        <w:rPr>
          <w:rFonts w:ascii="Times" w:hAnsi="Times"/>
          <w:szCs w:val="24"/>
        </w:rPr>
        <w:t>’</w:t>
      </w:r>
      <w:r w:rsidRPr="002A1C17">
        <w:rPr>
          <w:rFonts w:ascii="Times" w:hAnsi="Times"/>
          <w:szCs w:val="24"/>
        </w:rPr>
        <w:t xml:space="preserve">outils </w:t>
      </w:r>
      <w:r w:rsidR="005E1892" w:rsidRPr="002A1C17">
        <w:rPr>
          <w:rFonts w:ascii="Times" w:hAnsi="Times"/>
          <w:szCs w:val="24"/>
        </w:rPr>
        <w:t>normatifs de type « administratifs »</w:t>
      </w:r>
      <w:r w:rsidRPr="002A1C17">
        <w:rPr>
          <w:rFonts w:ascii="Times" w:hAnsi="Times"/>
          <w:szCs w:val="24"/>
        </w:rPr>
        <w:t xml:space="preserve">, </w:t>
      </w:r>
      <w:r w:rsidR="00CA6BDF" w:rsidRPr="002A1C17">
        <w:rPr>
          <w:rFonts w:ascii="Times" w:hAnsi="Times"/>
          <w:szCs w:val="24"/>
        </w:rPr>
        <w:t>la</w:t>
      </w:r>
      <w:r w:rsidRPr="002A1C17">
        <w:rPr>
          <w:rFonts w:ascii="Times" w:hAnsi="Times"/>
          <w:szCs w:val="24"/>
        </w:rPr>
        <w:t xml:space="preserve"> légitimité </w:t>
      </w:r>
      <w:r w:rsidR="005E1892" w:rsidRPr="002A1C17">
        <w:rPr>
          <w:rFonts w:ascii="Times" w:hAnsi="Times"/>
          <w:szCs w:val="24"/>
        </w:rPr>
        <w:t>d</w:t>
      </w:r>
      <w:r w:rsidR="00CA6BDF" w:rsidRPr="002A1C17">
        <w:rPr>
          <w:rFonts w:ascii="Times" w:hAnsi="Times"/>
          <w:szCs w:val="24"/>
        </w:rPr>
        <w:t>e</w:t>
      </w:r>
      <w:r w:rsidR="005E1892" w:rsidRPr="002A1C17">
        <w:rPr>
          <w:rFonts w:ascii="Times" w:hAnsi="Times"/>
          <w:szCs w:val="24"/>
        </w:rPr>
        <w:t xml:space="preserve"> la gouvernance globale avant</w:t>
      </w:r>
      <w:r w:rsidRPr="002A1C17">
        <w:rPr>
          <w:rFonts w:ascii="Times" w:hAnsi="Times"/>
          <w:szCs w:val="24"/>
        </w:rPr>
        <w:t xml:space="preserve"> de proposer des solutions </w:t>
      </w:r>
      <w:r w:rsidRPr="002A1C17">
        <w:rPr>
          <w:rFonts w:ascii="Times" w:hAnsi="Times"/>
          <w:i/>
          <w:iCs/>
          <w:szCs w:val="24"/>
        </w:rPr>
        <w:t>de lege ferenda</w:t>
      </w:r>
      <w:r w:rsidR="007B1805" w:rsidRPr="002A1C17">
        <w:rPr>
          <w:rStyle w:val="Appelnotedebasdep"/>
          <w:rFonts w:ascii="Times" w:hAnsi="Times"/>
          <w:szCs w:val="24"/>
        </w:rPr>
        <w:footnoteReference w:id="6"/>
      </w:r>
      <w:r w:rsidRPr="002A1C17">
        <w:rPr>
          <w:rFonts w:ascii="Times" w:hAnsi="Times"/>
          <w:szCs w:val="24"/>
        </w:rPr>
        <w:t>.</w:t>
      </w:r>
      <w:r w:rsidR="00A01DD3" w:rsidRPr="002A1C17">
        <w:rPr>
          <w:rFonts w:ascii="Times" w:hAnsi="Times"/>
          <w:szCs w:val="24"/>
        </w:rPr>
        <w:t xml:space="preserve"> Selon ses concepteurs, le </w:t>
      </w:r>
      <w:r w:rsidR="00A01DD3" w:rsidRPr="002A1C17">
        <w:rPr>
          <w:rFonts w:ascii="Times" w:hAnsi="Times"/>
          <w:i/>
          <w:iCs/>
          <w:szCs w:val="24"/>
        </w:rPr>
        <w:t xml:space="preserve">GAL </w:t>
      </w:r>
      <w:r w:rsidR="00A01DD3" w:rsidRPr="002A1C17">
        <w:rPr>
          <w:rFonts w:ascii="Times" w:hAnsi="Times"/>
          <w:szCs w:val="24"/>
        </w:rPr>
        <w:t xml:space="preserve">réside sobrement dans </w:t>
      </w:r>
      <w:r w:rsidR="001C3F69" w:rsidRPr="002A1C17">
        <w:rPr>
          <w:rFonts w:ascii="Times" w:hAnsi="Times"/>
          <w:szCs w:val="24"/>
        </w:rPr>
        <w:t>l</w:t>
      </w:r>
      <w:r w:rsidR="00D72851">
        <w:rPr>
          <w:rFonts w:ascii="Times" w:hAnsi="Times"/>
          <w:szCs w:val="24"/>
        </w:rPr>
        <w:t>’</w:t>
      </w:r>
      <w:r w:rsidR="001C3F69" w:rsidRPr="002A1C17">
        <w:rPr>
          <w:rFonts w:ascii="Times" w:hAnsi="Times"/>
          <w:szCs w:val="24"/>
        </w:rPr>
        <w:t>identification de</w:t>
      </w:r>
      <w:r w:rsidR="00A01DD3" w:rsidRPr="002A1C17">
        <w:rPr>
          <w:rFonts w:ascii="Times" w:hAnsi="Times"/>
          <w:szCs w:val="24"/>
        </w:rPr>
        <w:t xml:space="preserve"> « normes, standards et procédures »</w:t>
      </w:r>
      <w:r w:rsidR="001C3F69" w:rsidRPr="002A1C17">
        <w:rPr>
          <w:rFonts w:ascii="Times" w:hAnsi="Times"/>
          <w:szCs w:val="24"/>
        </w:rPr>
        <w:t xml:space="preserve"> </w:t>
      </w:r>
      <w:r w:rsidR="00A01DD3" w:rsidRPr="002A1C17">
        <w:rPr>
          <w:rFonts w:ascii="Times" w:hAnsi="Times"/>
          <w:szCs w:val="24"/>
        </w:rPr>
        <w:t xml:space="preserve">de </w:t>
      </w:r>
      <w:r w:rsidR="00A01DD3" w:rsidRPr="002A1C17">
        <w:rPr>
          <w:rFonts w:ascii="Times" w:hAnsi="Times"/>
          <w:szCs w:val="24"/>
        </w:rPr>
        <w:lastRenderedPageBreak/>
        <w:t>« type administratif » au-delà de l</w:t>
      </w:r>
      <w:r w:rsidR="00D72851">
        <w:rPr>
          <w:rFonts w:ascii="Times" w:hAnsi="Times"/>
          <w:szCs w:val="24"/>
        </w:rPr>
        <w:t>’</w:t>
      </w:r>
      <w:r w:rsidR="00A01DD3" w:rsidRPr="002A1C17">
        <w:rPr>
          <w:rFonts w:ascii="Times" w:hAnsi="Times"/>
          <w:szCs w:val="24"/>
        </w:rPr>
        <w:t>État</w:t>
      </w:r>
      <w:r w:rsidR="001C3F69" w:rsidRPr="002A1C17">
        <w:rPr>
          <w:rStyle w:val="Appelnotedebasdep"/>
          <w:rFonts w:ascii="Times" w:hAnsi="Times"/>
          <w:szCs w:val="24"/>
        </w:rPr>
        <w:footnoteReference w:id="7"/>
      </w:r>
      <w:r w:rsidR="001C3F69" w:rsidRPr="002A1C17">
        <w:rPr>
          <w:rFonts w:ascii="Times" w:hAnsi="Times"/>
          <w:szCs w:val="24"/>
        </w:rPr>
        <w:t>,</w:t>
      </w:r>
      <w:r w:rsidR="00A01DD3" w:rsidRPr="002A1C17">
        <w:rPr>
          <w:rFonts w:ascii="Times" w:hAnsi="Times"/>
          <w:szCs w:val="24"/>
        </w:rPr>
        <w:t xml:space="preserve"> </w:t>
      </w:r>
      <w:r w:rsidR="001C3F69" w:rsidRPr="002A1C17">
        <w:rPr>
          <w:rFonts w:ascii="Times" w:hAnsi="Times"/>
          <w:szCs w:val="24"/>
        </w:rPr>
        <w:t>afin d</w:t>
      </w:r>
      <w:r w:rsidR="00D72851">
        <w:rPr>
          <w:rFonts w:ascii="Times" w:hAnsi="Times"/>
          <w:szCs w:val="24"/>
        </w:rPr>
        <w:t>’</w:t>
      </w:r>
      <w:r w:rsidR="001C3F69" w:rsidRPr="002A1C17">
        <w:rPr>
          <w:rFonts w:ascii="Times" w:hAnsi="Times"/>
          <w:szCs w:val="24"/>
        </w:rPr>
        <w:t>en</w:t>
      </w:r>
      <w:r w:rsidR="00A01DD3" w:rsidRPr="002A1C17">
        <w:rPr>
          <w:rFonts w:ascii="Times" w:hAnsi="Times"/>
          <w:szCs w:val="24"/>
        </w:rPr>
        <w:t xml:space="preserve"> promouvoir le développement au sein de ce qu</w:t>
      </w:r>
      <w:r w:rsidR="00D72851">
        <w:rPr>
          <w:rFonts w:ascii="Times" w:hAnsi="Times"/>
          <w:szCs w:val="24"/>
        </w:rPr>
        <w:t>’</w:t>
      </w:r>
      <w:r w:rsidR="001C3F69" w:rsidRPr="002A1C17">
        <w:rPr>
          <w:rFonts w:ascii="Times" w:hAnsi="Times"/>
          <w:szCs w:val="24"/>
        </w:rPr>
        <w:t xml:space="preserve">ils </w:t>
      </w:r>
      <w:r w:rsidR="00A01DD3" w:rsidRPr="002A1C17">
        <w:rPr>
          <w:rFonts w:ascii="Times" w:hAnsi="Times"/>
          <w:szCs w:val="24"/>
        </w:rPr>
        <w:t xml:space="preserve">appellent les « administrations globales ». Le raisonnement du </w:t>
      </w:r>
      <w:r w:rsidR="00A01DD3" w:rsidRPr="002A1C17">
        <w:rPr>
          <w:rFonts w:ascii="Times" w:hAnsi="Times"/>
          <w:i/>
          <w:iCs/>
          <w:szCs w:val="24"/>
        </w:rPr>
        <w:t>GAL</w:t>
      </w:r>
      <w:r w:rsidR="00A01DD3" w:rsidRPr="002A1C17">
        <w:rPr>
          <w:rFonts w:ascii="Times" w:hAnsi="Times"/>
          <w:szCs w:val="24"/>
        </w:rPr>
        <w:t xml:space="preserve"> s</w:t>
      </w:r>
      <w:r w:rsidR="00D72851">
        <w:rPr>
          <w:rFonts w:ascii="Times" w:hAnsi="Times"/>
          <w:szCs w:val="24"/>
        </w:rPr>
        <w:t>’</w:t>
      </w:r>
      <w:r w:rsidR="00A01DD3" w:rsidRPr="002A1C17">
        <w:rPr>
          <w:rFonts w:ascii="Times" w:hAnsi="Times"/>
          <w:szCs w:val="24"/>
        </w:rPr>
        <w:t>articule</w:t>
      </w:r>
      <w:r w:rsidR="001C3F69" w:rsidRPr="002A1C17">
        <w:rPr>
          <w:rFonts w:ascii="Times" w:hAnsi="Times"/>
          <w:szCs w:val="24"/>
        </w:rPr>
        <w:t>, plus précisément,</w:t>
      </w:r>
      <w:r w:rsidR="00A01DD3" w:rsidRPr="002A1C17">
        <w:rPr>
          <w:rFonts w:ascii="Times" w:hAnsi="Times"/>
          <w:szCs w:val="24"/>
        </w:rPr>
        <w:t xml:space="preserve"> autour de trois constats successifs. En premier lieu, un certain nombre d</w:t>
      </w:r>
      <w:r w:rsidR="00D72851">
        <w:rPr>
          <w:rFonts w:ascii="Times" w:hAnsi="Times"/>
          <w:szCs w:val="24"/>
        </w:rPr>
        <w:t>’</w:t>
      </w:r>
      <w:r w:rsidR="00A01DD3" w:rsidRPr="002A1C17">
        <w:rPr>
          <w:rFonts w:ascii="Times" w:hAnsi="Times"/>
          <w:szCs w:val="24"/>
        </w:rPr>
        <w:t>entités très diverses, qui sont des organisations internationales, des réseaux d</w:t>
      </w:r>
      <w:r w:rsidR="00D72851">
        <w:rPr>
          <w:rFonts w:ascii="Times" w:hAnsi="Times"/>
          <w:szCs w:val="24"/>
        </w:rPr>
        <w:t>’</w:t>
      </w:r>
      <w:r w:rsidR="00A01DD3" w:rsidRPr="002A1C17">
        <w:rPr>
          <w:rFonts w:ascii="Times" w:hAnsi="Times"/>
          <w:szCs w:val="24"/>
        </w:rPr>
        <w:t>administrations nationales, des entités « hybrides », des réseaux transnationaux informels ou encore des entités purement privées</w:t>
      </w:r>
      <w:r w:rsidR="0010337C">
        <w:rPr>
          <w:rFonts w:ascii="Times" w:hAnsi="Times"/>
          <w:szCs w:val="24"/>
        </w:rPr>
        <w:t>,</w:t>
      </w:r>
      <w:r w:rsidR="00A01DD3" w:rsidRPr="002A1C17">
        <w:rPr>
          <w:rFonts w:ascii="Times" w:hAnsi="Times"/>
          <w:szCs w:val="24"/>
        </w:rPr>
        <w:t xml:space="preserve"> exercent ce que les auteurs du projet du </w:t>
      </w:r>
      <w:r w:rsidR="00A01DD3" w:rsidRPr="002A1C17">
        <w:rPr>
          <w:rFonts w:ascii="Times" w:hAnsi="Times"/>
          <w:i/>
          <w:iCs/>
          <w:szCs w:val="24"/>
        </w:rPr>
        <w:t>GAL</w:t>
      </w:r>
      <w:r w:rsidR="00A01DD3" w:rsidRPr="002A1C17">
        <w:rPr>
          <w:rFonts w:ascii="Times" w:hAnsi="Times"/>
          <w:szCs w:val="24"/>
        </w:rPr>
        <w:t xml:space="preserve"> considèrent comme des missions « administratives » au niveau global. Ces missions, souvent qualifiées de « régulation globale », seraient « administratives » car </w:t>
      </w:r>
      <w:r w:rsidR="00042132">
        <w:rPr>
          <w:rFonts w:ascii="Times" w:hAnsi="Times"/>
          <w:szCs w:val="24"/>
        </w:rPr>
        <w:t>se rapportant à</w:t>
      </w:r>
      <w:r w:rsidR="0010337C">
        <w:rPr>
          <w:rFonts w:ascii="Times" w:hAnsi="Times"/>
          <w:szCs w:val="24"/>
        </w:rPr>
        <w:t xml:space="preserve"> </w:t>
      </w:r>
      <w:r w:rsidR="00042132">
        <w:rPr>
          <w:rFonts w:ascii="Times" w:hAnsi="Times"/>
          <w:szCs w:val="24"/>
        </w:rPr>
        <w:t>l</w:t>
      </w:r>
      <w:r w:rsidR="00D72851">
        <w:rPr>
          <w:rFonts w:ascii="Times" w:hAnsi="Times"/>
          <w:szCs w:val="24"/>
        </w:rPr>
        <w:t>’</w:t>
      </w:r>
      <w:r w:rsidR="00A01DD3" w:rsidRPr="002A1C17">
        <w:rPr>
          <w:rFonts w:ascii="Times" w:hAnsi="Times"/>
          <w:szCs w:val="24"/>
        </w:rPr>
        <w:t>exerc</w:t>
      </w:r>
      <w:r w:rsidR="00042132">
        <w:rPr>
          <w:rFonts w:ascii="Times" w:hAnsi="Times"/>
          <w:szCs w:val="24"/>
        </w:rPr>
        <w:t>ice</w:t>
      </w:r>
      <w:r w:rsidR="00A01DD3" w:rsidRPr="002A1C17">
        <w:rPr>
          <w:rFonts w:ascii="Times" w:hAnsi="Times"/>
          <w:szCs w:val="24"/>
        </w:rPr>
        <w:t xml:space="preserve"> </w:t>
      </w:r>
      <w:r w:rsidR="00042132">
        <w:rPr>
          <w:rFonts w:ascii="Times" w:hAnsi="Times"/>
          <w:szCs w:val="24"/>
        </w:rPr>
        <w:t xml:space="preserve">du </w:t>
      </w:r>
      <w:r w:rsidR="00A01DD3" w:rsidRPr="002A1C17">
        <w:rPr>
          <w:rFonts w:ascii="Times" w:hAnsi="Times"/>
          <w:szCs w:val="24"/>
        </w:rPr>
        <w:t>pouvoir, au quotidien</w:t>
      </w:r>
      <w:r w:rsidR="00A01DD3" w:rsidRPr="002A1C17">
        <w:rPr>
          <w:rStyle w:val="Appelnotedebasdep"/>
          <w:rFonts w:ascii="Times" w:hAnsi="Times"/>
          <w:szCs w:val="24"/>
        </w:rPr>
        <w:footnoteReference w:id="8"/>
      </w:r>
      <w:r w:rsidR="00A01DD3" w:rsidRPr="002A1C17">
        <w:rPr>
          <w:rFonts w:ascii="Times" w:hAnsi="Times"/>
          <w:szCs w:val="24"/>
        </w:rPr>
        <w:t>, dans des domaines qui échappent à l</w:t>
      </w:r>
      <w:r w:rsidR="00D72851">
        <w:rPr>
          <w:rFonts w:ascii="Times" w:hAnsi="Times"/>
          <w:szCs w:val="24"/>
        </w:rPr>
        <w:t>’</w:t>
      </w:r>
      <w:r w:rsidR="00A01DD3" w:rsidRPr="002A1C17">
        <w:rPr>
          <w:rFonts w:ascii="Times" w:hAnsi="Times"/>
          <w:szCs w:val="24"/>
        </w:rPr>
        <w:t>action d</w:t>
      </w:r>
      <w:r w:rsidR="0010337C">
        <w:rPr>
          <w:rFonts w:ascii="Times" w:hAnsi="Times"/>
          <w:szCs w:val="24"/>
        </w:rPr>
        <w:t>u seul</w:t>
      </w:r>
      <w:r w:rsidR="00A01DD3" w:rsidRPr="002A1C17">
        <w:rPr>
          <w:rFonts w:ascii="Times" w:hAnsi="Times"/>
          <w:szCs w:val="24"/>
        </w:rPr>
        <w:t xml:space="preserve"> État. Parmi les exemples de ces domaines sont fréquemment mis en avant la lutte contre le terrorisme, la lutte contre la corruption, la protection de l</w:t>
      </w:r>
      <w:r w:rsidR="00D72851">
        <w:rPr>
          <w:rFonts w:ascii="Times" w:hAnsi="Times"/>
          <w:szCs w:val="24"/>
        </w:rPr>
        <w:t>’</w:t>
      </w:r>
      <w:r w:rsidR="00A01DD3" w:rsidRPr="002A1C17">
        <w:rPr>
          <w:rFonts w:ascii="Times" w:hAnsi="Times"/>
          <w:szCs w:val="24"/>
        </w:rPr>
        <w:t>environnement, la gestion d</w:t>
      </w:r>
      <w:r w:rsidR="00D72851">
        <w:rPr>
          <w:rFonts w:ascii="Times" w:hAnsi="Times"/>
          <w:szCs w:val="24"/>
        </w:rPr>
        <w:t>’</w:t>
      </w:r>
      <w:r w:rsidR="00A01DD3" w:rsidRPr="002A1C17">
        <w:rPr>
          <w:rFonts w:ascii="Times" w:hAnsi="Times"/>
          <w:szCs w:val="24"/>
        </w:rPr>
        <w:t xml:space="preserve">Internet ou encore la normalisation comptable internationale. En deuxième lieu, les concepteurs du </w:t>
      </w:r>
      <w:r w:rsidR="00A01DD3" w:rsidRPr="002A1C17">
        <w:rPr>
          <w:rFonts w:ascii="Times" w:hAnsi="Times"/>
          <w:i/>
          <w:iCs/>
          <w:szCs w:val="24"/>
        </w:rPr>
        <w:t>GAL</w:t>
      </w:r>
      <w:r w:rsidR="00A01DD3" w:rsidRPr="002A1C17">
        <w:rPr>
          <w:rFonts w:ascii="Times" w:hAnsi="Times"/>
          <w:szCs w:val="24"/>
        </w:rPr>
        <w:t xml:space="preserve"> relèvent que dans l</w:t>
      </w:r>
      <w:r w:rsidR="00D72851">
        <w:rPr>
          <w:rFonts w:ascii="Times" w:hAnsi="Times"/>
          <w:szCs w:val="24"/>
        </w:rPr>
        <w:t>’</w:t>
      </w:r>
      <w:r w:rsidR="00A01DD3" w:rsidRPr="002A1C17">
        <w:rPr>
          <w:rFonts w:ascii="Times" w:hAnsi="Times"/>
          <w:szCs w:val="24"/>
        </w:rPr>
        <w:t>exercice de leurs fonctions de régulation, ces diverses entités prennent des décisions qui sont qualifiées de décisions administratives globales, dans le sens où elles ont pour destin de s</w:t>
      </w:r>
      <w:r w:rsidR="00D72851">
        <w:rPr>
          <w:rFonts w:ascii="Times" w:hAnsi="Times"/>
          <w:szCs w:val="24"/>
        </w:rPr>
        <w:t>’</w:t>
      </w:r>
      <w:r w:rsidR="00A01DD3" w:rsidRPr="002A1C17">
        <w:rPr>
          <w:rFonts w:ascii="Times" w:hAnsi="Times"/>
          <w:szCs w:val="24"/>
        </w:rPr>
        <w:t>appliquer dans plusieurs ordres juridiques, et de manière générale d</w:t>
      </w:r>
      <w:r w:rsidR="00D72851">
        <w:rPr>
          <w:rFonts w:ascii="Times" w:hAnsi="Times"/>
          <w:szCs w:val="24"/>
        </w:rPr>
        <w:t>’</w:t>
      </w:r>
      <w:r w:rsidR="00A01DD3" w:rsidRPr="002A1C17">
        <w:rPr>
          <w:rFonts w:ascii="Times" w:hAnsi="Times"/>
          <w:szCs w:val="24"/>
        </w:rPr>
        <w:t>avoir des impacts mondiaux. Enfin, les auteurs du projet constatent qu</w:t>
      </w:r>
      <w:r w:rsidR="00D72851">
        <w:rPr>
          <w:rFonts w:ascii="Times" w:hAnsi="Times"/>
          <w:szCs w:val="24"/>
        </w:rPr>
        <w:t>’</w:t>
      </w:r>
      <w:r w:rsidR="00A01DD3" w:rsidRPr="002A1C17">
        <w:rPr>
          <w:rFonts w:ascii="Times" w:hAnsi="Times"/>
          <w:szCs w:val="24"/>
        </w:rPr>
        <w:t>il existe une forte demande de légitimation de l</w:t>
      </w:r>
      <w:r w:rsidR="00D72851">
        <w:rPr>
          <w:rFonts w:ascii="Times" w:hAnsi="Times"/>
          <w:szCs w:val="24"/>
        </w:rPr>
        <w:t>’</w:t>
      </w:r>
      <w:r w:rsidR="00A01DD3" w:rsidRPr="002A1C17">
        <w:rPr>
          <w:rFonts w:ascii="Times" w:hAnsi="Times"/>
          <w:szCs w:val="24"/>
        </w:rPr>
        <w:t>action de ces administrations globales, qu</w:t>
      </w:r>
      <w:r w:rsidR="00D72851">
        <w:rPr>
          <w:rFonts w:ascii="Times" w:hAnsi="Times"/>
          <w:szCs w:val="24"/>
        </w:rPr>
        <w:t>’</w:t>
      </w:r>
      <w:r w:rsidR="00A01DD3" w:rsidRPr="002A1C17">
        <w:rPr>
          <w:rFonts w:ascii="Times" w:hAnsi="Times"/>
          <w:szCs w:val="24"/>
        </w:rPr>
        <w:t xml:space="preserve">elles soient publiques ou privées, à laquelle il doit être répondu par le développement de normes, standards et procédures : transparence des processus décisionnels, consultation des personnes concernées par les décisions, bonne gouvernance, </w:t>
      </w:r>
      <w:r w:rsidR="00A01DD3" w:rsidRPr="002A1C17">
        <w:rPr>
          <w:rFonts w:ascii="Times" w:hAnsi="Times"/>
          <w:i/>
          <w:iCs/>
          <w:szCs w:val="24"/>
        </w:rPr>
        <w:t>accountability</w:t>
      </w:r>
      <w:r w:rsidR="00A01DD3" w:rsidRPr="002A1C17">
        <w:rPr>
          <w:rFonts w:ascii="Times" w:hAnsi="Times"/>
          <w:szCs w:val="24"/>
        </w:rPr>
        <w:t xml:space="preserve">. Dès lors, le projet du </w:t>
      </w:r>
      <w:r w:rsidR="00A01DD3" w:rsidRPr="002A1C17">
        <w:rPr>
          <w:rFonts w:ascii="Times" w:hAnsi="Times"/>
          <w:i/>
          <w:iCs/>
          <w:szCs w:val="24"/>
        </w:rPr>
        <w:t>GAL</w:t>
      </w:r>
      <w:r w:rsidR="00A01DD3" w:rsidRPr="002A1C17">
        <w:rPr>
          <w:rFonts w:ascii="Times" w:hAnsi="Times"/>
          <w:szCs w:val="24"/>
        </w:rPr>
        <w:t xml:space="preserve"> se donne pour objectif de compiler les manifestations de ces normes émergentes et de favoriser leur développement.</w:t>
      </w:r>
    </w:p>
    <w:p w14:paraId="7F6A8DB4" w14:textId="77777777" w:rsidR="00A01DD3" w:rsidRPr="002A1C17" w:rsidRDefault="00A01DD3" w:rsidP="00D11C33">
      <w:pPr>
        <w:spacing w:line="240" w:lineRule="auto"/>
        <w:jc w:val="both"/>
        <w:rPr>
          <w:rFonts w:ascii="Times" w:hAnsi="Times"/>
          <w:szCs w:val="24"/>
        </w:rPr>
      </w:pPr>
    </w:p>
    <w:p w14:paraId="35CB3F55" w14:textId="3E8D3472" w:rsidR="00A01DD3" w:rsidRPr="002A1C17" w:rsidRDefault="00D01FD8" w:rsidP="00D11C33">
      <w:pPr>
        <w:spacing w:line="240" w:lineRule="auto"/>
        <w:jc w:val="both"/>
        <w:rPr>
          <w:rFonts w:ascii="Times" w:hAnsi="Times"/>
          <w:szCs w:val="24"/>
        </w:rPr>
      </w:pPr>
      <w:r>
        <w:rPr>
          <w:rFonts w:ascii="Times" w:hAnsi="Times"/>
          <w:szCs w:val="24"/>
        </w:rPr>
        <w:t>Cette c</w:t>
      </w:r>
      <w:r w:rsidR="00A01DD3" w:rsidRPr="002A1C17">
        <w:rPr>
          <w:rFonts w:ascii="Times" w:hAnsi="Times"/>
          <w:szCs w:val="24"/>
        </w:rPr>
        <w:t xml:space="preserve">ontribution sera </w:t>
      </w:r>
      <w:r>
        <w:rPr>
          <w:rFonts w:ascii="Times" w:hAnsi="Times"/>
          <w:szCs w:val="24"/>
        </w:rPr>
        <w:t xml:space="preserve">consacrée au </w:t>
      </w:r>
      <w:r w:rsidR="00A01DD3" w:rsidRPr="002A1C17">
        <w:rPr>
          <w:rFonts w:ascii="Times" w:hAnsi="Times"/>
          <w:szCs w:val="24"/>
        </w:rPr>
        <w:t xml:space="preserve">« droit administratif global » (en français), et non </w:t>
      </w:r>
      <w:r>
        <w:rPr>
          <w:rFonts w:ascii="Times" w:hAnsi="Times"/>
          <w:szCs w:val="24"/>
        </w:rPr>
        <w:t xml:space="preserve">au </w:t>
      </w:r>
      <w:r w:rsidR="00A01DD3" w:rsidRPr="002A1C17">
        <w:rPr>
          <w:rFonts w:ascii="Times" w:hAnsi="Times"/>
          <w:i/>
          <w:iCs/>
          <w:szCs w:val="24"/>
        </w:rPr>
        <w:t>GAL</w:t>
      </w:r>
      <w:r w:rsidR="00A01DD3" w:rsidRPr="002A1C17">
        <w:rPr>
          <w:rFonts w:ascii="Times" w:hAnsi="Times"/>
          <w:szCs w:val="24"/>
        </w:rPr>
        <w:t xml:space="preserve">. Le projet du </w:t>
      </w:r>
      <w:r w:rsidR="00A01DD3" w:rsidRPr="002A1C17">
        <w:rPr>
          <w:rFonts w:ascii="Times" w:hAnsi="Times"/>
          <w:i/>
          <w:iCs/>
          <w:szCs w:val="24"/>
        </w:rPr>
        <w:t>GAL</w:t>
      </w:r>
      <w:r w:rsidR="00A01DD3" w:rsidRPr="002A1C17">
        <w:rPr>
          <w:rFonts w:ascii="Times" w:hAnsi="Times"/>
          <w:szCs w:val="24"/>
        </w:rPr>
        <w:t xml:space="preserve"> est essentiellement prescriptif : il </w:t>
      </w:r>
      <w:r w:rsidR="0010337C">
        <w:rPr>
          <w:rFonts w:ascii="Times" w:hAnsi="Times"/>
          <w:szCs w:val="24"/>
        </w:rPr>
        <w:t xml:space="preserve">vise à </w:t>
      </w:r>
      <w:r w:rsidR="00A01DD3" w:rsidRPr="002A1C17">
        <w:rPr>
          <w:rFonts w:ascii="Times" w:hAnsi="Times"/>
          <w:szCs w:val="24"/>
        </w:rPr>
        <w:t>proposer une grille de lecture de phénomènes objectifs, dans le but de parvenir à modifier l</w:t>
      </w:r>
      <w:r w:rsidR="00D72851">
        <w:rPr>
          <w:rFonts w:ascii="Times" w:hAnsi="Times"/>
          <w:szCs w:val="24"/>
        </w:rPr>
        <w:t>’</w:t>
      </w:r>
      <w:r w:rsidR="00A01DD3" w:rsidRPr="002A1C17">
        <w:rPr>
          <w:rFonts w:ascii="Times" w:hAnsi="Times"/>
          <w:szCs w:val="24"/>
        </w:rPr>
        <w:t>état du droit. Par ailleurs</w:t>
      </w:r>
      <w:r w:rsidR="009611E8">
        <w:rPr>
          <w:rFonts w:ascii="Times" w:hAnsi="Times"/>
          <w:szCs w:val="24"/>
        </w:rPr>
        <w:t>,</w:t>
      </w:r>
      <w:r w:rsidR="00A01DD3" w:rsidRPr="002A1C17">
        <w:rPr>
          <w:rFonts w:ascii="Times" w:hAnsi="Times"/>
          <w:szCs w:val="24"/>
        </w:rPr>
        <w:t xml:space="preserve"> certains choix opérés par les concepteurs du </w:t>
      </w:r>
      <w:r w:rsidR="00A01DD3" w:rsidRPr="002A1C17">
        <w:rPr>
          <w:rFonts w:ascii="Times" w:hAnsi="Times"/>
          <w:i/>
          <w:iCs/>
          <w:szCs w:val="24"/>
        </w:rPr>
        <w:t>GAL</w:t>
      </w:r>
      <w:r w:rsidR="00A01DD3" w:rsidRPr="002A1C17">
        <w:rPr>
          <w:rFonts w:ascii="Times" w:hAnsi="Times"/>
          <w:szCs w:val="24"/>
        </w:rPr>
        <w:t>, comme celui de ne jamais définir le terme « administratif » et donc de ne pas justifier cette idée « </w:t>
      </w:r>
      <w:r w:rsidR="00A01DD3" w:rsidRPr="009611E8">
        <w:rPr>
          <w:rFonts w:ascii="Times" w:hAnsi="Times"/>
          <w:szCs w:val="24"/>
        </w:rPr>
        <w:t>d</w:t>
      </w:r>
      <w:r w:rsidR="00D72851">
        <w:rPr>
          <w:rFonts w:ascii="Times" w:hAnsi="Times"/>
          <w:szCs w:val="24"/>
        </w:rPr>
        <w:t>’</w:t>
      </w:r>
      <w:r w:rsidR="00A01DD3" w:rsidRPr="002A1C17">
        <w:rPr>
          <w:rFonts w:ascii="Times" w:hAnsi="Times"/>
          <w:i/>
          <w:iCs/>
          <w:szCs w:val="24"/>
        </w:rPr>
        <w:t>administration</w:t>
      </w:r>
      <w:r w:rsidR="00A01DD3" w:rsidRPr="002A1C17">
        <w:rPr>
          <w:rFonts w:ascii="Times" w:hAnsi="Times"/>
          <w:szCs w:val="24"/>
        </w:rPr>
        <w:t xml:space="preserve"> globale », ou encore d</w:t>
      </w:r>
      <w:r w:rsidR="00D72851">
        <w:rPr>
          <w:rFonts w:ascii="Times" w:hAnsi="Times"/>
          <w:szCs w:val="24"/>
        </w:rPr>
        <w:t>’</w:t>
      </w:r>
      <w:r w:rsidR="00A01DD3" w:rsidRPr="002A1C17">
        <w:rPr>
          <w:rFonts w:ascii="Times" w:hAnsi="Times"/>
          <w:szCs w:val="24"/>
        </w:rPr>
        <w:t xml:space="preserve">exclure les entreprises </w:t>
      </w:r>
      <w:r w:rsidR="00A01DD3" w:rsidRPr="002A1C17">
        <w:rPr>
          <w:rFonts w:ascii="Times" w:hAnsi="Times"/>
          <w:szCs w:val="24"/>
        </w:rPr>
        <w:t>transnationales du projet, apparaissent très contestables. C</w:t>
      </w:r>
      <w:r w:rsidR="00D72851">
        <w:rPr>
          <w:rFonts w:ascii="Times" w:hAnsi="Times"/>
          <w:szCs w:val="24"/>
        </w:rPr>
        <w:t>’</w:t>
      </w:r>
      <w:r w:rsidR="00A01DD3" w:rsidRPr="002A1C17">
        <w:rPr>
          <w:rFonts w:ascii="Times" w:hAnsi="Times"/>
          <w:szCs w:val="24"/>
        </w:rPr>
        <w:t>est la raison pour laquelle</w:t>
      </w:r>
      <w:r w:rsidR="009B6CAF">
        <w:rPr>
          <w:rFonts w:ascii="Times" w:hAnsi="Times"/>
          <w:szCs w:val="24"/>
        </w:rPr>
        <w:t>, sans s</w:t>
      </w:r>
      <w:r w:rsidR="00D72851">
        <w:rPr>
          <w:rFonts w:ascii="Times" w:hAnsi="Times"/>
          <w:szCs w:val="24"/>
        </w:rPr>
        <w:t>’</w:t>
      </w:r>
      <w:r w:rsidR="009B6CAF">
        <w:rPr>
          <w:rFonts w:ascii="Times" w:hAnsi="Times"/>
          <w:szCs w:val="24"/>
        </w:rPr>
        <w:t xml:space="preserve">interdire de faire référence aux travaux de la doctrine du </w:t>
      </w:r>
      <w:r w:rsidR="009B6CAF">
        <w:rPr>
          <w:rFonts w:ascii="Times" w:hAnsi="Times"/>
          <w:i/>
          <w:iCs/>
          <w:szCs w:val="24"/>
        </w:rPr>
        <w:t>GAL</w:t>
      </w:r>
      <w:r w:rsidR="009B6CAF">
        <w:rPr>
          <w:rFonts w:ascii="Times" w:hAnsi="Times"/>
          <w:szCs w:val="24"/>
        </w:rPr>
        <w:t>,</w:t>
      </w:r>
      <w:r w:rsidR="00A01DD3" w:rsidRPr="002A1C17">
        <w:rPr>
          <w:rFonts w:ascii="Times" w:hAnsi="Times"/>
          <w:szCs w:val="24"/>
        </w:rPr>
        <w:t xml:space="preserve"> il sera plutôt question ici d</w:t>
      </w:r>
      <w:r w:rsidR="00D72851">
        <w:rPr>
          <w:rFonts w:ascii="Times" w:hAnsi="Times"/>
          <w:szCs w:val="24"/>
        </w:rPr>
        <w:t>’</w:t>
      </w:r>
      <w:r w:rsidR="00A01DD3" w:rsidRPr="002A1C17">
        <w:rPr>
          <w:rFonts w:ascii="Times" w:hAnsi="Times"/>
          <w:szCs w:val="24"/>
        </w:rPr>
        <w:t>un « droit administratif global » défini comme l</w:t>
      </w:r>
      <w:r w:rsidR="00D72851">
        <w:rPr>
          <w:rFonts w:ascii="Times" w:hAnsi="Times"/>
          <w:szCs w:val="24"/>
        </w:rPr>
        <w:t>’</w:t>
      </w:r>
      <w:r w:rsidR="00A01DD3" w:rsidRPr="002A1C17">
        <w:rPr>
          <w:rFonts w:ascii="Times" w:hAnsi="Times"/>
          <w:szCs w:val="24"/>
        </w:rPr>
        <w:t xml:space="preserve">ensemble des normes de droit positif visant à encadrer le processus décisionnel au sein des entités globales, </w:t>
      </w:r>
      <w:r w:rsidR="00795961">
        <w:rPr>
          <w:rFonts w:ascii="Times" w:hAnsi="Times"/>
          <w:szCs w:val="24"/>
        </w:rPr>
        <w:t>c</w:t>
      </w:r>
      <w:r w:rsidR="00D72851">
        <w:rPr>
          <w:rFonts w:ascii="Times" w:hAnsi="Times"/>
          <w:szCs w:val="24"/>
        </w:rPr>
        <w:t>’</w:t>
      </w:r>
      <w:r w:rsidR="00795961">
        <w:rPr>
          <w:rFonts w:ascii="Times" w:hAnsi="Times"/>
          <w:szCs w:val="24"/>
        </w:rPr>
        <w:t xml:space="preserve">est-à-dire </w:t>
      </w:r>
      <w:r w:rsidR="00A01DD3" w:rsidRPr="002A1C17">
        <w:rPr>
          <w:rFonts w:ascii="Times" w:hAnsi="Times"/>
          <w:szCs w:val="24"/>
        </w:rPr>
        <w:t>toutes les institutions adoptant des décisions ayant des impacts dans plusieurs ordres juridiques</w:t>
      </w:r>
      <w:bookmarkStart w:id="2" w:name="_Ref54635937"/>
      <w:r w:rsidR="00A01DD3" w:rsidRPr="002A1C17">
        <w:rPr>
          <w:rStyle w:val="Appelnotedebasdep"/>
          <w:rFonts w:ascii="Times" w:hAnsi="Times"/>
          <w:szCs w:val="24"/>
        </w:rPr>
        <w:footnoteReference w:id="9"/>
      </w:r>
      <w:bookmarkEnd w:id="2"/>
      <w:r w:rsidR="00A01DD3" w:rsidRPr="002A1C17">
        <w:rPr>
          <w:rFonts w:ascii="Times" w:hAnsi="Times"/>
          <w:szCs w:val="24"/>
        </w:rPr>
        <w:t>.</w:t>
      </w:r>
    </w:p>
    <w:p w14:paraId="51496CFB" w14:textId="77777777" w:rsidR="001C3F69" w:rsidRPr="002A1C17" w:rsidRDefault="001C3F69" w:rsidP="00D11C33">
      <w:pPr>
        <w:spacing w:line="240" w:lineRule="auto"/>
        <w:jc w:val="both"/>
        <w:rPr>
          <w:rFonts w:ascii="Times" w:hAnsi="Times"/>
          <w:szCs w:val="24"/>
        </w:rPr>
      </w:pPr>
    </w:p>
    <w:p w14:paraId="08E6AF81" w14:textId="74BED378" w:rsidR="00347FDC" w:rsidRPr="002A1C17" w:rsidRDefault="001C3F69" w:rsidP="00D11C33">
      <w:pPr>
        <w:spacing w:line="240" w:lineRule="auto"/>
        <w:jc w:val="both"/>
        <w:rPr>
          <w:rFonts w:ascii="Times" w:hAnsi="Times"/>
          <w:szCs w:val="24"/>
        </w:rPr>
      </w:pPr>
      <w:r w:rsidRPr="002A1C17">
        <w:rPr>
          <w:rFonts w:ascii="Times" w:hAnsi="Times"/>
          <w:szCs w:val="24"/>
        </w:rPr>
        <w:t>Au regard de cette définition, les organismes de normalisation technique, qu</w:t>
      </w:r>
      <w:r w:rsidR="00D72851">
        <w:rPr>
          <w:rFonts w:ascii="Times" w:hAnsi="Times"/>
          <w:szCs w:val="24"/>
        </w:rPr>
        <w:t>’</w:t>
      </w:r>
      <w:r w:rsidRPr="002A1C17">
        <w:rPr>
          <w:rFonts w:ascii="Times" w:hAnsi="Times"/>
          <w:szCs w:val="24"/>
        </w:rPr>
        <w:t xml:space="preserve">ils soient publics comme la Commission du </w:t>
      </w:r>
      <w:r w:rsidRPr="002A1C17">
        <w:rPr>
          <w:rFonts w:ascii="Times" w:hAnsi="Times"/>
          <w:i/>
          <w:iCs/>
          <w:szCs w:val="24"/>
        </w:rPr>
        <w:t>Codex Alimentarius</w:t>
      </w:r>
      <w:bookmarkStart w:id="3" w:name="_Ref54630351"/>
      <w:r w:rsidRPr="002A1C17">
        <w:rPr>
          <w:rStyle w:val="Appelnotedebasdep"/>
          <w:rFonts w:ascii="Times" w:hAnsi="Times"/>
          <w:szCs w:val="24"/>
        </w:rPr>
        <w:footnoteReference w:id="10"/>
      </w:r>
      <w:bookmarkEnd w:id="3"/>
      <w:r w:rsidRPr="002A1C17">
        <w:rPr>
          <w:rFonts w:ascii="Times" w:hAnsi="Times"/>
          <w:szCs w:val="24"/>
        </w:rPr>
        <w:t xml:space="preserve"> ou privés, peuvent être qualifiés d</w:t>
      </w:r>
      <w:r w:rsidR="00D72851">
        <w:rPr>
          <w:rFonts w:ascii="Times" w:hAnsi="Times"/>
          <w:szCs w:val="24"/>
        </w:rPr>
        <w:t>’</w:t>
      </w:r>
      <w:r w:rsidRPr="002A1C17">
        <w:rPr>
          <w:rFonts w:ascii="Times" w:hAnsi="Times"/>
          <w:szCs w:val="24"/>
        </w:rPr>
        <w:t xml:space="preserve">entités </w:t>
      </w:r>
      <w:r w:rsidRPr="002A1C17">
        <w:rPr>
          <w:rFonts w:ascii="Times" w:hAnsi="Times"/>
          <w:szCs w:val="24"/>
        </w:rPr>
        <w:lastRenderedPageBreak/>
        <w:t>globales. La normalisation technique privée, omniprésente dans la sphère globale, peut dès lors être analysée sous l</w:t>
      </w:r>
      <w:r w:rsidR="00D72851">
        <w:rPr>
          <w:rFonts w:ascii="Times" w:hAnsi="Times"/>
          <w:szCs w:val="24"/>
        </w:rPr>
        <w:t>’</w:t>
      </w:r>
      <w:r w:rsidRPr="002A1C17">
        <w:rPr>
          <w:rFonts w:ascii="Times" w:hAnsi="Times"/>
          <w:szCs w:val="24"/>
        </w:rPr>
        <w:t>angle du droit administratif global, en considérant</w:t>
      </w:r>
      <w:r w:rsidR="005B6D16" w:rsidRPr="002A1C17">
        <w:rPr>
          <w:rFonts w:ascii="Times" w:hAnsi="Times"/>
          <w:szCs w:val="24"/>
        </w:rPr>
        <w:t xml:space="preserve"> que</w:t>
      </w:r>
      <w:r w:rsidRPr="002A1C17">
        <w:rPr>
          <w:rFonts w:ascii="Times" w:hAnsi="Times"/>
          <w:szCs w:val="24"/>
        </w:rPr>
        <w:t xml:space="preserve"> les normalisateurs prennent des « décisions globales » susceptibles de présenter des failles </w:t>
      </w:r>
      <w:r w:rsidR="00701424" w:rsidRPr="002A1C17">
        <w:rPr>
          <w:rFonts w:ascii="Times" w:hAnsi="Times"/>
          <w:szCs w:val="24"/>
        </w:rPr>
        <w:t>en termes de légitimité</w:t>
      </w:r>
      <w:r w:rsidRPr="002A1C17">
        <w:rPr>
          <w:rFonts w:ascii="Times" w:hAnsi="Times"/>
          <w:szCs w:val="24"/>
        </w:rPr>
        <w:t xml:space="preserve">. </w:t>
      </w:r>
    </w:p>
    <w:p w14:paraId="14E7A4EF" w14:textId="77777777" w:rsidR="00347FDC" w:rsidRPr="002A1C17" w:rsidRDefault="00347FDC" w:rsidP="00D11C33">
      <w:pPr>
        <w:spacing w:line="240" w:lineRule="auto"/>
        <w:jc w:val="both"/>
        <w:rPr>
          <w:rFonts w:ascii="Times" w:hAnsi="Times"/>
          <w:szCs w:val="24"/>
        </w:rPr>
      </w:pPr>
    </w:p>
    <w:p w14:paraId="15AF19BA" w14:textId="10B43447" w:rsidR="001C3F69" w:rsidRPr="002A1C17" w:rsidRDefault="001C3F69" w:rsidP="00D11C33">
      <w:pPr>
        <w:spacing w:line="240" w:lineRule="auto"/>
        <w:jc w:val="both"/>
        <w:rPr>
          <w:rFonts w:ascii="Times" w:hAnsi="Times"/>
          <w:szCs w:val="24"/>
        </w:rPr>
      </w:pPr>
      <w:r w:rsidRPr="002A1C17">
        <w:rPr>
          <w:rFonts w:ascii="Times" w:hAnsi="Times"/>
          <w:szCs w:val="24"/>
        </w:rPr>
        <w:t>Le plus connu parmi ces normalisateurs</w:t>
      </w:r>
      <w:r w:rsidR="00701424" w:rsidRPr="002A1C17">
        <w:rPr>
          <w:rFonts w:ascii="Times" w:hAnsi="Times"/>
          <w:szCs w:val="24"/>
        </w:rPr>
        <w:t xml:space="preserve"> privés est sans </w:t>
      </w:r>
      <w:r w:rsidR="0069622B" w:rsidRPr="002A1C17">
        <w:rPr>
          <w:rFonts w:ascii="Times" w:hAnsi="Times"/>
          <w:szCs w:val="24"/>
        </w:rPr>
        <w:t>conteste</w:t>
      </w:r>
      <w:r w:rsidR="00701424" w:rsidRPr="002A1C17">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szCs w:val="24"/>
        </w:rPr>
        <w:t>Organisation internationale de normalisation (l</w:t>
      </w:r>
      <w:r w:rsidR="00D72851">
        <w:rPr>
          <w:rFonts w:ascii="Times" w:hAnsi="Times"/>
          <w:szCs w:val="24"/>
        </w:rPr>
        <w:t>’</w:t>
      </w:r>
      <w:r w:rsidRPr="002A1C17">
        <w:rPr>
          <w:rFonts w:ascii="Times" w:hAnsi="Times"/>
          <w:szCs w:val="24"/>
        </w:rPr>
        <w:t>ISO)</w:t>
      </w:r>
      <w:r w:rsidR="00676D0B" w:rsidRPr="002A1C17">
        <w:rPr>
          <w:rFonts w:ascii="Times" w:hAnsi="Times"/>
          <w:szCs w:val="24"/>
        </w:rPr>
        <w:t>, « organisation privée internationale […] plus proche dans ses objectifs et modes de fonctionnement d</w:t>
      </w:r>
      <w:r w:rsidR="00D72851">
        <w:rPr>
          <w:rFonts w:ascii="Times" w:hAnsi="Times"/>
          <w:szCs w:val="24"/>
        </w:rPr>
        <w:t>’</w:t>
      </w:r>
      <w:r w:rsidR="00676D0B" w:rsidRPr="002A1C17">
        <w:rPr>
          <w:rFonts w:ascii="Times" w:hAnsi="Times"/>
          <w:szCs w:val="24"/>
        </w:rPr>
        <w:t>une organisation parapublique »</w:t>
      </w:r>
      <w:r w:rsidR="00676D0B" w:rsidRPr="002A1C17">
        <w:rPr>
          <w:rStyle w:val="Appelnotedebasdep"/>
          <w:rFonts w:ascii="Times" w:hAnsi="Times"/>
          <w:szCs w:val="24"/>
        </w:rPr>
        <w:footnoteReference w:id="11"/>
      </w:r>
      <w:r w:rsidR="00676D0B" w:rsidRPr="002A1C17">
        <w:rPr>
          <w:rFonts w:ascii="Times" w:hAnsi="Times"/>
          <w:szCs w:val="24"/>
        </w:rPr>
        <w:t>. S</w:t>
      </w:r>
      <w:r w:rsidR="0069622B" w:rsidRPr="002A1C17">
        <w:rPr>
          <w:rFonts w:ascii="Times" w:hAnsi="Times"/>
          <w:szCs w:val="24"/>
        </w:rPr>
        <w:t>era également évoqué</w:t>
      </w:r>
      <w:r w:rsidR="00347FDC" w:rsidRPr="002A1C17">
        <w:rPr>
          <w:rFonts w:ascii="Times" w:hAnsi="Times"/>
          <w:szCs w:val="24"/>
        </w:rPr>
        <w:t>,</w:t>
      </w:r>
      <w:r w:rsidR="0069622B" w:rsidRPr="002A1C17">
        <w:rPr>
          <w:rFonts w:ascii="Times" w:hAnsi="Times"/>
          <w:szCs w:val="24"/>
        </w:rPr>
        <w:t xml:space="preserve"> dans cette contribution</w:t>
      </w:r>
      <w:r w:rsidR="00347FDC" w:rsidRPr="002A1C17">
        <w:rPr>
          <w:rFonts w:ascii="Times" w:hAnsi="Times"/>
          <w:szCs w:val="24"/>
        </w:rPr>
        <w:t>,</w:t>
      </w:r>
      <w:r w:rsidR="0069622B" w:rsidRPr="002A1C17">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i/>
          <w:iCs/>
          <w:szCs w:val="24"/>
        </w:rPr>
        <w:t>International Accounting Standards Board</w:t>
      </w:r>
      <w:r w:rsidR="0069622B" w:rsidRPr="002A1C17">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szCs w:val="24"/>
        </w:rPr>
        <w:t>IASB</w:t>
      </w:r>
      <w:r w:rsidR="0069622B" w:rsidRPr="002A1C17">
        <w:rPr>
          <w:rFonts w:ascii="Times" w:hAnsi="Times"/>
          <w:szCs w:val="24"/>
        </w:rPr>
        <w:t>)</w:t>
      </w:r>
      <w:r w:rsidRPr="002A1C17">
        <w:rPr>
          <w:rFonts w:ascii="Times" w:hAnsi="Times"/>
          <w:szCs w:val="24"/>
        </w:rPr>
        <w:t xml:space="preserve">, principal </w:t>
      </w:r>
      <w:r w:rsidRPr="002A1C17">
        <w:rPr>
          <w:rFonts w:ascii="Times" w:hAnsi="Times"/>
          <w:szCs w:val="24"/>
        </w:rPr>
        <w:t xml:space="preserve">organisme privé de standardisation comptable. </w:t>
      </w:r>
      <w:r w:rsidR="00676D0B" w:rsidRPr="002A1C17">
        <w:rPr>
          <w:rFonts w:ascii="Times" w:hAnsi="Times"/>
          <w:szCs w:val="24"/>
        </w:rPr>
        <w:t>Moins connu que l</w:t>
      </w:r>
      <w:r w:rsidR="00D72851">
        <w:rPr>
          <w:rFonts w:ascii="Times" w:hAnsi="Times"/>
          <w:szCs w:val="24"/>
        </w:rPr>
        <w:t>’</w:t>
      </w:r>
      <w:r w:rsidR="00676D0B" w:rsidRPr="002A1C17">
        <w:rPr>
          <w:rFonts w:ascii="Times" w:hAnsi="Times"/>
          <w:szCs w:val="24"/>
        </w:rPr>
        <w:t>ISO, l</w:t>
      </w:r>
      <w:r w:rsidR="00D72851">
        <w:rPr>
          <w:rFonts w:ascii="Times" w:hAnsi="Times"/>
          <w:szCs w:val="24"/>
        </w:rPr>
        <w:t>’</w:t>
      </w:r>
      <w:r w:rsidR="00676D0B" w:rsidRPr="002A1C17">
        <w:rPr>
          <w:rFonts w:ascii="Times" w:hAnsi="Times"/>
          <w:szCs w:val="24"/>
        </w:rPr>
        <w:t xml:space="preserve">IASB </w:t>
      </w:r>
      <w:r w:rsidRPr="002A1C17">
        <w:rPr>
          <w:rFonts w:ascii="Times" w:hAnsi="Times"/>
          <w:szCs w:val="24"/>
        </w:rPr>
        <w:t>est une structure de droit britannique créée en 2001 pour succéder à l</w:t>
      </w:r>
      <w:r w:rsidR="00D72851">
        <w:rPr>
          <w:rFonts w:ascii="Times" w:hAnsi="Times"/>
          <w:szCs w:val="24"/>
        </w:rPr>
        <w:t>’</w:t>
      </w:r>
      <w:r w:rsidRPr="002A1C17">
        <w:rPr>
          <w:rFonts w:ascii="Times" w:hAnsi="Times"/>
          <w:szCs w:val="24"/>
        </w:rPr>
        <w:t xml:space="preserve">IASC </w:t>
      </w:r>
      <w:r w:rsidR="00676D0B" w:rsidRPr="002A1C17">
        <w:rPr>
          <w:rFonts w:ascii="Times" w:hAnsi="Times"/>
          <w:szCs w:val="24"/>
        </w:rPr>
        <w:t>(</w:t>
      </w:r>
      <w:r w:rsidRPr="002A1C17">
        <w:rPr>
          <w:rFonts w:ascii="Times" w:hAnsi="Times"/>
          <w:i/>
          <w:iCs/>
          <w:szCs w:val="24"/>
        </w:rPr>
        <w:t>International Accounting Standards Board</w:t>
      </w:r>
      <w:r w:rsidRPr="002A1C17">
        <w:rPr>
          <w:rFonts w:ascii="Times" w:hAnsi="Times"/>
          <w:szCs w:val="24"/>
        </w:rPr>
        <w:t xml:space="preserve">). </w:t>
      </w:r>
      <w:r w:rsidR="00676D0B" w:rsidRPr="002A1C17">
        <w:rPr>
          <w:rFonts w:ascii="Times" w:hAnsi="Times"/>
          <w:szCs w:val="24"/>
        </w:rPr>
        <w:t>L</w:t>
      </w:r>
      <w:r w:rsidR="00D72851">
        <w:rPr>
          <w:rFonts w:ascii="Times" w:hAnsi="Times"/>
          <w:szCs w:val="24"/>
        </w:rPr>
        <w:t>’</w:t>
      </w:r>
      <w:r w:rsidR="00676D0B" w:rsidRPr="002A1C17">
        <w:rPr>
          <w:rFonts w:ascii="Times" w:hAnsi="Times"/>
          <w:szCs w:val="24"/>
        </w:rPr>
        <w:t>IASB</w:t>
      </w:r>
      <w:r w:rsidRPr="002A1C17">
        <w:rPr>
          <w:rFonts w:ascii="Times" w:hAnsi="Times"/>
          <w:szCs w:val="24"/>
        </w:rPr>
        <w:t xml:space="preserve"> </w:t>
      </w:r>
      <w:r w:rsidR="00676D0B" w:rsidRPr="002A1C17">
        <w:rPr>
          <w:rFonts w:ascii="Times" w:hAnsi="Times"/>
          <w:szCs w:val="24"/>
        </w:rPr>
        <w:t xml:space="preserve">constitue </w:t>
      </w:r>
      <w:r w:rsidRPr="002A1C17">
        <w:rPr>
          <w:rFonts w:ascii="Times" w:hAnsi="Times"/>
          <w:szCs w:val="24"/>
        </w:rPr>
        <w:t xml:space="preserve">le « bras exécutif » de la normalisation </w:t>
      </w:r>
      <w:r w:rsidR="00676D0B" w:rsidRPr="002A1C17">
        <w:rPr>
          <w:rFonts w:ascii="Times" w:hAnsi="Times"/>
          <w:szCs w:val="24"/>
        </w:rPr>
        <w:t xml:space="preserve">comptable </w:t>
      </w:r>
      <w:r w:rsidRPr="002A1C17">
        <w:rPr>
          <w:rFonts w:ascii="Times" w:hAnsi="Times"/>
          <w:szCs w:val="24"/>
        </w:rPr>
        <w:t>et est juridiquement placée sous le contrôle de l</w:t>
      </w:r>
      <w:r w:rsidR="00D72851">
        <w:rPr>
          <w:rFonts w:ascii="Times" w:hAnsi="Times"/>
          <w:szCs w:val="24"/>
        </w:rPr>
        <w:t>’</w:t>
      </w:r>
      <w:r w:rsidRPr="002A1C17">
        <w:rPr>
          <w:rFonts w:ascii="Times" w:hAnsi="Times"/>
          <w:i/>
          <w:iCs/>
          <w:szCs w:val="24"/>
        </w:rPr>
        <w:t>IFRS Foundation</w:t>
      </w:r>
      <w:r w:rsidRPr="002A1C17">
        <w:rPr>
          <w:rFonts w:ascii="Times" w:hAnsi="Times"/>
          <w:szCs w:val="24"/>
        </w:rPr>
        <w:t>, une organisation à but non lucratif immatriculée dans l</w:t>
      </w:r>
      <w:r w:rsidR="00D72851">
        <w:rPr>
          <w:rFonts w:ascii="Times" w:hAnsi="Times"/>
          <w:szCs w:val="24"/>
        </w:rPr>
        <w:t>’</w:t>
      </w:r>
      <w:r w:rsidRPr="002A1C17">
        <w:rPr>
          <w:rFonts w:ascii="Times" w:hAnsi="Times"/>
          <w:szCs w:val="24"/>
        </w:rPr>
        <w:t xml:space="preserve">État du Delaware aux États-Unis. </w:t>
      </w:r>
      <w:r w:rsidR="00676D0B" w:rsidRPr="002A1C17">
        <w:rPr>
          <w:rFonts w:ascii="Times" w:hAnsi="Times"/>
          <w:szCs w:val="24"/>
        </w:rPr>
        <w:t>Les normes comptables produites par l</w:t>
      </w:r>
      <w:r w:rsidR="00D72851">
        <w:rPr>
          <w:rFonts w:ascii="Times" w:hAnsi="Times"/>
          <w:szCs w:val="24"/>
        </w:rPr>
        <w:t>’</w:t>
      </w:r>
      <w:r w:rsidR="00676D0B" w:rsidRPr="002A1C17">
        <w:rPr>
          <w:rFonts w:ascii="Times" w:hAnsi="Times"/>
          <w:szCs w:val="24"/>
        </w:rPr>
        <w:t>IASB sont connues sous le nom d</w:t>
      </w:r>
      <w:r w:rsidR="00D72851">
        <w:rPr>
          <w:rFonts w:ascii="Times" w:hAnsi="Times"/>
          <w:szCs w:val="24"/>
        </w:rPr>
        <w:t>’</w:t>
      </w:r>
      <w:r w:rsidRPr="002A1C17">
        <w:rPr>
          <w:rFonts w:ascii="Times" w:hAnsi="Times"/>
          <w:i/>
          <w:iCs/>
          <w:szCs w:val="24"/>
        </w:rPr>
        <w:t>International Financial Reporting Standards</w:t>
      </w:r>
      <w:r w:rsidR="00676D0B" w:rsidRPr="002A1C17">
        <w:rPr>
          <w:rFonts w:ascii="Times" w:hAnsi="Times"/>
          <w:i/>
          <w:iCs/>
          <w:szCs w:val="24"/>
        </w:rPr>
        <w:t xml:space="preserve"> </w:t>
      </w:r>
      <w:r w:rsidRPr="002A1C17">
        <w:rPr>
          <w:rFonts w:ascii="Times" w:hAnsi="Times"/>
          <w:szCs w:val="24"/>
        </w:rPr>
        <w:t>(IFRS). Ces IFRS sont très largement adoptés et sont repris</w:t>
      </w:r>
      <w:r w:rsidR="00676D0B" w:rsidRPr="002A1C17">
        <w:rPr>
          <w:rFonts w:ascii="Times" w:hAnsi="Times"/>
          <w:szCs w:val="24"/>
        </w:rPr>
        <w:t>, notamment,</w:t>
      </w:r>
      <w:r w:rsidRPr="002A1C17">
        <w:rPr>
          <w:rFonts w:ascii="Times" w:hAnsi="Times"/>
          <w:szCs w:val="24"/>
        </w:rPr>
        <w:t xml:space="preserve"> par des règlements de l</w:t>
      </w:r>
      <w:r w:rsidR="00D72851">
        <w:rPr>
          <w:rFonts w:ascii="Times" w:hAnsi="Times"/>
          <w:szCs w:val="24"/>
        </w:rPr>
        <w:t>’</w:t>
      </w:r>
      <w:r w:rsidRPr="002A1C17">
        <w:rPr>
          <w:rFonts w:ascii="Times" w:hAnsi="Times"/>
          <w:szCs w:val="24"/>
        </w:rPr>
        <w:t>Union européenne qui les rendent notamment obligatoires pour les sociétés cotées</w:t>
      </w:r>
      <w:r w:rsidR="00676D0B" w:rsidRPr="002A1C17">
        <w:rPr>
          <w:rStyle w:val="Appelnotedebasdep"/>
          <w:rFonts w:ascii="Times" w:hAnsi="Times"/>
          <w:szCs w:val="24"/>
        </w:rPr>
        <w:footnoteReference w:id="12"/>
      </w:r>
      <w:r w:rsidRPr="002A1C17">
        <w:rPr>
          <w:rFonts w:ascii="Times" w:hAnsi="Times"/>
          <w:szCs w:val="24"/>
        </w:rPr>
        <w:t xml:space="preserve"> : aussi </w:t>
      </w:r>
      <w:r w:rsidR="00870B4D">
        <w:rPr>
          <w:rFonts w:ascii="Times" w:hAnsi="Times"/>
          <w:szCs w:val="24"/>
        </w:rPr>
        <w:t xml:space="preserve">sont-ils </w:t>
      </w:r>
      <w:r w:rsidR="00676D0B" w:rsidRPr="002A1C17">
        <w:rPr>
          <w:rFonts w:ascii="Times" w:hAnsi="Times"/>
          <w:szCs w:val="24"/>
        </w:rPr>
        <w:t>parfaitement incontournables dans toute opération de</w:t>
      </w:r>
      <w:r w:rsidRPr="002A1C17">
        <w:rPr>
          <w:rFonts w:ascii="Times" w:hAnsi="Times"/>
          <w:szCs w:val="24"/>
        </w:rPr>
        <w:t xml:space="preserve"> commerce international. </w:t>
      </w:r>
    </w:p>
    <w:p w14:paraId="797AB12F" w14:textId="77777777" w:rsidR="001C3F69" w:rsidRPr="002A1C17" w:rsidRDefault="001C3F69" w:rsidP="00D11C33">
      <w:pPr>
        <w:spacing w:line="240" w:lineRule="auto"/>
        <w:jc w:val="both"/>
        <w:rPr>
          <w:rFonts w:ascii="Times" w:hAnsi="Times"/>
          <w:szCs w:val="24"/>
        </w:rPr>
      </w:pPr>
    </w:p>
    <w:p w14:paraId="72EC5640" w14:textId="50032D01" w:rsidR="004C2BB1" w:rsidRPr="002A1C17" w:rsidRDefault="00676D0B" w:rsidP="00D11C33">
      <w:pPr>
        <w:spacing w:line="240" w:lineRule="auto"/>
        <w:jc w:val="both"/>
        <w:rPr>
          <w:rFonts w:ascii="Times" w:hAnsi="Times"/>
          <w:szCs w:val="24"/>
        </w:rPr>
      </w:pPr>
      <w:r w:rsidRPr="002A1C17">
        <w:rPr>
          <w:rFonts w:ascii="Times" w:hAnsi="Times"/>
          <w:szCs w:val="24"/>
        </w:rPr>
        <w:t>À l</w:t>
      </w:r>
      <w:r w:rsidR="00D72851">
        <w:rPr>
          <w:rFonts w:ascii="Times" w:hAnsi="Times"/>
          <w:szCs w:val="24"/>
        </w:rPr>
        <w:t>’</w:t>
      </w:r>
      <w:r w:rsidRPr="002A1C17">
        <w:rPr>
          <w:rFonts w:ascii="Times" w:hAnsi="Times"/>
          <w:szCs w:val="24"/>
        </w:rPr>
        <w:t>occasion de leur mission de normalisation, les entités globales telles que l</w:t>
      </w:r>
      <w:r w:rsidR="00D72851">
        <w:rPr>
          <w:rFonts w:ascii="Times" w:hAnsi="Times"/>
          <w:szCs w:val="24"/>
        </w:rPr>
        <w:t>’</w:t>
      </w:r>
      <w:r w:rsidRPr="002A1C17">
        <w:rPr>
          <w:rFonts w:ascii="Times" w:hAnsi="Times"/>
          <w:szCs w:val="24"/>
        </w:rPr>
        <w:t>ISO et l</w:t>
      </w:r>
      <w:r w:rsidR="00D72851">
        <w:rPr>
          <w:rFonts w:ascii="Times" w:hAnsi="Times"/>
          <w:szCs w:val="24"/>
        </w:rPr>
        <w:t>’</w:t>
      </w:r>
      <w:r w:rsidRPr="002A1C17">
        <w:rPr>
          <w:rFonts w:ascii="Times" w:hAnsi="Times"/>
          <w:szCs w:val="24"/>
        </w:rPr>
        <w:t>IASB sont amenées</w:t>
      </w:r>
      <w:r w:rsidR="00E0316D" w:rsidRPr="002A1C17">
        <w:rPr>
          <w:rFonts w:ascii="Times" w:hAnsi="Times"/>
          <w:szCs w:val="24"/>
        </w:rPr>
        <w:t xml:space="preserve"> à développer des procédés relevant du droit administratif global. Ces entités agissent soit</w:t>
      </w:r>
      <w:r w:rsidRPr="002A1C17">
        <w:rPr>
          <w:rFonts w:ascii="Times" w:hAnsi="Times"/>
          <w:szCs w:val="24"/>
        </w:rPr>
        <w:t xml:space="preserve"> de manière autonome</w:t>
      </w:r>
      <w:r w:rsidR="00E0316D" w:rsidRPr="002A1C17">
        <w:rPr>
          <w:rFonts w:ascii="Times" w:hAnsi="Times"/>
          <w:szCs w:val="24"/>
        </w:rPr>
        <w:t>, soit</w:t>
      </w:r>
      <w:r w:rsidRPr="002A1C17">
        <w:rPr>
          <w:rFonts w:ascii="Times" w:hAnsi="Times"/>
          <w:szCs w:val="24"/>
        </w:rPr>
        <w:t xml:space="preserve"> du fait des puissances publiques comme l</w:t>
      </w:r>
      <w:r w:rsidR="00D72851">
        <w:rPr>
          <w:rFonts w:ascii="Times" w:hAnsi="Times"/>
          <w:szCs w:val="24"/>
        </w:rPr>
        <w:t>’</w:t>
      </w:r>
      <w:r w:rsidRPr="002A1C17">
        <w:rPr>
          <w:rFonts w:ascii="Times" w:hAnsi="Times"/>
          <w:szCs w:val="24"/>
        </w:rPr>
        <w:t xml:space="preserve">Union européenne ou les États qui utilisent ces normes et </w:t>
      </w:r>
      <w:r w:rsidR="00E0316D" w:rsidRPr="002A1C17">
        <w:rPr>
          <w:rFonts w:ascii="Times" w:hAnsi="Times"/>
          <w:szCs w:val="24"/>
        </w:rPr>
        <w:t>interviennent</w:t>
      </w:r>
      <w:r w:rsidRPr="002A1C17">
        <w:rPr>
          <w:rFonts w:ascii="Times" w:hAnsi="Times"/>
          <w:szCs w:val="24"/>
        </w:rPr>
        <w:t xml:space="preserve">, </w:t>
      </w:r>
      <w:r w:rsidRPr="002A1C17">
        <w:rPr>
          <w:rFonts w:ascii="Times" w:hAnsi="Times"/>
          <w:i/>
          <w:iCs/>
          <w:szCs w:val="24"/>
        </w:rPr>
        <w:t>via</w:t>
      </w:r>
      <w:r w:rsidRPr="002A1C17">
        <w:rPr>
          <w:rFonts w:ascii="Times" w:hAnsi="Times"/>
          <w:szCs w:val="24"/>
        </w:rPr>
        <w:t xml:space="preserve"> l</w:t>
      </w:r>
      <w:r w:rsidR="00D72851">
        <w:rPr>
          <w:rFonts w:ascii="Times" w:hAnsi="Times"/>
          <w:szCs w:val="24"/>
        </w:rPr>
        <w:t>’</w:t>
      </w:r>
      <w:r w:rsidRPr="002A1C17">
        <w:rPr>
          <w:rFonts w:ascii="Times" w:hAnsi="Times"/>
          <w:szCs w:val="24"/>
        </w:rPr>
        <w:t>homologation ou d</w:t>
      </w:r>
      <w:r w:rsidR="00D72851">
        <w:rPr>
          <w:rFonts w:ascii="Times" w:hAnsi="Times"/>
          <w:szCs w:val="24"/>
        </w:rPr>
        <w:t>’</w:t>
      </w:r>
      <w:r w:rsidRPr="002A1C17">
        <w:rPr>
          <w:rFonts w:ascii="Times" w:hAnsi="Times"/>
          <w:szCs w:val="24"/>
        </w:rPr>
        <w:t>autres techniques juridiques, dans l</w:t>
      </w:r>
      <w:r w:rsidR="00D72851">
        <w:rPr>
          <w:rFonts w:ascii="Times" w:hAnsi="Times"/>
          <w:szCs w:val="24"/>
        </w:rPr>
        <w:t>’</w:t>
      </w:r>
      <w:r w:rsidRPr="002A1C17">
        <w:rPr>
          <w:rFonts w:ascii="Times" w:hAnsi="Times"/>
          <w:szCs w:val="24"/>
        </w:rPr>
        <w:t>optique d</w:t>
      </w:r>
      <w:r w:rsidR="00D72851">
        <w:rPr>
          <w:rFonts w:ascii="Times" w:hAnsi="Times"/>
          <w:szCs w:val="24"/>
        </w:rPr>
        <w:t>’</w:t>
      </w:r>
      <w:r w:rsidRPr="002A1C17">
        <w:rPr>
          <w:rFonts w:ascii="Times" w:hAnsi="Times"/>
          <w:szCs w:val="24"/>
        </w:rPr>
        <w:t>un contrôle renforcé de leur action</w:t>
      </w:r>
      <w:r w:rsidR="00E0316D" w:rsidRPr="002A1C17">
        <w:rPr>
          <w:rFonts w:ascii="Times" w:hAnsi="Times"/>
          <w:szCs w:val="24"/>
        </w:rPr>
        <w:t xml:space="preserve"> et d</w:t>
      </w:r>
      <w:r w:rsidR="00D72851">
        <w:rPr>
          <w:rFonts w:ascii="Times" w:hAnsi="Times"/>
          <w:szCs w:val="24"/>
        </w:rPr>
        <w:t>’</w:t>
      </w:r>
      <w:r w:rsidR="00E0316D" w:rsidRPr="002A1C17">
        <w:rPr>
          <w:rFonts w:ascii="Times" w:hAnsi="Times"/>
          <w:szCs w:val="24"/>
        </w:rPr>
        <w:t>une acceptabilité accrue des normes techniques</w:t>
      </w:r>
      <w:r w:rsidRPr="002A1C17">
        <w:rPr>
          <w:rFonts w:ascii="Times" w:hAnsi="Times"/>
          <w:szCs w:val="24"/>
        </w:rPr>
        <w:t xml:space="preserve">. </w:t>
      </w:r>
      <w:r w:rsidR="00B41EFA" w:rsidRPr="002A1C17">
        <w:rPr>
          <w:rFonts w:ascii="Times" w:hAnsi="Times"/>
          <w:szCs w:val="24"/>
        </w:rPr>
        <w:t>Il</w:t>
      </w:r>
      <w:r w:rsidR="001D17EC" w:rsidRPr="002A1C17">
        <w:rPr>
          <w:rFonts w:ascii="Times" w:hAnsi="Times"/>
          <w:szCs w:val="24"/>
        </w:rPr>
        <w:t xml:space="preserve"> est </w:t>
      </w:r>
      <w:r w:rsidR="00B41EFA" w:rsidRPr="002A1C17">
        <w:rPr>
          <w:rFonts w:ascii="Times" w:hAnsi="Times"/>
          <w:szCs w:val="24"/>
        </w:rPr>
        <w:t xml:space="preserve">ainsi </w:t>
      </w:r>
      <w:r w:rsidR="001D17EC" w:rsidRPr="002A1C17">
        <w:rPr>
          <w:rFonts w:ascii="Times" w:hAnsi="Times"/>
          <w:szCs w:val="24"/>
        </w:rPr>
        <w:t>intéressant d</w:t>
      </w:r>
      <w:r w:rsidR="00D72851">
        <w:rPr>
          <w:rFonts w:ascii="Times" w:hAnsi="Times"/>
          <w:szCs w:val="24"/>
        </w:rPr>
        <w:t>’</w:t>
      </w:r>
      <w:r w:rsidR="001D17EC" w:rsidRPr="002A1C17">
        <w:rPr>
          <w:rFonts w:ascii="Times" w:hAnsi="Times"/>
          <w:szCs w:val="24"/>
        </w:rPr>
        <w:t xml:space="preserve">observer la manière </w:t>
      </w:r>
      <w:r w:rsidR="005E1892" w:rsidRPr="002A1C17">
        <w:rPr>
          <w:rFonts w:ascii="Times" w:hAnsi="Times"/>
          <w:szCs w:val="24"/>
        </w:rPr>
        <w:t>par laquelle</w:t>
      </w:r>
      <w:r w:rsidR="001D17EC" w:rsidRPr="002A1C17">
        <w:rPr>
          <w:rFonts w:ascii="Times" w:hAnsi="Times"/>
          <w:szCs w:val="24"/>
        </w:rPr>
        <w:t xml:space="preserve"> les organismes </w:t>
      </w:r>
      <w:r w:rsidR="005E1892" w:rsidRPr="002A1C17">
        <w:rPr>
          <w:rFonts w:ascii="Times" w:hAnsi="Times"/>
          <w:szCs w:val="24"/>
        </w:rPr>
        <w:t xml:space="preserve">privés </w:t>
      </w:r>
      <w:r w:rsidR="001D17EC" w:rsidRPr="002A1C17">
        <w:rPr>
          <w:rFonts w:ascii="Times" w:hAnsi="Times"/>
          <w:szCs w:val="24"/>
        </w:rPr>
        <w:t>de normalisation</w:t>
      </w:r>
      <w:r w:rsidR="008F11AD" w:rsidRPr="002A1C17">
        <w:rPr>
          <w:rFonts w:ascii="Times" w:hAnsi="Times"/>
          <w:szCs w:val="24"/>
        </w:rPr>
        <w:t>, quel que soit leur domaine</w:t>
      </w:r>
      <w:r w:rsidR="00B41EFA" w:rsidRPr="002A1C17">
        <w:rPr>
          <w:rFonts w:ascii="Times" w:hAnsi="Times"/>
          <w:szCs w:val="24"/>
        </w:rPr>
        <w:t>,</w:t>
      </w:r>
      <w:r w:rsidR="001D17EC" w:rsidRPr="002A1C17">
        <w:rPr>
          <w:rFonts w:ascii="Times" w:hAnsi="Times"/>
          <w:szCs w:val="24"/>
        </w:rPr>
        <w:t xml:space="preserve"> prennent en compte l</w:t>
      </w:r>
      <w:r w:rsidR="00D72851">
        <w:rPr>
          <w:rFonts w:ascii="Times" w:hAnsi="Times"/>
          <w:szCs w:val="24"/>
        </w:rPr>
        <w:t>’</w:t>
      </w:r>
      <w:r w:rsidR="001D17EC" w:rsidRPr="002A1C17">
        <w:rPr>
          <w:rFonts w:ascii="Times" w:hAnsi="Times"/>
          <w:szCs w:val="24"/>
        </w:rPr>
        <w:t xml:space="preserve">exigence </w:t>
      </w:r>
      <w:r w:rsidR="008F11AD" w:rsidRPr="002A1C17">
        <w:rPr>
          <w:rFonts w:ascii="Times" w:hAnsi="Times"/>
          <w:szCs w:val="24"/>
        </w:rPr>
        <w:t>de légitimation émergente</w:t>
      </w:r>
      <w:r w:rsidRPr="002A1C17">
        <w:rPr>
          <w:rFonts w:ascii="Times" w:hAnsi="Times"/>
          <w:szCs w:val="24"/>
        </w:rPr>
        <w:t xml:space="preserve"> (</w:t>
      </w:r>
      <w:r w:rsidRPr="002A1C17">
        <w:rPr>
          <w:rFonts w:ascii="Times" w:hAnsi="Times"/>
          <w:b/>
          <w:bCs/>
          <w:szCs w:val="24"/>
        </w:rPr>
        <w:t>I</w:t>
      </w:r>
      <w:r w:rsidRPr="002A1C17">
        <w:rPr>
          <w:rFonts w:ascii="Times" w:hAnsi="Times"/>
          <w:szCs w:val="24"/>
        </w:rPr>
        <w:t>)</w:t>
      </w:r>
      <w:r w:rsidR="00B41EFA" w:rsidRPr="002A1C17">
        <w:rPr>
          <w:rFonts w:ascii="Times" w:hAnsi="Times"/>
          <w:szCs w:val="24"/>
        </w:rPr>
        <w:t xml:space="preserve">. Celle-ci se traduit principalement, en droit positif, </w:t>
      </w:r>
      <w:r w:rsidR="008F11AD" w:rsidRPr="002A1C17">
        <w:rPr>
          <w:rFonts w:ascii="Times" w:hAnsi="Times"/>
          <w:szCs w:val="24"/>
        </w:rPr>
        <w:t>par l</w:t>
      </w:r>
      <w:r w:rsidR="00D72851">
        <w:rPr>
          <w:rFonts w:ascii="Times" w:hAnsi="Times"/>
          <w:szCs w:val="24"/>
        </w:rPr>
        <w:t>’</w:t>
      </w:r>
      <w:r w:rsidR="008F11AD" w:rsidRPr="002A1C17">
        <w:rPr>
          <w:rFonts w:ascii="Times" w:hAnsi="Times"/>
          <w:szCs w:val="24"/>
        </w:rPr>
        <w:t xml:space="preserve">adoption de </w:t>
      </w:r>
      <w:r w:rsidR="00D72851">
        <w:rPr>
          <w:rFonts w:ascii="Times" w:hAnsi="Times"/>
          <w:szCs w:val="24"/>
        </w:rPr>
        <w:t>« </w:t>
      </w:r>
      <w:r w:rsidR="008F11AD" w:rsidRPr="002A1C17">
        <w:rPr>
          <w:rFonts w:ascii="Times" w:hAnsi="Times"/>
          <w:szCs w:val="24"/>
        </w:rPr>
        <w:t>procédures</w:t>
      </w:r>
      <w:r w:rsidR="00D72851">
        <w:rPr>
          <w:rFonts w:ascii="Times" w:hAnsi="Times"/>
          <w:szCs w:val="24"/>
        </w:rPr>
        <w:t> »</w:t>
      </w:r>
      <w:r w:rsidR="00241C54" w:rsidRPr="002A1C17">
        <w:rPr>
          <w:rFonts w:ascii="Times" w:hAnsi="Times"/>
          <w:szCs w:val="24"/>
        </w:rPr>
        <w:t xml:space="preserve"> </w:t>
      </w:r>
      <w:r w:rsidR="00870B4D">
        <w:rPr>
          <w:rFonts w:ascii="Times" w:hAnsi="Times"/>
          <w:szCs w:val="24"/>
        </w:rPr>
        <w:t>–</w:t>
      </w:r>
      <w:r w:rsidR="00241C54" w:rsidRPr="002A1C17">
        <w:rPr>
          <w:rFonts w:ascii="Times" w:hAnsi="Times"/>
          <w:szCs w:val="24"/>
        </w:rPr>
        <w:t xml:space="preserve"> transparence, publicité des décisions, bonne gouvernance et participation en sont des avatars topiques </w:t>
      </w:r>
      <w:r w:rsidR="00241C54" w:rsidRPr="002A1C17">
        <w:rPr>
          <w:rFonts w:ascii="Times" w:hAnsi="Times"/>
          <w:szCs w:val="24"/>
        </w:rPr>
        <w:t>–</w:t>
      </w:r>
      <w:r w:rsidRPr="002A1C17">
        <w:rPr>
          <w:rFonts w:ascii="Times" w:hAnsi="Times"/>
          <w:szCs w:val="24"/>
        </w:rPr>
        <w:t xml:space="preserve"> et par la revalorisation du contrôle public (</w:t>
      </w:r>
      <w:r w:rsidRPr="002A1C17">
        <w:rPr>
          <w:rFonts w:ascii="Times" w:hAnsi="Times"/>
          <w:b/>
          <w:bCs/>
          <w:szCs w:val="24"/>
        </w:rPr>
        <w:t>II</w:t>
      </w:r>
      <w:r w:rsidRPr="002A1C17">
        <w:rPr>
          <w:rFonts w:ascii="Times" w:hAnsi="Times"/>
          <w:szCs w:val="24"/>
        </w:rPr>
        <w:t>).</w:t>
      </w:r>
      <w:r w:rsidR="008F11AD" w:rsidRPr="002A1C17">
        <w:rPr>
          <w:rFonts w:ascii="Times" w:hAnsi="Times"/>
          <w:szCs w:val="24"/>
        </w:rPr>
        <w:t xml:space="preserve"> </w:t>
      </w:r>
    </w:p>
    <w:p w14:paraId="6FB5D0F4" w14:textId="77777777" w:rsidR="004C2BB1" w:rsidRPr="002A1C17" w:rsidRDefault="004C2BB1" w:rsidP="00D11C33">
      <w:pPr>
        <w:spacing w:line="240" w:lineRule="auto"/>
        <w:jc w:val="both"/>
        <w:rPr>
          <w:rFonts w:ascii="Times" w:hAnsi="Times"/>
          <w:szCs w:val="24"/>
        </w:rPr>
      </w:pPr>
    </w:p>
    <w:p w14:paraId="2D1E1CA6" w14:textId="77777777" w:rsidR="004C2BB1" w:rsidRPr="00D11C33" w:rsidRDefault="004C2BB1" w:rsidP="00D11C33">
      <w:pPr>
        <w:spacing w:line="240" w:lineRule="auto"/>
        <w:jc w:val="center"/>
        <w:rPr>
          <w:rFonts w:ascii="Times" w:hAnsi="Times"/>
          <w:b/>
          <w:bCs/>
          <w:szCs w:val="24"/>
        </w:rPr>
      </w:pPr>
      <w:r w:rsidRPr="00D11C33">
        <w:rPr>
          <w:rFonts w:ascii="Times" w:hAnsi="Times"/>
          <w:b/>
          <w:bCs/>
          <w:sz w:val="28"/>
          <w:szCs w:val="28"/>
        </w:rPr>
        <w:t>I. La normalisation technique privée face à la demande de légitimité</w:t>
      </w:r>
    </w:p>
    <w:p w14:paraId="773DD774" w14:textId="77777777" w:rsidR="004C2BB1" w:rsidRPr="002A1C17" w:rsidRDefault="004C2BB1" w:rsidP="00D11C33">
      <w:pPr>
        <w:spacing w:line="240" w:lineRule="auto"/>
        <w:jc w:val="both"/>
        <w:rPr>
          <w:rFonts w:ascii="Times" w:hAnsi="Times"/>
          <w:szCs w:val="24"/>
        </w:rPr>
      </w:pPr>
    </w:p>
    <w:p w14:paraId="1A7F8477" w14:textId="2675CD87" w:rsidR="004C2BB1" w:rsidRPr="002A1C17" w:rsidRDefault="004C2BB1" w:rsidP="00D11C33">
      <w:pPr>
        <w:spacing w:line="240" w:lineRule="auto"/>
        <w:jc w:val="both"/>
        <w:rPr>
          <w:rFonts w:ascii="Times" w:hAnsi="Times"/>
          <w:szCs w:val="24"/>
        </w:rPr>
      </w:pPr>
      <w:r w:rsidRPr="002A1C17">
        <w:rPr>
          <w:rFonts w:ascii="Times" w:hAnsi="Times"/>
          <w:szCs w:val="24"/>
        </w:rPr>
        <w:lastRenderedPageBreak/>
        <w:t xml:space="preserve"> </w:t>
      </w:r>
      <w:r w:rsidR="00EE61A6" w:rsidRPr="002A1C17">
        <w:rPr>
          <w:rFonts w:ascii="Times" w:hAnsi="Times"/>
          <w:szCs w:val="24"/>
        </w:rPr>
        <w:t>Les</w:t>
      </w:r>
      <w:r w:rsidRPr="002A1C17">
        <w:rPr>
          <w:rFonts w:ascii="Times" w:hAnsi="Times"/>
          <w:szCs w:val="24"/>
        </w:rPr>
        <w:t xml:space="preserve"> processus de normalisation privée </w:t>
      </w:r>
      <w:r w:rsidR="00EE61A6" w:rsidRPr="002A1C17">
        <w:rPr>
          <w:rFonts w:ascii="Times" w:hAnsi="Times"/>
          <w:szCs w:val="24"/>
        </w:rPr>
        <w:t>s</w:t>
      </w:r>
      <w:r w:rsidR="00D72851">
        <w:rPr>
          <w:rFonts w:ascii="Times" w:hAnsi="Times"/>
          <w:szCs w:val="24"/>
        </w:rPr>
        <w:t>’</w:t>
      </w:r>
      <w:r w:rsidR="00EE61A6" w:rsidRPr="002A1C17">
        <w:rPr>
          <w:rFonts w:ascii="Times" w:hAnsi="Times"/>
          <w:szCs w:val="24"/>
        </w:rPr>
        <w:t>exposent à des critiques sur le plan de la légitimité (</w:t>
      </w:r>
      <w:r w:rsidR="00EE61A6" w:rsidRPr="002A1C17">
        <w:rPr>
          <w:rFonts w:ascii="Times" w:hAnsi="Times"/>
          <w:b/>
          <w:bCs/>
          <w:szCs w:val="24"/>
        </w:rPr>
        <w:t>A</w:t>
      </w:r>
      <w:r w:rsidR="00EE61A6" w:rsidRPr="002A1C17">
        <w:rPr>
          <w:rFonts w:ascii="Times" w:hAnsi="Times"/>
          <w:szCs w:val="24"/>
        </w:rPr>
        <w:t>). Une fois</w:t>
      </w:r>
      <w:r w:rsidRPr="002A1C17">
        <w:rPr>
          <w:rFonts w:ascii="Times" w:hAnsi="Times"/>
          <w:szCs w:val="24"/>
        </w:rPr>
        <w:t xml:space="preserve"> portées dans le débat public</w:t>
      </w:r>
      <w:r w:rsidR="00EE61A6" w:rsidRPr="002A1C17">
        <w:rPr>
          <w:rFonts w:ascii="Times" w:hAnsi="Times"/>
          <w:szCs w:val="24"/>
        </w:rPr>
        <w:t xml:space="preserve">, elles génèrent </w:t>
      </w:r>
      <w:r w:rsidRPr="002A1C17">
        <w:rPr>
          <w:rFonts w:ascii="Times" w:hAnsi="Times"/>
          <w:szCs w:val="24"/>
        </w:rPr>
        <w:t>un « besoin social » à l</w:t>
      </w:r>
      <w:r w:rsidR="00D72851">
        <w:rPr>
          <w:rFonts w:ascii="Times" w:hAnsi="Times"/>
          <w:szCs w:val="24"/>
        </w:rPr>
        <w:t>’</w:t>
      </w:r>
      <w:r w:rsidRPr="002A1C17">
        <w:rPr>
          <w:rFonts w:ascii="Times" w:hAnsi="Times"/>
          <w:szCs w:val="24"/>
        </w:rPr>
        <w:t xml:space="preserve">origine du développement de normes relevant du droit administratif global </w:t>
      </w:r>
      <w:r w:rsidR="00EE61A6" w:rsidRPr="002A1C17">
        <w:rPr>
          <w:rFonts w:ascii="Times" w:hAnsi="Times"/>
          <w:szCs w:val="24"/>
        </w:rPr>
        <w:t>(</w:t>
      </w:r>
      <w:r w:rsidR="00EE61A6" w:rsidRPr="002A1C17">
        <w:rPr>
          <w:rFonts w:ascii="Times" w:hAnsi="Times"/>
          <w:b/>
          <w:bCs/>
          <w:szCs w:val="24"/>
        </w:rPr>
        <w:t>B</w:t>
      </w:r>
      <w:r w:rsidR="00EE61A6" w:rsidRPr="002A1C17">
        <w:rPr>
          <w:rFonts w:ascii="Times" w:hAnsi="Times"/>
          <w:szCs w:val="24"/>
        </w:rPr>
        <w:t>).</w:t>
      </w:r>
      <w:r w:rsidRPr="002A1C17">
        <w:rPr>
          <w:rFonts w:ascii="Times" w:hAnsi="Times"/>
          <w:szCs w:val="24"/>
        </w:rPr>
        <w:t xml:space="preserve"> </w:t>
      </w:r>
    </w:p>
    <w:p w14:paraId="29097E82" w14:textId="77777777" w:rsidR="004C2BB1" w:rsidRPr="002A1C17" w:rsidRDefault="004C2BB1" w:rsidP="00D11C33">
      <w:pPr>
        <w:spacing w:line="240" w:lineRule="auto"/>
        <w:jc w:val="both"/>
        <w:rPr>
          <w:rFonts w:ascii="Times" w:hAnsi="Times"/>
          <w:szCs w:val="24"/>
        </w:rPr>
      </w:pPr>
    </w:p>
    <w:p w14:paraId="6C46FA52" w14:textId="77777777" w:rsidR="004C2BB1" w:rsidRPr="002A1C17" w:rsidRDefault="004C2BB1" w:rsidP="00D11C33">
      <w:pPr>
        <w:spacing w:line="240" w:lineRule="auto"/>
        <w:jc w:val="center"/>
        <w:rPr>
          <w:rFonts w:ascii="Times" w:hAnsi="Times"/>
          <w:b/>
          <w:bCs/>
          <w:szCs w:val="24"/>
        </w:rPr>
      </w:pPr>
      <w:r w:rsidRPr="002A1C17">
        <w:rPr>
          <w:rFonts w:ascii="Times" w:hAnsi="Times"/>
          <w:b/>
          <w:bCs/>
          <w:szCs w:val="24"/>
        </w:rPr>
        <w:t>A. Le déficit</w:t>
      </w:r>
      <w:r w:rsidR="00D672DF" w:rsidRPr="002A1C17">
        <w:rPr>
          <w:rFonts w:ascii="Times" w:hAnsi="Times"/>
          <w:b/>
          <w:bCs/>
          <w:szCs w:val="24"/>
        </w:rPr>
        <w:t xml:space="preserve"> apparent</w:t>
      </w:r>
      <w:r w:rsidRPr="002A1C17">
        <w:rPr>
          <w:rFonts w:ascii="Times" w:hAnsi="Times"/>
          <w:b/>
          <w:bCs/>
          <w:szCs w:val="24"/>
        </w:rPr>
        <w:t xml:space="preserve"> de légitimité de la normalisation technique privée</w:t>
      </w:r>
    </w:p>
    <w:p w14:paraId="79FE055C" w14:textId="77777777" w:rsidR="004C2BB1" w:rsidRPr="002A1C17" w:rsidRDefault="004C2BB1" w:rsidP="00D11C33">
      <w:pPr>
        <w:spacing w:line="240" w:lineRule="auto"/>
        <w:jc w:val="both"/>
        <w:rPr>
          <w:rFonts w:ascii="Times" w:hAnsi="Times"/>
          <w:szCs w:val="24"/>
        </w:rPr>
      </w:pPr>
    </w:p>
    <w:p w14:paraId="21209814" w14:textId="10C3BADF" w:rsidR="004C2BB1" w:rsidRPr="002A1C17" w:rsidRDefault="004C2BB1" w:rsidP="00D11C33">
      <w:pPr>
        <w:spacing w:line="240" w:lineRule="auto"/>
        <w:jc w:val="both"/>
        <w:rPr>
          <w:rFonts w:ascii="Times" w:hAnsi="Times"/>
          <w:szCs w:val="24"/>
        </w:rPr>
      </w:pPr>
      <w:r w:rsidRPr="002A1C17">
        <w:rPr>
          <w:rFonts w:ascii="Times" w:hAnsi="Times"/>
          <w:szCs w:val="24"/>
        </w:rPr>
        <w:t xml:space="preserve">La légitimité du processus décisionnel menant à la normalisation, </w:t>
      </w:r>
      <w:r w:rsidR="00EE61A6" w:rsidRPr="002A1C17">
        <w:rPr>
          <w:rFonts w:ascii="Times" w:hAnsi="Times"/>
          <w:szCs w:val="24"/>
        </w:rPr>
        <w:t>s</w:t>
      </w:r>
      <w:r w:rsidR="00D72851">
        <w:rPr>
          <w:rFonts w:ascii="Times" w:hAnsi="Times"/>
          <w:szCs w:val="24"/>
        </w:rPr>
        <w:t>’</w:t>
      </w:r>
      <w:r w:rsidR="00EE61A6" w:rsidRPr="002A1C17">
        <w:rPr>
          <w:rFonts w:ascii="Times" w:hAnsi="Times"/>
          <w:szCs w:val="24"/>
        </w:rPr>
        <w:t>agissant d</w:t>
      </w:r>
      <w:r w:rsidRPr="002A1C17">
        <w:rPr>
          <w:rFonts w:ascii="Times" w:hAnsi="Times"/>
          <w:szCs w:val="24"/>
        </w:rPr>
        <w:t>es deux entités</w:t>
      </w:r>
      <w:r w:rsidR="00EE61A6" w:rsidRPr="002A1C17">
        <w:rPr>
          <w:rFonts w:ascii="Times" w:hAnsi="Times"/>
          <w:szCs w:val="24"/>
        </w:rPr>
        <w:t xml:space="preserve"> étudiées</w:t>
      </w:r>
      <w:r w:rsidRPr="002A1C17">
        <w:rPr>
          <w:rFonts w:ascii="Times" w:hAnsi="Times"/>
          <w:szCs w:val="24"/>
        </w:rPr>
        <w:t>, est d</w:t>
      </w:r>
      <w:r w:rsidR="00D72851">
        <w:rPr>
          <w:rFonts w:ascii="Times" w:hAnsi="Times"/>
          <w:szCs w:val="24"/>
        </w:rPr>
        <w:t>’</w:t>
      </w:r>
      <w:r w:rsidRPr="002A1C17">
        <w:rPr>
          <w:rFonts w:ascii="Times" w:hAnsi="Times"/>
          <w:szCs w:val="24"/>
        </w:rPr>
        <w:t xml:space="preserve">abord discutable au regard de leur statut juridique. </w:t>
      </w:r>
      <w:r w:rsidR="00EE61A6" w:rsidRPr="002A1C17">
        <w:rPr>
          <w:rFonts w:ascii="Times" w:hAnsi="Times"/>
          <w:szCs w:val="24"/>
        </w:rPr>
        <w:t xml:space="preserve">Comme </w:t>
      </w:r>
      <w:r w:rsidR="00615811">
        <w:rPr>
          <w:rFonts w:ascii="Times" w:hAnsi="Times"/>
          <w:szCs w:val="24"/>
        </w:rPr>
        <w:t xml:space="preserve">cela </w:t>
      </w:r>
      <w:r w:rsidR="00EE61A6" w:rsidRPr="002A1C17">
        <w:rPr>
          <w:rFonts w:ascii="Times" w:hAnsi="Times"/>
          <w:szCs w:val="24"/>
        </w:rPr>
        <w:t>a été mentionné</w:t>
      </w:r>
      <w:r w:rsidRPr="002A1C17">
        <w:rPr>
          <w:rFonts w:ascii="Times" w:hAnsi="Times"/>
          <w:szCs w:val="24"/>
        </w:rPr>
        <w:t>,</w:t>
      </w:r>
      <w:r w:rsidR="00EE61A6" w:rsidRPr="002A1C17">
        <w:rPr>
          <w:rFonts w:ascii="Times" w:hAnsi="Times"/>
          <w:szCs w:val="24"/>
        </w:rPr>
        <w:t xml:space="preserve"> l</w:t>
      </w:r>
      <w:r w:rsidR="00D72851">
        <w:rPr>
          <w:rFonts w:ascii="Times" w:hAnsi="Times"/>
          <w:szCs w:val="24"/>
        </w:rPr>
        <w:t>’</w:t>
      </w:r>
      <w:r w:rsidR="00EE61A6" w:rsidRPr="002A1C17">
        <w:rPr>
          <w:rFonts w:ascii="Times" w:hAnsi="Times"/>
          <w:szCs w:val="24"/>
        </w:rPr>
        <w:t>IASB est une entité privée et l</w:t>
      </w:r>
      <w:r w:rsidR="00D72851">
        <w:rPr>
          <w:rFonts w:ascii="Times" w:hAnsi="Times"/>
          <w:szCs w:val="24"/>
        </w:rPr>
        <w:t>’</w:t>
      </w:r>
      <w:r w:rsidR="00EE61A6" w:rsidRPr="002A1C17">
        <w:rPr>
          <w:rFonts w:ascii="Times" w:hAnsi="Times"/>
          <w:szCs w:val="24"/>
        </w:rPr>
        <w:t>ISO est</w:t>
      </w:r>
      <w:r w:rsidRPr="002A1C17">
        <w:rPr>
          <w:rFonts w:ascii="Times" w:hAnsi="Times"/>
          <w:szCs w:val="24"/>
        </w:rPr>
        <w:t xml:space="preserve"> « une association fondée sur un réseau de membres jouissant d</w:t>
      </w:r>
      <w:r w:rsidR="00D72851">
        <w:rPr>
          <w:rFonts w:ascii="Times" w:hAnsi="Times"/>
          <w:szCs w:val="24"/>
        </w:rPr>
        <w:t>’</w:t>
      </w:r>
      <w:r w:rsidRPr="002A1C17">
        <w:rPr>
          <w:rFonts w:ascii="Times" w:hAnsi="Times"/>
          <w:szCs w:val="24"/>
        </w:rPr>
        <w:t>une personnalité civile conformément aux Articles 60 et suivants du Code civil suisse. Elle est une organisation sans but lucratif et non gouvernementale »</w:t>
      </w:r>
      <w:r w:rsidR="00EE61A6" w:rsidRPr="002A1C17">
        <w:rPr>
          <w:rStyle w:val="Appelnotedebasdep"/>
          <w:rFonts w:ascii="Times" w:hAnsi="Times"/>
          <w:szCs w:val="24"/>
        </w:rPr>
        <w:footnoteReference w:id="13"/>
      </w:r>
      <w:r w:rsidR="00EE61A6" w:rsidRPr="002A1C17">
        <w:rPr>
          <w:rFonts w:ascii="Times" w:hAnsi="Times"/>
          <w:szCs w:val="24"/>
        </w:rPr>
        <w:t>. E</w:t>
      </w:r>
      <w:r w:rsidRPr="002A1C17">
        <w:rPr>
          <w:rFonts w:ascii="Times" w:hAnsi="Times"/>
          <w:szCs w:val="24"/>
        </w:rPr>
        <w:t xml:space="preserve">n soi, </w:t>
      </w:r>
      <w:r w:rsidR="00EE61A6" w:rsidRPr="002A1C17">
        <w:rPr>
          <w:rFonts w:ascii="Times" w:hAnsi="Times"/>
          <w:szCs w:val="24"/>
        </w:rPr>
        <w:t>il peut être considéré qu</w:t>
      </w:r>
      <w:r w:rsidR="00D72851">
        <w:rPr>
          <w:rFonts w:ascii="Times" w:hAnsi="Times"/>
          <w:szCs w:val="24"/>
        </w:rPr>
        <w:t>’</w:t>
      </w:r>
      <w:r w:rsidR="00EE61A6" w:rsidRPr="002A1C17">
        <w:rPr>
          <w:rFonts w:ascii="Times" w:hAnsi="Times"/>
          <w:szCs w:val="24"/>
        </w:rPr>
        <w:t>il n</w:t>
      </w:r>
      <w:r w:rsidR="00D72851">
        <w:rPr>
          <w:rFonts w:ascii="Times" w:hAnsi="Times"/>
          <w:szCs w:val="24"/>
        </w:rPr>
        <w:t>’</w:t>
      </w:r>
      <w:r w:rsidR="00EE61A6" w:rsidRPr="002A1C17">
        <w:rPr>
          <w:rFonts w:ascii="Times" w:hAnsi="Times"/>
          <w:szCs w:val="24"/>
        </w:rPr>
        <w:t xml:space="preserve">y a rien de </w:t>
      </w:r>
      <w:r w:rsidRPr="002A1C17">
        <w:rPr>
          <w:rFonts w:ascii="Times" w:hAnsi="Times"/>
          <w:szCs w:val="24"/>
        </w:rPr>
        <w:t xml:space="preserve">gênant </w:t>
      </w:r>
      <w:r w:rsidR="00982D60" w:rsidRPr="002A1C17">
        <w:rPr>
          <w:rFonts w:ascii="Times" w:hAnsi="Times"/>
          <w:szCs w:val="24"/>
        </w:rPr>
        <w:t>dans le fait</w:t>
      </w:r>
      <w:r w:rsidR="00EE61A6" w:rsidRPr="002A1C17">
        <w:rPr>
          <w:rFonts w:ascii="Times" w:hAnsi="Times"/>
          <w:szCs w:val="24"/>
        </w:rPr>
        <w:t xml:space="preserve"> que les</w:t>
      </w:r>
      <w:r w:rsidRPr="002A1C17">
        <w:rPr>
          <w:rFonts w:ascii="Times" w:hAnsi="Times"/>
          <w:szCs w:val="24"/>
        </w:rPr>
        <w:t xml:space="preserve"> normes techniques et comptables</w:t>
      </w:r>
      <w:r w:rsidR="00EE61A6" w:rsidRPr="002A1C17">
        <w:rPr>
          <w:rFonts w:ascii="Times" w:hAnsi="Times"/>
          <w:szCs w:val="24"/>
        </w:rPr>
        <w:t xml:space="preserve"> </w:t>
      </w:r>
      <w:r w:rsidR="00F438A5" w:rsidRPr="002A1C17">
        <w:rPr>
          <w:rFonts w:ascii="Times" w:hAnsi="Times"/>
          <w:szCs w:val="24"/>
        </w:rPr>
        <w:t>très largement</w:t>
      </w:r>
      <w:r w:rsidR="00EE61A6" w:rsidRPr="002A1C17">
        <w:rPr>
          <w:rFonts w:ascii="Times" w:hAnsi="Times"/>
          <w:szCs w:val="24"/>
        </w:rPr>
        <w:t xml:space="preserve"> adoptées </w:t>
      </w:r>
      <w:r w:rsidR="00F438A5" w:rsidRPr="002A1C17">
        <w:rPr>
          <w:rFonts w:ascii="Times" w:hAnsi="Times"/>
          <w:szCs w:val="24"/>
        </w:rPr>
        <w:t xml:space="preserve">et utilisées </w:t>
      </w:r>
      <w:r w:rsidR="00EE61A6" w:rsidRPr="002A1C17">
        <w:rPr>
          <w:rFonts w:ascii="Times" w:hAnsi="Times"/>
          <w:szCs w:val="24"/>
        </w:rPr>
        <w:t>soient générées par des entités privées. Cependant,</w:t>
      </w:r>
      <w:r w:rsidR="00F438A5" w:rsidRPr="002A1C17">
        <w:rPr>
          <w:rFonts w:ascii="Times" w:hAnsi="Times"/>
          <w:szCs w:val="24"/>
        </w:rPr>
        <w:t xml:space="preserve"> la faible accessibilité de ces normes, combinée avec leur caractère quasi-universel et l</w:t>
      </w:r>
      <w:r w:rsidR="00D72851">
        <w:rPr>
          <w:rFonts w:ascii="Times" w:hAnsi="Times"/>
          <w:szCs w:val="24"/>
        </w:rPr>
        <w:t>’</w:t>
      </w:r>
      <w:r w:rsidR="00F438A5" w:rsidRPr="002A1C17">
        <w:rPr>
          <w:rFonts w:ascii="Times" w:hAnsi="Times"/>
          <w:szCs w:val="24"/>
        </w:rPr>
        <w:t>obligation – non systématiquement juridique mais pragmatique – de s</w:t>
      </w:r>
      <w:r w:rsidR="00D72851">
        <w:rPr>
          <w:rFonts w:ascii="Times" w:hAnsi="Times"/>
          <w:szCs w:val="24"/>
        </w:rPr>
        <w:t>’</w:t>
      </w:r>
      <w:r w:rsidR="00F438A5" w:rsidRPr="002A1C17">
        <w:rPr>
          <w:rFonts w:ascii="Times" w:hAnsi="Times"/>
          <w:szCs w:val="24"/>
        </w:rPr>
        <w:t>y référer pour les entreprises de tout secteur, est de nature à soulever de sérieuses difficultés éthiques, voire juridiques. En effet, il est de notoriété publique que les normes ISO ne sont pas gratuites. Ainsi et parmi de nombreux exemples, il est nécessaire de débourser la somme de 118 Francs</w:t>
      </w:r>
      <w:r w:rsidR="00D72851">
        <w:rPr>
          <w:rStyle w:val="Appelnotedebasdep"/>
          <w:rFonts w:ascii="Times" w:hAnsi="Times"/>
          <w:szCs w:val="24"/>
        </w:rPr>
        <w:footnoteReference w:id="14"/>
      </w:r>
      <w:r w:rsidR="00F438A5" w:rsidRPr="002A1C17">
        <w:rPr>
          <w:rFonts w:ascii="Times" w:hAnsi="Times"/>
          <w:szCs w:val="24"/>
        </w:rPr>
        <w:t xml:space="preserve"> suisse pour consulter </w:t>
      </w:r>
      <w:r w:rsidRPr="002A1C17">
        <w:rPr>
          <w:rFonts w:ascii="Times" w:hAnsi="Times"/>
          <w:szCs w:val="24"/>
        </w:rPr>
        <w:t xml:space="preserve">la dernière </w:t>
      </w:r>
      <w:r w:rsidR="00F438A5" w:rsidRPr="002A1C17">
        <w:rPr>
          <w:rFonts w:ascii="Times" w:hAnsi="Times"/>
          <w:szCs w:val="24"/>
        </w:rPr>
        <w:t xml:space="preserve">version de la </w:t>
      </w:r>
      <w:r w:rsidRPr="002A1C17">
        <w:rPr>
          <w:rFonts w:ascii="Times" w:hAnsi="Times"/>
          <w:szCs w:val="24"/>
        </w:rPr>
        <w:t xml:space="preserve">norme ISO 13287 </w:t>
      </w:r>
      <w:r w:rsidRPr="002A1C17">
        <w:rPr>
          <w:rFonts w:ascii="Times" w:hAnsi="Times"/>
          <w:i/>
          <w:iCs/>
          <w:szCs w:val="24"/>
        </w:rPr>
        <w:t>Équipement de protection individuelle — Chaussures — Méthode d</w:t>
      </w:r>
      <w:r w:rsidR="00D72851">
        <w:rPr>
          <w:rFonts w:ascii="Times" w:hAnsi="Times"/>
          <w:i/>
          <w:iCs/>
          <w:szCs w:val="24"/>
        </w:rPr>
        <w:t>’</w:t>
      </w:r>
      <w:r w:rsidRPr="002A1C17">
        <w:rPr>
          <w:rFonts w:ascii="Times" w:hAnsi="Times"/>
          <w:i/>
          <w:iCs/>
          <w:szCs w:val="24"/>
        </w:rPr>
        <w:t>essai pour la résistance au glissement</w:t>
      </w:r>
      <w:r w:rsidR="00F438A5" w:rsidRPr="002A1C17">
        <w:rPr>
          <w:rStyle w:val="Appelnotedebasdep"/>
          <w:rFonts w:ascii="Times" w:hAnsi="Times"/>
          <w:szCs w:val="24"/>
        </w:rPr>
        <w:footnoteReference w:id="15"/>
      </w:r>
      <w:r w:rsidR="00F438A5" w:rsidRPr="002A1C17">
        <w:rPr>
          <w:rFonts w:ascii="Times" w:hAnsi="Times"/>
          <w:szCs w:val="24"/>
        </w:rPr>
        <w:t>. De la même manière, la souscription à l</w:t>
      </w:r>
      <w:r w:rsidR="00D72851">
        <w:rPr>
          <w:rFonts w:ascii="Times" w:hAnsi="Times"/>
          <w:szCs w:val="24"/>
        </w:rPr>
        <w:t>’</w:t>
      </w:r>
      <w:r w:rsidR="00F438A5" w:rsidRPr="002A1C17">
        <w:rPr>
          <w:rFonts w:ascii="Times" w:hAnsi="Times"/>
          <w:szCs w:val="24"/>
        </w:rPr>
        <w:t>abonnement « gratuit » à l</w:t>
      </w:r>
      <w:r w:rsidR="00D72851">
        <w:rPr>
          <w:rFonts w:ascii="Times" w:hAnsi="Times"/>
          <w:szCs w:val="24"/>
        </w:rPr>
        <w:t>’</w:t>
      </w:r>
      <w:r w:rsidR="00F438A5" w:rsidRPr="002A1C17">
        <w:rPr>
          <w:rFonts w:ascii="Times" w:hAnsi="Times"/>
          <w:szCs w:val="24"/>
        </w:rPr>
        <w:t>IASB permet seulement d</w:t>
      </w:r>
      <w:r w:rsidR="00D72851">
        <w:rPr>
          <w:rFonts w:ascii="Times" w:hAnsi="Times"/>
          <w:szCs w:val="24"/>
        </w:rPr>
        <w:t>’</w:t>
      </w:r>
      <w:r w:rsidR="00F438A5" w:rsidRPr="002A1C17">
        <w:rPr>
          <w:rFonts w:ascii="Times" w:hAnsi="Times"/>
          <w:szCs w:val="24"/>
        </w:rPr>
        <w:t>accéder aux</w:t>
      </w:r>
      <w:r w:rsidR="00F438A5" w:rsidRPr="002A1C17">
        <w:rPr>
          <w:rFonts w:ascii="Times" w:hAnsi="Times"/>
          <w:szCs w:val="24"/>
        </w:rPr>
        <w:t xml:space="preserve"> normes IFRS de base de l</w:t>
      </w:r>
      <w:r w:rsidR="00D72851">
        <w:rPr>
          <w:rFonts w:ascii="Times" w:hAnsi="Times"/>
          <w:szCs w:val="24"/>
        </w:rPr>
        <w:t>’</w:t>
      </w:r>
      <w:r w:rsidR="00F438A5" w:rsidRPr="002A1C17">
        <w:rPr>
          <w:rFonts w:ascii="Times" w:hAnsi="Times"/>
          <w:szCs w:val="24"/>
        </w:rPr>
        <w:t>année en cours. En pratique, la consultation des guides d</w:t>
      </w:r>
      <w:r w:rsidR="00D72851">
        <w:rPr>
          <w:rFonts w:ascii="Times" w:hAnsi="Times"/>
          <w:szCs w:val="24"/>
        </w:rPr>
        <w:t>’</w:t>
      </w:r>
      <w:r w:rsidR="00F438A5" w:rsidRPr="002A1C17">
        <w:rPr>
          <w:rFonts w:ascii="Times" w:hAnsi="Times"/>
          <w:szCs w:val="24"/>
        </w:rPr>
        <w:t>application et documents d</w:t>
      </w:r>
      <w:r w:rsidR="00D72851">
        <w:rPr>
          <w:rFonts w:ascii="Times" w:hAnsi="Times"/>
          <w:szCs w:val="24"/>
        </w:rPr>
        <w:t>’</w:t>
      </w:r>
      <w:r w:rsidR="00F438A5" w:rsidRPr="002A1C17">
        <w:rPr>
          <w:rFonts w:ascii="Times" w:hAnsi="Times"/>
          <w:szCs w:val="24"/>
        </w:rPr>
        <w:t>accompagnement, dont le montant avoisine les 100</w:t>
      </w:r>
      <w:r w:rsidR="0003421F">
        <w:rPr>
          <w:rFonts w:ascii="Times" w:hAnsi="Times"/>
          <w:szCs w:val="24"/>
        </w:rPr>
        <w:t xml:space="preserve"> dollars</w:t>
      </w:r>
      <w:r w:rsidR="00F438A5" w:rsidRPr="002A1C17">
        <w:rPr>
          <w:rFonts w:ascii="Times" w:hAnsi="Times"/>
          <w:szCs w:val="24"/>
        </w:rPr>
        <w:t xml:space="preserve"> pièce faute d</w:t>
      </w:r>
      <w:r w:rsidR="00D72851">
        <w:rPr>
          <w:rFonts w:ascii="Times" w:hAnsi="Times"/>
          <w:szCs w:val="24"/>
        </w:rPr>
        <w:t>’</w:t>
      </w:r>
      <w:r w:rsidR="00F438A5" w:rsidRPr="002A1C17">
        <w:rPr>
          <w:rFonts w:ascii="Times" w:hAnsi="Times"/>
          <w:szCs w:val="24"/>
        </w:rPr>
        <w:t>abonnement « </w:t>
      </w:r>
      <w:r w:rsidR="00F438A5" w:rsidRPr="002A1C17">
        <w:rPr>
          <w:rFonts w:ascii="Times" w:hAnsi="Times"/>
          <w:i/>
          <w:iCs/>
          <w:szCs w:val="24"/>
        </w:rPr>
        <w:t>premium</w:t>
      </w:r>
      <w:r w:rsidR="00F438A5" w:rsidRPr="002A1C17">
        <w:rPr>
          <w:rFonts w:ascii="Times" w:hAnsi="Times"/>
          <w:szCs w:val="24"/>
        </w:rPr>
        <w:t> » payant</w:t>
      </w:r>
      <w:r w:rsidR="00F438A5" w:rsidRPr="002A1C17">
        <w:rPr>
          <w:rStyle w:val="Appelnotedebasdep"/>
          <w:rFonts w:ascii="Times" w:hAnsi="Times"/>
          <w:szCs w:val="24"/>
        </w:rPr>
        <w:footnoteReference w:id="16"/>
      </w:r>
      <w:r w:rsidR="00F438A5" w:rsidRPr="002A1C17">
        <w:rPr>
          <w:rFonts w:ascii="Times" w:hAnsi="Times"/>
          <w:szCs w:val="24"/>
        </w:rPr>
        <w:t>, s</w:t>
      </w:r>
      <w:r w:rsidR="00D72851">
        <w:rPr>
          <w:rFonts w:ascii="Times" w:hAnsi="Times"/>
          <w:szCs w:val="24"/>
        </w:rPr>
        <w:t>’</w:t>
      </w:r>
      <w:r w:rsidR="00F438A5" w:rsidRPr="002A1C17">
        <w:rPr>
          <w:rFonts w:ascii="Times" w:hAnsi="Times"/>
          <w:szCs w:val="24"/>
        </w:rPr>
        <w:t>avère indispensable</w:t>
      </w:r>
      <w:r w:rsidR="00BC2627" w:rsidRPr="002A1C17">
        <w:rPr>
          <w:rFonts w:ascii="Times" w:hAnsi="Times"/>
          <w:szCs w:val="24"/>
        </w:rPr>
        <w:t>, malgré un discours vantant les mérites de l</w:t>
      </w:r>
      <w:r w:rsidR="00D72851">
        <w:rPr>
          <w:rFonts w:ascii="Times" w:hAnsi="Times"/>
          <w:szCs w:val="24"/>
        </w:rPr>
        <w:t>’</w:t>
      </w:r>
      <w:r w:rsidR="00BC2627" w:rsidRPr="002A1C17">
        <w:rPr>
          <w:rFonts w:ascii="Times" w:hAnsi="Times"/>
          <w:szCs w:val="24"/>
        </w:rPr>
        <w:t>accessibilité des normes non accompagnées de ces documents</w:t>
      </w:r>
      <w:r w:rsidR="00BC2627" w:rsidRPr="002A1C17">
        <w:rPr>
          <w:rStyle w:val="Appelnotedebasdep"/>
          <w:rFonts w:ascii="Times" w:hAnsi="Times"/>
          <w:szCs w:val="24"/>
        </w:rPr>
        <w:footnoteReference w:id="17"/>
      </w:r>
      <w:r w:rsidR="00BC2627" w:rsidRPr="002A1C17">
        <w:rPr>
          <w:rFonts w:ascii="Times" w:hAnsi="Times"/>
          <w:szCs w:val="24"/>
        </w:rPr>
        <w:t>.</w:t>
      </w:r>
    </w:p>
    <w:p w14:paraId="7A770244" w14:textId="77777777" w:rsidR="004C2BB1" w:rsidRPr="002A1C17" w:rsidRDefault="004C2BB1" w:rsidP="00D11C33">
      <w:pPr>
        <w:spacing w:line="240" w:lineRule="auto"/>
        <w:jc w:val="both"/>
        <w:rPr>
          <w:rFonts w:ascii="Times" w:hAnsi="Times"/>
          <w:szCs w:val="24"/>
        </w:rPr>
      </w:pPr>
    </w:p>
    <w:p w14:paraId="429EE416" w14:textId="75EAD9BD" w:rsidR="003A237E" w:rsidRPr="002A1C17" w:rsidRDefault="00F438A5" w:rsidP="00D11C33">
      <w:pPr>
        <w:spacing w:line="240" w:lineRule="auto"/>
        <w:jc w:val="both"/>
        <w:rPr>
          <w:rFonts w:ascii="Times" w:hAnsi="Times"/>
          <w:szCs w:val="24"/>
        </w:rPr>
      </w:pPr>
      <w:r w:rsidRPr="002A1C17">
        <w:rPr>
          <w:rFonts w:ascii="Times" w:hAnsi="Times"/>
          <w:szCs w:val="24"/>
        </w:rPr>
        <w:t xml:space="preserve">Il convient naturellement de ne pas verser dans le raccourci simplificateur </w:t>
      </w:r>
      <w:r w:rsidR="00633551" w:rsidRPr="002A1C17">
        <w:rPr>
          <w:rFonts w:ascii="Times" w:hAnsi="Times"/>
          <w:szCs w:val="24"/>
        </w:rPr>
        <w:t xml:space="preserve">– et non juridique – </w:t>
      </w:r>
      <w:r w:rsidRPr="002A1C17">
        <w:rPr>
          <w:rFonts w:ascii="Times" w:hAnsi="Times"/>
          <w:szCs w:val="24"/>
        </w:rPr>
        <w:t>selon lequel tout</w:t>
      </w:r>
      <w:r w:rsidR="00F17876" w:rsidRPr="002A1C17">
        <w:rPr>
          <w:rFonts w:ascii="Times" w:hAnsi="Times"/>
          <w:szCs w:val="24"/>
        </w:rPr>
        <w:t xml:space="preserve"> élément « public » devrait être gratuit. Il est, néanmoins,</w:t>
      </w:r>
      <w:r w:rsidR="004C2BB1" w:rsidRPr="002A1C17">
        <w:rPr>
          <w:rFonts w:ascii="Times" w:hAnsi="Times"/>
          <w:szCs w:val="24"/>
        </w:rPr>
        <w:t xml:space="preserve"> généralement </w:t>
      </w:r>
      <w:r w:rsidR="00F17876" w:rsidRPr="002A1C17">
        <w:rPr>
          <w:rFonts w:ascii="Times" w:hAnsi="Times"/>
          <w:szCs w:val="24"/>
        </w:rPr>
        <w:t>admis que</w:t>
      </w:r>
      <w:r w:rsidR="004C2BB1" w:rsidRPr="002A1C17">
        <w:rPr>
          <w:rFonts w:ascii="Times" w:hAnsi="Times"/>
          <w:szCs w:val="24"/>
        </w:rPr>
        <w:t xml:space="preserve"> dans une optique d</w:t>
      </w:r>
      <w:r w:rsidR="00D72851">
        <w:rPr>
          <w:rFonts w:ascii="Times" w:hAnsi="Times"/>
          <w:szCs w:val="24"/>
        </w:rPr>
        <w:t>’</w:t>
      </w:r>
      <w:r w:rsidR="004C2BB1" w:rsidRPr="002A1C17">
        <w:rPr>
          <w:rFonts w:ascii="Times" w:hAnsi="Times"/>
          <w:szCs w:val="24"/>
        </w:rPr>
        <w:t xml:space="preserve">intérêt général, le droit doit être connu </w:t>
      </w:r>
      <w:r w:rsidR="00633551" w:rsidRPr="002A1C17">
        <w:rPr>
          <w:rFonts w:ascii="Times" w:hAnsi="Times"/>
          <w:szCs w:val="24"/>
        </w:rPr>
        <w:t>ou à tout le moins</w:t>
      </w:r>
      <w:r w:rsidR="004C2BB1" w:rsidRPr="002A1C17">
        <w:rPr>
          <w:rFonts w:ascii="Times" w:hAnsi="Times"/>
          <w:szCs w:val="24"/>
        </w:rPr>
        <w:t xml:space="preserve"> accessible à tous</w:t>
      </w:r>
      <w:r w:rsidR="00633551" w:rsidRPr="002A1C17">
        <w:rPr>
          <w:rFonts w:ascii="Times" w:hAnsi="Times"/>
          <w:szCs w:val="24"/>
        </w:rPr>
        <w:t xml:space="preserve">, </w:t>
      </w:r>
      <w:r w:rsidR="00F17876" w:rsidRPr="002A1C17">
        <w:rPr>
          <w:rFonts w:ascii="Times" w:hAnsi="Times"/>
          <w:szCs w:val="24"/>
        </w:rPr>
        <w:t>notamment dans la mesure où nul n</w:t>
      </w:r>
      <w:r w:rsidR="00D72851">
        <w:rPr>
          <w:rFonts w:ascii="Times" w:hAnsi="Times"/>
          <w:szCs w:val="24"/>
        </w:rPr>
        <w:t>’</w:t>
      </w:r>
      <w:r w:rsidR="00F17876" w:rsidRPr="002A1C17">
        <w:rPr>
          <w:rFonts w:ascii="Times" w:hAnsi="Times"/>
          <w:szCs w:val="24"/>
        </w:rPr>
        <w:t>est censé ignorer la loi.</w:t>
      </w:r>
      <w:r w:rsidR="00633551" w:rsidRPr="002A1C17">
        <w:rPr>
          <w:rFonts w:ascii="Times" w:hAnsi="Times"/>
          <w:szCs w:val="24"/>
        </w:rPr>
        <w:t xml:space="preserve"> Cette attente subjective d</w:t>
      </w:r>
      <w:r w:rsidR="00D72851">
        <w:rPr>
          <w:rFonts w:ascii="Times" w:hAnsi="Times"/>
          <w:szCs w:val="24"/>
        </w:rPr>
        <w:t>’</w:t>
      </w:r>
      <w:r w:rsidR="00633551" w:rsidRPr="002A1C17">
        <w:rPr>
          <w:rFonts w:ascii="Times" w:hAnsi="Times"/>
          <w:szCs w:val="24"/>
        </w:rPr>
        <w:t>un</w:t>
      </w:r>
      <w:r w:rsidR="000805B3" w:rsidRPr="002A1C17">
        <w:rPr>
          <w:rFonts w:ascii="Times" w:hAnsi="Times"/>
          <w:szCs w:val="24"/>
        </w:rPr>
        <w:t xml:space="preserve"> certain degré </w:t>
      </w:r>
      <w:r w:rsidR="00633551" w:rsidRPr="002A1C17">
        <w:rPr>
          <w:rFonts w:ascii="Times" w:hAnsi="Times"/>
          <w:szCs w:val="24"/>
        </w:rPr>
        <w:t>de transparence</w:t>
      </w:r>
      <w:r w:rsidR="00A1109D" w:rsidRPr="002A1C17">
        <w:rPr>
          <w:rFonts w:ascii="Times" w:hAnsi="Times"/>
          <w:szCs w:val="24"/>
        </w:rPr>
        <w:t xml:space="preserve"> et d</w:t>
      </w:r>
      <w:r w:rsidR="00D72851">
        <w:rPr>
          <w:rFonts w:ascii="Times" w:hAnsi="Times"/>
          <w:szCs w:val="24"/>
        </w:rPr>
        <w:t>’</w:t>
      </w:r>
      <w:r w:rsidR="00A1109D" w:rsidRPr="002A1C17">
        <w:rPr>
          <w:rFonts w:ascii="Times" w:hAnsi="Times"/>
          <w:szCs w:val="24"/>
        </w:rPr>
        <w:t>accessibilité</w:t>
      </w:r>
      <w:r w:rsidR="00633551" w:rsidRPr="002A1C17">
        <w:rPr>
          <w:rFonts w:ascii="Times" w:hAnsi="Times"/>
          <w:szCs w:val="24"/>
        </w:rPr>
        <w:t xml:space="preserve"> résonne de manière plus forte encore lorsqu</w:t>
      </w:r>
      <w:r w:rsidR="00D72851">
        <w:rPr>
          <w:rFonts w:ascii="Times" w:hAnsi="Times"/>
          <w:szCs w:val="24"/>
        </w:rPr>
        <w:t>’</w:t>
      </w:r>
      <w:r w:rsidR="00633551" w:rsidRPr="002A1C17">
        <w:rPr>
          <w:rFonts w:ascii="Times" w:hAnsi="Times"/>
          <w:szCs w:val="24"/>
        </w:rPr>
        <w:t>il est question d</w:t>
      </w:r>
      <w:r w:rsidR="00D72851">
        <w:rPr>
          <w:rFonts w:ascii="Times" w:hAnsi="Times"/>
          <w:szCs w:val="24"/>
        </w:rPr>
        <w:t>’</w:t>
      </w:r>
      <w:r w:rsidR="00633551" w:rsidRPr="002A1C17">
        <w:rPr>
          <w:rFonts w:ascii="Times" w:hAnsi="Times"/>
          <w:szCs w:val="24"/>
        </w:rPr>
        <w:t>une activité d</w:t>
      </w:r>
      <w:r w:rsidR="00D72851">
        <w:rPr>
          <w:rFonts w:ascii="Times" w:hAnsi="Times"/>
          <w:szCs w:val="24"/>
        </w:rPr>
        <w:t>’</w:t>
      </w:r>
      <w:r w:rsidR="00633551" w:rsidRPr="002A1C17">
        <w:rPr>
          <w:rFonts w:ascii="Times" w:hAnsi="Times"/>
          <w:szCs w:val="24"/>
        </w:rPr>
        <w:t>intérêt général, ce qui est le cas des missions de l</w:t>
      </w:r>
      <w:r w:rsidR="00D72851">
        <w:rPr>
          <w:rFonts w:ascii="Times" w:hAnsi="Times"/>
          <w:szCs w:val="24"/>
        </w:rPr>
        <w:t>’</w:t>
      </w:r>
      <w:r w:rsidR="00633551" w:rsidRPr="002A1C17">
        <w:rPr>
          <w:rFonts w:ascii="Times" w:hAnsi="Times"/>
          <w:szCs w:val="24"/>
        </w:rPr>
        <w:t>ISO en France</w:t>
      </w:r>
      <w:bookmarkStart w:id="4" w:name="_Ref54641887"/>
      <w:r w:rsidR="00633551" w:rsidRPr="002A1C17">
        <w:rPr>
          <w:rStyle w:val="Appelnotedebasdep"/>
          <w:rFonts w:ascii="Times" w:hAnsi="Times"/>
          <w:szCs w:val="24"/>
        </w:rPr>
        <w:footnoteReference w:id="18"/>
      </w:r>
      <w:bookmarkEnd w:id="4"/>
      <w:r w:rsidR="00633551" w:rsidRPr="002A1C17">
        <w:rPr>
          <w:rFonts w:ascii="Times" w:hAnsi="Times"/>
          <w:szCs w:val="24"/>
        </w:rPr>
        <w:t xml:space="preserve">. </w:t>
      </w:r>
      <w:r w:rsidR="004C2BB1" w:rsidRPr="002A1C17">
        <w:rPr>
          <w:rFonts w:ascii="Times" w:hAnsi="Times"/>
          <w:szCs w:val="24"/>
        </w:rPr>
        <w:t>Une série d</w:t>
      </w:r>
      <w:r w:rsidR="00D72851">
        <w:rPr>
          <w:rFonts w:ascii="Times" w:hAnsi="Times"/>
          <w:szCs w:val="24"/>
        </w:rPr>
        <w:t>’</w:t>
      </w:r>
      <w:r w:rsidR="004C2BB1" w:rsidRPr="002A1C17">
        <w:rPr>
          <w:rFonts w:ascii="Times" w:hAnsi="Times"/>
          <w:szCs w:val="24"/>
        </w:rPr>
        <w:t>arguments vient</w:t>
      </w:r>
      <w:r w:rsidR="005128A5" w:rsidRPr="002A1C17">
        <w:rPr>
          <w:rFonts w:ascii="Times" w:hAnsi="Times"/>
          <w:szCs w:val="24"/>
        </w:rPr>
        <w:t xml:space="preserve"> </w:t>
      </w:r>
      <w:r w:rsidR="003A7A8A" w:rsidRPr="002A1C17">
        <w:rPr>
          <w:rFonts w:ascii="Times" w:hAnsi="Times"/>
          <w:szCs w:val="24"/>
        </w:rPr>
        <w:t>pourtant</w:t>
      </w:r>
      <w:r w:rsidR="005128A5" w:rsidRPr="002A1C17">
        <w:rPr>
          <w:rFonts w:ascii="Times" w:hAnsi="Times"/>
          <w:szCs w:val="24"/>
        </w:rPr>
        <w:t>,</w:t>
      </w:r>
      <w:r w:rsidR="004C2BB1" w:rsidRPr="002A1C17">
        <w:rPr>
          <w:rFonts w:ascii="Times" w:hAnsi="Times"/>
          <w:szCs w:val="24"/>
        </w:rPr>
        <w:t xml:space="preserve"> </w:t>
      </w:r>
      <w:r w:rsidR="00F17876" w:rsidRPr="002A1C17">
        <w:rPr>
          <w:rFonts w:ascii="Times" w:hAnsi="Times"/>
          <w:szCs w:val="24"/>
        </w:rPr>
        <w:t>d</w:t>
      </w:r>
      <w:r w:rsidR="00D72851">
        <w:rPr>
          <w:rFonts w:ascii="Times" w:hAnsi="Times"/>
          <w:szCs w:val="24"/>
        </w:rPr>
        <w:t>’</w:t>
      </w:r>
      <w:r w:rsidR="00F17876" w:rsidRPr="002A1C17">
        <w:rPr>
          <w:rFonts w:ascii="Times" w:hAnsi="Times"/>
          <w:szCs w:val="24"/>
        </w:rPr>
        <w:t>emblée</w:t>
      </w:r>
      <w:r w:rsidR="005128A5" w:rsidRPr="002A1C17">
        <w:rPr>
          <w:rFonts w:ascii="Times" w:hAnsi="Times"/>
          <w:szCs w:val="24"/>
        </w:rPr>
        <w:t>,</w:t>
      </w:r>
      <w:r w:rsidR="004C2BB1" w:rsidRPr="002A1C17">
        <w:rPr>
          <w:rFonts w:ascii="Times" w:hAnsi="Times"/>
          <w:szCs w:val="24"/>
        </w:rPr>
        <w:t xml:space="preserve"> nuancer le raisonnement qui se dessine</w:t>
      </w:r>
      <w:r w:rsidR="00F17876" w:rsidRPr="002A1C17">
        <w:rPr>
          <w:rFonts w:ascii="Times" w:hAnsi="Times"/>
          <w:szCs w:val="24"/>
        </w:rPr>
        <w:t xml:space="preserve">. </w:t>
      </w:r>
      <w:r w:rsidR="004C2BB1" w:rsidRPr="002A1C17">
        <w:rPr>
          <w:rFonts w:ascii="Times" w:hAnsi="Times"/>
          <w:szCs w:val="24"/>
        </w:rPr>
        <w:t>D</w:t>
      </w:r>
      <w:r w:rsidR="00D72851">
        <w:rPr>
          <w:rFonts w:ascii="Times" w:hAnsi="Times"/>
          <w:szCs w:val="24"/>
        </w:rPr>
        <w:t>’</w:t>
      </w:r>
      <w:r w:rsidR="004C2BB1" w:rsidRPr="002A1C17">
        <w:rPr>
          <w:rFonts w:ascii="Times" w:hAnsi="Times"/>
          <w:szCs w:val="24"/>
        </w:rPr>
        <w:t>abord, les normes techniques</w:t>
      </w:r>
      <w:r w:rsidR="00F17876" w:rsidRPr="002A1C17">
        <w:rPr>
          <w:rFonts w:ascii="Times" w:hAnsi="Times"/>
          <w:szCs w:val="24"/>
        </w:rPr>
        <w:t xml:space="preserve"> ne sont pas à proprement parler du « droit »,</w:t>
      </w:r>
      <w:r w:rsidR="004C2BB1" w:rsidRPr="002A1C17">
        <w:rPr>
          <w:rFonts w:ascii="Times" w:hAnsi="Times"/>
          <w:szCs w:val="24"/>
        </w:rPr>
        <w:t xml:space="preserve"> </w:t>
      </w:r>
      <w:r w:rsidR="00F17876" w:rsidRPr="002A1C17">
        <w:rPr>
          <w:rFonts w:ascii="Times" w:hAnsi="Times"/>
          <w:szCs w:val="24"/>
        </w:rPr>
        <w:t>de sorte que le</w:t>
      </w:r>
      <w:r w:rsidR="004C2BB1" w:rsidRPr="002A1C17">
        <w:rPr>
          <w:rFonts w:ascii="Times" w:hAnsi="Times"/>
          <w:szCs w:val="24"/>
        </w:rPr>
        <w:t xml:space="preserve"> principe d</w:t>
      </w:r>
      <w:r w:rsidR="00D72851">
        <w:rPr>
          <w:rFonts w:ascii="Times" w:hAnsi="Times"/>
          <w:szCs w:val="24"/>
        </w:rPr>
        <w:t>’</w:t>
      </w:r>
      <w:r w:rsidR="004C2BB1" w:rsidRPr="002A1C17">
        <w:rPr>
          <w:rFonts w:ascii="Times" w:hAnsi="Times"/>
          <w:szCs w:val="24"/>
        </w:rPr>
        <w:t>accessibilité</w:t>
      </w:r>
      <w:r w:rsidR="00F17876" w:rsidRPr="002A1C17">
        <w:rPr>
          <w:rFonts w:ascii="Times" w:hAnsi="Times"/>
          <w:szCs w:val="24"/>
        </w:rPr>
        <w:t xml:space="preserve"> du droit n</w:t>
      </w:r>
      <w:r w:rsidR="00D72851">
        <w:rPr>
          <w:rFonts w:ascii="Times" w:hAnsi="Times"/>
          <w:szCs w:val="24"/>
        </w:rPr>
        <w:t>’</w:t>
      </w:r>
      <w:r w:rsidR="00F17876" w:rsidRPr="002A1C17">
        <w:rPr>
          <w:rFonts w:ascii="Times" w:hAnsi="Times"/>
          <w:szCs w:val="24"/>
        </w:rPr>
        <w:t>est pas directement applicable, ou à défaut peut souffrir d</w:t>
      </w:r>
      <w:r w:rsidR="00D72851">
        <w:rPr>
          <w:rFonts w:ascii="Times" w:hAnsi="Times"/>
          <w:szCs w:val="24"/>
        </w:rPr>
        <w:t>’</w:t>
      </w:r>
      <w:r w:rsidR="00F17876" w:rsidRPr="002A1C17">
        <w:rPr>
          <w:rFonts w:ascii="Times" w:hAnsi="Times"/>
          <w:szCs w:val="24"/>
        </w:rPr>
        <w:t xml:space="preserve">aménagements. </w:t>
      </w:r>
      <w:r w:rsidR="004C2BB1" w:rsidRPr="002A1C17">
        <w:rPr>
          <w:rFonts w:ascii="Times" w:hAnsi="Times"/>
          <w:szCs w:val="24"/>
        </w:rPr>
        <w:t>D</w:t>
      </w:r>
      <w:r w:rsidR="00D72851">
        <w:rPr>
          <w:rFonts w:ascii="Times" w:hAnsi="Times"/>
          <w:szCs w:val="24"/>
        </w:rPr>
        <w:t>’</w:t>
      </w:r>
      <w:r w:rsidR="004C2BB1" w:rsidRPr="002A1C17">
        <w:rPr>
          <w:rFonts w:ascii="Times" w:hAnsi="Times"/>
          <w:szCs w:val="24"/>
        </w:rPr>
        <w:t xml:space="preserve">autre part, </w:t>
      </w:r>
      <w:r w:rsidR="00F17876" w:rsidRPr="002A1C17">
        <w:rPr>
          <w:rFonts w:ascii="Times" w:hAnsi="Times"/>
          <w:szCs w:val="24"/>
        </w:rPr>
        <w:t>les normes sont si</w:t>
      </w:r>
      <w:r w:rsidR="004C2BB1" w:rsidRPr="002A1C17">
        <w:rPr>
          <w:rFonts w:ascii="Times" w:hAnsi="Times"/>
          <w:szCs w:val="24"/>
        </w:rPr>
        <w:t xml:space="preserve"> « techniques »</w:t>
      </w:r>
      <w:r w:rsidR="00F17876" w:rsidRPr="002A1C17">
        <w:rPr>
          <w:rFonts w:ascii="Times" w:hAnsi="Times"/>
          <w:szCs w:val="24"/>
        </w:rPr>
        <w:t xml:space="preserve"> que </w:t>
      </w:r>
      <w:r w:rsidR="004C2BB1" w:rsidRPr="002A1C17">
        <w:rPr>
          <w:rFonts w:ascii="Times" w:hAnsi="Times"/>
          <w:szCs w:val="24"/>
        </w:rPr>
        <w:t>l</w:t>
      </w:r>
      <w:r w:rsidR="00D72851">
        <w:rPr>
          <w:rFonts w:ascii="Times" w:hAnsi="Times"/>
          <w:szCs w:val="24"/>
        </w:rPr>
        <w:t>’</w:t>
      </w:r>
      <w:r w:rsidR="004C2BB1" w:rsidRPr="002A1C17">
        <w:rPr>
          <w:rFonts w:ascii="Times" w:hAnsi="Times"/>
          <w:szCs w:val="24"/>
        </w:rPr>
        <w:t>accessibilité ne serait pas</w:t>
      </w:r>
      <w:r w:rsidR="00F17876" w:rsidRPr="002A1C17">
        <w:rPr>
          <w:rFonts w:ascii="Times" w:hAnsi="Times"/>
          <w:szCs w:val="24"/>
        </w:rPr>
        <w:t xml:space="preserve"> fondamentalement</w:t>
      </w:r>
      <w:r w:rsidR="004C2BB1" w:rsidRPr="002A1C17">
        <w:rPr>
          <w:rFonts w:ascii="Times" w:hAnsi="Times"/>
          <w:szCs w:val="24"/>
        </w:rPr>
        <w:t xml:space="preserve"> utile</w:t>
      </w:r>
      <w:r w:rsidR="00F17876" w:rsidRPr="002A1C17">
        <w:rPr>
          <w:rFonts w:ascii="Times" w:hAnsi="Times"/>
          <w:szCs w:val="24"/>
        </w:rPr>
        <w:t>, le raisonnement s</w:t>
      </w:r>
      <w:r w:rsidR="00D72851">
        <w:rPr>
          <w:rFonts w:ascii="Times" w:hAnsi="Times"/>
          <w:szCs w:val="24"/>
        </w:rPr>
        <w:t>’</w:t>
      </w:r>
      <w:r w:rsidR="00F17876" w:rsidRPr="002A1C17">
        <w:rPr>
          <w:rFonts w:ascii="Times" w:hAnsi="Times"/>
          <w:szCs w:val="24"/>
        </w:rPr>
        <w:t>appuyant sur le fait qu</w:t>
      </w:r>
      <w:r w:rsidR="00D72851">
        <w:rPr>
          <w:rFonts w:ascii="Times" w:hAnsi="Times"/>
          <w:szCs w:val="24"/>
        </w:rPr>
        <w:t>’</w:t>
      </w:r>
      <w:r w:rsidR="00F17876" w:rsidRPr="002A1C17">
        <w:rPr>
          <w:rFonts w:ascii="Times" w:hAnsi="Times"/>
          <w:szCs w:val="24"/>
        </w:rPr>
        <w:t xml:space="preserve">un industriel intéressé </w:t>
      </w:r>
      <w:r w:rsidR="003A237E" w:rsidRPr="002A1C17">
        <w:rPr>
          <w:rFonts w:ascii="Times" w:hAnsi="Times"/>
          <w:szCs w:val="24"/>
        </w:rPr>
        <w:t>devrait</w:t>
      </w:r>
      <w:r w:rsidR="00F17876" w:rsidRPr="002A1C17">
        <w:rPr>
          <w:rFonts w:ascii="Times" w:hAnsi="Times"/>
          <w:szCs w:val="24"/>
        </w:rPr>
        <w:t xml:space="preserve"> pouvoir dégager le budget nécessaire à l</w:t>
      </w:r>
      <w:r w:rsidR="00D72851">
        <w:rPr>
          <w:rFonts w:ascii="Times" w:hAnsi="Times"/>
          <w:szCs w:val="24"/>
        </w:rPr>
        <w:t>’</w:t>
      </w:r>
      <w:r w:rsidR="00F17876" w:rsidRPr="002A1C17">
        <w:rPr>
          <w:rFonts w:ascii="Times" w:hAnsi="Times"/>
          <w:szCs w:val="24"/>
        </w:rPr>
        <w:t>acquisition des standards.</w:t>
      </w:r>
      <w:r w:rsidR="003A237E" w:rsidRPr="002A1C17">
        <w:rPr>
          <w:rFonts w:ascii="Times" w:hAnsi="Times"/>
          <w:szCs w:val="24"/>
        </w:rPr>
        <w:t xml:space="preserve"> </w:t>
      </w:r>
      <w:r w:rsidR="004C2BB1" w:rsidRPr="002A1C17">
        <w:rPr>
          <w:rFonts w:ascii="Times" w:hAnsi="Times"/>
          <w:szCs w:val="24"/>
        </w:rPr>
        <w:t>D</w:t>
      </w:r>
      <w:r w:rsidR="00D72851">
        <w:rPr>
          <w:rFonts w:ascii="Times" w:hAnsi="Times"/>
          <w:szCs w:val="24"/>
        </w:rPr>
        <w:t>’</w:t>
      </w:r>
      <w:r w:rsidR="004C2BB1" w:rsidRPr="002A1C17">
        <w:rPr>
          <w:rFonts w:ascii="Times" w:hAnsi="Times"/>
          <w:szCs w:val="24"/>
        </w:rPr>
        <w:t xml:space="preserve">autre </w:t>
      </w:r>
      <w:r w:rsidR="004C2BB1" w:rsidRPr="002A1C17">
        <w:rPr>
          <w:rFonts w:ascii="Times" w:hAnsi="Times"/>
          <w:szCs w:val="24"/>
        </w:rPr>
        <w:lastRenderedPageBreak/>
        <w:t>part encore, personne n</w:t>
      </w:r>
      <w:r w:rsidR="00D72851">
        <w:rPr>
          <w:rFonts w:ascii="Times" w:hAnsi="Times"/>
          <w:szCs w:val="24"/>
        </w:rPr>
        <w:t>’</w:t>
      </w:r>
      <w:r w:rsidR="004C2BB1" w:rsidRPr="002A1C17">
        <w:rPr>
          <w:rFonts w:ascii="Times" w:hAnsi="Times"/>
          <w:szCs w:val="24"/>
        </w:rPr>
        <w:t xml:space="preserve">est juridiquement </w:t>
      </w:r>
      <w:r w:rsidR="003A237E" w:rsidRPr="002A1C17">
        <w:rPr>
          <w:rFonts w:ascii="Times" w:hAnsi="Times"/>
          <w:szCs w:val="24"/>
        </w:rPr>
        <w:t>contraint</w:t>
      </w:r>
      <w:r w:rsidR="004C2BB1" w:rsidRPr="002A1C17">
        <w:rPr>
          <w:rFonts w:ascii="Times" w:hAnsi="Times"/>
          <w:szCs w:val="24"/>
        </w:rPr>
        <w:t xml:space="preserve"> d</w:t>
      </w:r>
      <w:r w:rsidR="00D72851">
        <w:rPr>
          <w:rFonts w:ascii="Times" w:hAnsi="Times"/>
          <w:szCs w:val="24"/>
        </w:rPr>
        <w:t>’</w:t>
      </w:r>
      <w:r w:rsidR="004C2BB1" w:rsidRPr="002A1C17">
        <w:rPr>
          <w:rFonts w:ascii="Times" w:hAnsi="Times"/>
          <w:szCs w:val="24"/>
        </w:rPr>
        <w:t>acheter ces normes</w:t>
      </w:r>
      <w:r w:rsidR="003A237E" w:rsidRPr="002A1C17">
        <w:rPr>
          <w:rFonts w:ascii="Times" w:hAnsi="Times"/>
          <w:szCs w:val="24"/>
        </w:rPr>
        <w:t>, de sorte que la normalisation s</w:t>
      </w:r>
      <w:r w:rsidR="00D72851">
        <w:rPr>
          <w:rFonts w:ascii="Times" w:hAnsi="Times"/>
          <w:szCs w:val="24"/>
        </w:rPr>
        <w:t>’</w:t>
      </w:r>
      <w:r w:rsidR="003A237E" w:rsidRPr="002A1C17">
        <w:rPr>
          <w:rFonts w:ascii="Times" w:hAnsi="Times"/>
          <w:szCs w:val="24"/>
        </w:rPr>
        <w:t xml:space="preserve">apparenterait à un service commercial offert, sans obligation, au client. </w:t>
      </w:r>
      <w:r w:rsidR="004C2BB1" w:rsidRPr="002A1C17">
        <w:rPr>
          <w:rFonts w:ascii="Times" w:hAnsi="Times"/>
          <w:szCs w:val="24"/>
        </w:rPr>
        <w:t>Enfin, l</w:t>
      </w:r>
      <w:r w:rsidR="00D72851">
        <w:rPr>
          <w:rFonts w:ascii="Times" w:hAnsi="Times"/>
          <w:szCs w:val="24"/>
        </w:rPr>
        <w:t>’</w:t>
      </w:r>
      <w:r w:rsidR="004C2BB1" w:rsidRPr="002A1C17">
        <w:rPr>
          <w:rFonts w:ascii="Times" w:hAnsi="Times"/>
          <w:szCs w:val="24"/>
        </w:rPr>
        <w:t xml:space="preserve">État a </w:t>
      </w:r>
      <w:r w:rsidR="003A237E" w:rsidRPr="002A1C17">
        <w:rPr>
          <w:rFonts w:ascii="Times" w:hAnsi="Times"/>
          <w:szCs w:val="24"/>
        </w:rPr>
        <w:t xml:space="preserve">également </w:t>
      </w:r>
      <w:r w:rsidR="004C2BB1" w:rsidRPr="002A1C17">
        <w:rPr>
          <w:rFonts w:ascii="Times" w:hAnsi="Times"/>
          <w:szCs w:val="24"/>
        </w:rPr>
        <w:t xml:space="preserve">un rôle à jouer et </w:t>
      </w:r>
      <w:r w:rsidR="003A237E" w:rsidRPr="002A1C17">
        <w:rPr>
          <w:rFonts w:ascii="Times" w:hAnsi="Times"/>
          <w:szCs w:val="24"/>
        </w:rPr>
        <w:t xml:space="preserve">peut, </w:t>
      </w:r>
      <w:r w:rsidR="004C2BB1" w:rsidRPr="002A1C17">
        <w:rPr>
          <w:rFonts w:ascii="Times" w:hAnsi="Times"/>
          <w:szCs w:val="24"/>
        </w:rPr>
        <w:t>lorsqu</w:t>
      </w:r>
      <w:r w:rsidR="00D72851">
        <w:rPr>
          <w:rFonts w:ascii="Times" w:hAnsi="Times"/>
          <w:szCs w:val="24"/>
        </w:rPr>
        <w:t>’</w:t>
      </w:r>
      <w:r w:rsidR="004C2BB1" w:rsidRPr="002A1C17">
        <w:rPr>
          <w:rFonts w:ascii="Times" w:hAnsi="Times"/>
          <w:szCs w:val="24"/>
        </w:rPr>
        <w:t xml:space="preserve">il </w:t>
      </w:r>
      <w:r w:rsidR="003A237E" w:rsidRPr="002A1C17">
        <w:rPr>
          <w:rFonts w:ascii="Times" w:hAnsi="Times"/>
          <w:szCs w:val="24"/>
        </w:rPr>
        <w:t xml:space="preserve">décide de </w:t>
      </w:r>
      <w:r w:rsidR="004C2BB1" w:rsidRPr="002A1C17">
        <w:rPr>
          <w:rFonts w:ascii="Times" w:hAnsi="Times"/>
          <w:szCs w:val="24"/>
        </w:rPr>
        <w:t>rend</w:t>
      </w:r>
      <w:r w:rsidR="003A237E" w:rsidRPr="002A1C17">
        <w:rPr>
          <w:rFonts w:ascii="Times" w:hAnsi="Times"/>
          <w:szCs w:val="24"/>
        </w:rPr>
        <w:t>re</w:t>
      </w:r>
      <w:r w:rsidR="004C2BB1" w:rsidRPr="002A1C17">
        <w:rPr>
          <w:rFonts w:ascii="Times" w:hAnsi="Times"/>
          <w:szCs w:val="24"/>
        </w:rPr>
        <w:t xml:space="preserve"> obligatoire</w:t>
      </w:r>
      <w:r w:rsidR="008C6A61">
        <w:rPr>
          <w:rFonts w:ascii="Times" w:hAnsi="Times"/>
          <w:szCs w:val="24"/>
        </w:rPr>
        <w:t>s</w:t>
      </w:r>
      <w:r w:rsidR="004C2BB1" w:rsidRPr="002A1C17">
        <w:rPr>
          <w:rFonts w:ascii="Times" w:hAnsi="Times"/>
          <w:szCs w:val="24"/>
        </w:rPr>
        <w:t xml:space="preserve"> ces normes </w:t>
      </w:r>
      <w:r w:rsidR="00C5751E" w:rsidRPr="002A1C17">
        <w:rPr>
          <w:rFonts w:ascii="Times" w:hAnsi="Times"/>
          <w:szCs w:val="24"/>
        </w:rPr>
        <w:t xml:space="preserve">– </w:t>
      </w:r>
      <w:r w:rsidR="004C2BB1" w:rsidRPr="002A1C17">
        <w:rPr>
          <w:rFonts w:ascii="Times" w:hAnsi="Times"/>
          <w:szCs w:val="24"/>
        </w:rPr>
        <w:t>en les homologuant</w:t>
      </w:r>
      <w:r w:rsidR="003A237E" w:rsidRPr="002A1C17">
        <w:rPr>
          <w:rFonts w:ascii="Times" w:hAnsi="Times"/>
          <w:szCs w:val="24"/>
        </w:rPr>
        <w:t xml:space="preserve"> p</w:t>
      </w:r>
      <w:r w:rsidR="004C2BB1" w:rsidRPr="002A1C17">
        <w:rPr>
          <w:rFonts w:ascii="Times" w:hAnsi="Times"/>
          <w:szCs w:val="24"/>
        </w:rPr>
        <w:t>ar exemple</w:t>
      </w:r>
      <w:r w:rsidR="003A237E" w:rsidRPr="002A1C17">
        <w:rPr>
          <w:rFonts w:ascii="Times" w:hAnsi="Times"/>
          <w:szCs w:val="24"/>
        </w:rPr>
        <w:t xml:space="preserve"> –, </w:t>
      </w:r>
      <w:r w:rsidR="004C2BB1" w:rsidRPr="002A1C17">
        <w:rPr>
          <w:rFonts w:ascii="Times" w:hAnsi="Times"/>
          <w:szCs w:val="24"/>
        </w:rPr>
        <w:t>les rendre accessible</w:t>
      </w:r>
      <w:r w:rsidR="003A237E" w:rsidRPr="002A1C17">
        <w:rPr>
          <w:rFonts w:ascii="Times" w:hAnsi="Times"/>
          <w:szCs w:val="24"/>
        </w:rPr>
        <w:t>s gratuitement</w:t>
      </w:r>
      <w:r w:rsidR="004C2BB1" w:rsidRPr="002A1C17">
        <w:rPr>
          <w:rFonts w:ascii="Times" w:hAnsi="Times"/>
          <w:szCs w:val="24"/>
        </w:rPr>
        <w:t>.</w:t>
      </w:r>
      <w:r w:rsidR="003A237E" w:rsidRPr="002A1C17">
        <w:rPr>
          <w:rFonts w:ascii="Times" w:hAnsi="Times"/>
          <w:szCs w:val="24"/>
        </w:rPr>
        <w:t xml:space="preserve"> Sans reproduire ici l</w:t>
      </w:r>
      <w:r w:rsidR="00D72851">
        <w:rPr>
          <w:rFonts w:ascii="Times" w:hAnsi="Times"/>
          <w:szCs w:val="24"/>
        </w:rPr>
        <w:t>’</w:t>
      </w:r>
      <w:r w:rsidR="003A237E" w:rsidRPr="002A1C17">
        <w:rPr>
          <w:rFonts w:ascii="Times" w:hAnsi="Times"/>
          <w:szCs w:val="24"/>
        </w:rPr>
        <w:t>ensemble des arguments susceptibles d</w:t>
      </w:r>
      <w:r w:rsidR="00D72851">
        <w:rPr>
          <w:rFonts w:ascii="Times" w:hAnsi="Times"/>
          <w:szCs w:val="24"/>
        </w:rPr>
        <w:t>’</w:t>
      </w:r>
      <w:r w:rsidR="003A237E" w:rsidRPr="002A1C17">
        <w:rPr>
          <w:rFonts w:ascii="Times" w:hAnsi="Times"/>
          <w:szCs w:val="24"/>
        </w:rPr>
        <w:t>être avancés</w:t>
      </w:r>
      <w:r w:rsidR="00D72851">
        <w:rPr>
          <w:rFonts w:ascii="Times" w:hAnsi="Times"/>
          <w:szCs w:val="24"/>
        </w:rPr>
        <w:t xml:space="preserve">, </w:t>
      </w:r>
      <w:r w:rsidR="003A237E" w:rsidRPr="002A1C17">
        <w:rPr>
          <w:rFonts w:ascii="Times" w:hAnsi="Times"/>
          <w:szCs w:val="24"/>
        </w:rPr>
        <w:t xml:space="preserve">il est en tout état de cause possible de relever que </w:t>
      </w:r>
      <w:r w:rsidR="004C2BB1" w:rsidRPr="002A1C17">
        <w:rPr>
          <w:rFonts w:ascii="Times" w:hAnsi="Times"/>
          <w:szCs w:val="24"/>
        </w:rPr>
        <w:t>la nécessité de payer les normes produites par l</w:t>
      </w:r>
      <w:r w:rsidR="00D72851">
        <w:rPr>
          <w:rFonts w:ascii="Times" w:hAnsi="Times"/>
          <w:szCs w:val="24"/>
        </w:rPr>
        <w:t>’</w:t>
      </w:r>
      <w:r w:rsidR="004C2BB1" w:rsidRPr="002A1C17">
        <w:rPr>
          <w:rFonts w:ascii="Times" w:hAnsi="Times"/>
          <w:szCs w:val="24"/>
        </w:rPr>
        <w:t>ISO et l</w:t>
      </w:r>
      <w:r w:rsidR="00D72851">
        <w:rPr>
          <w:rFonts w:ascii="Times" w:hAnsi="Times"/>
          <w:szCs w:val="24"/>
        </w:rPr>
        <w:t>’</w:t>
      </w:r>
      <w:r w:rsidR="004C2BB1" w:rsidRPr="002A1C17">
        <w:rPr>
          <w:rFonts w:ascii="Times" w:hAnsi="Times"/>
          <w:szCs w:val="24"/>
        </w:rPr>
        <w:t>IASB pose</w:t>
      </w:r>
      <w:r w:rsidR="003A237E" w:rsidRPr="002A1C17">
        <w:rPr>
          <w:rFonts w:ascii="Times" w:hAnsi="Times"/>
          <w:szCs w:val="24"/>
        </w:rPr>
        <w:t xml:space="preserve">, </w:t>
      </w:r>
      <w:r w:rsidR="003A237E" w:rsidRPr="002A1C17">
        <w:rPr>
          <w:rFonts w:ascii="Times" w:hAnsi="Times"/>
          <w:i/>
          <w:iCs/>
          <w:szCs w:val="24"/>
        </w:rPr>
        <w:t>in fine</w:t>
      </w:r>
      <w:r w:rsidR="003A237E" w:rsidRPr="002A1C17">
        <w:rPr>
          <w:rFonts w:ascii="Times" w:hAnsi="Times"/>
          <w:szCs w:val="24"/>
        </w:rPr>
        <w:t>,</w:t>
      </w:r>
      <w:r w:rsidR="004C2BB1" w:rsidRPr="002A1C17">
        <w:rPr>
          <w:rFonts w:ascii="Times" w:hAnsi="Times"/>
          <w:szCs w:val="24"/>
        </w:rPr>
        <w:t xml:space="preserve"> problème à l</w:t>
      </w:r>
      <w:r w:rsidR="00D72851">
        <w:rPr>
          <w:rFonts w:ascii="Times" w:hAnsi="Times"/>
          <w:szCs w:val="24"/>
        </w:rPr>
        <w:t>’</w:t>
      </w:r>
      <w:r w:rsidR="004C2BB1" w:rsidRPr="002A1C17">
        <w:rPr>
          <w:rFonts w:ascii="Times" w:hAnsi="Times"/>
          <w:szCs w:val="24"/>
        </w:rPr>
        <w:t>opinion publique</w:t>
      </w:r>
      <w:r w:rsidR="003A237E" w:rsidRPr="002A1C17">
        <w:rPr>
          <w:rFonts w:ascii="Times" w:hAnsi="Times"/>
          <w:szCs w:val="24"/>
        </w:rPr>
        <w:t xml:space="preserve"> et soulève des critiques.</w:t>
      </w:r>
    </w:p>
    <w:p w14:paraId="64A103B8" w14:textId="77777777" w:rsidR="003A237E" w:rsidRPr="002A1C17" w:rsidRDefault="004C2BB1" w:rsidP="00D11C33">
      <w:pPr>
        <w:spacing w:line="240" w:lineRule="auto"/>
        <w:jc w:val="both"/>
        <w:rPr>
          <w:rFonts w:ascii="Times" w:hAnsi="Times"/>
          <w:szCs w:val="24"/>
        </w:rPr>
      </w:pPr>
      <w:r w:rsidRPr="002A1C17">
        <w:rPr>
          <w:rFonts w:ascii="Times" w:hAnsi="Times"/>
          <w:szCs w:val="24"/>
        </w:rPr>
        <w:t xml:space="preserve"> </w:t>
      </w:r>
    </w:p>
    <w:p w14:paraId="1018A0FC" w14:textId="65A1AC82" w:rsidR="004C2BB1" w:rsidRPr="002A1C17" w:rsidRDefault="004C2BB1" w:rsidP="00D11C33">
      <w:pPr>
        <w:spacing w:line="240" w:lineRule="auto"/>
        <w:jc w:val="both"/>
        <w:rPr>
          <w:rFonts w:ascii="Times" w:hAnsi="Times"/>
          <w:szCs w:val="24"/>
        </w:rPr>
      </w:pPr>
      <w:r w:rsidRPr="002A1C17">
        <w:rPr>
          <w:rFonts w:ascii="Times" w:hAnsi="Times"/>
          <w:szCs w:val="24"/>
        </w:rPr>
        <w:t>Un</w:t>
      </w:r>
      <w:r w:rsidR="00040397" w:rsidRPr="002A1C17">
        <w:rPr>
          <w:rFonts w:ascii="Times" w:hAnsi="Times"/>
          <w:szCs w:val="24"/>
        </w:rPr>
        <w:t>e autre difficulté</w:t>
      </w:r>
      <w:r w:rsidRPr="002A1C17">
        <w:rPr>
          <w:rFonts w:ascii="Times" w:hAnsi="Times"/>
          <w:szCs w:val="24"/>
        </w:rPr>
        <w:t xml:space="preserve"> relati</w:t>
      </w:r>
      <w:r w:rsidR="00040397" w:rsidRPr="002A1C17">
        <w:rPr>
          <w:rFonts w:ascii="Times" w:hAnsi="Times"/>
          <w:szCs w:val="24"/>
        </w:rPr>
        <w:t>ve</w:t>
      </w:r>
      <w:r w:rsidRPr="002A1C17">
        <w:rPr>
          <w:rFonts w:ascii="Times" w:hAnsi="Times"/>
          <w:szCs w:val="24"/>
        </w:rPr>
        <w:t xml:space="preserve"> à la légitimité des processus conduisant à l</w:t>
      </w:r>
      <w:r w:rsidR="00D72851">
        <w:rPr>
          <w:rFonts w:ascii="Times" w:hAnsi="Times"/>
          <w:szCs w:val="24"/>
        </w:rPr>
        <w:t>’</w:t>
      </w:r>
      <w:r w:rsidRPr="002A1C17">
        <w:rPr>
          <w:rFonts w:ascii="Times" w:hAnsi="Times"/>
          <w:szCs w:val="24"/>
        </w:rPr>
        <w:t xml:space="preserve">adoption des standards </w:t>
      </w:r>
      <w:r w:rsidR="00040397" w:rsidRPr="002A1C17">
        <w:rPr>
          <w:rFonts w:ascii="Times" w:hAnsi="Times"/>
          <w:szCs w:val="24"/>
        </w:rPr>
        <w:t>réside dans</w:t>
      </w:r>
      <w:r w:rsidRPr="002A1C17">
        <w:rPr>
          <w:rFonts w:ascii="Times" w:hAnsi="Times"/>
          <w:szCs w:val="24"/>
        </w:rPr>
        <w:t xml:space="preserve"> leur opacité.</w:t>
      </w:r>
      <w:r w:rsidR="00040397" w:rsidRPr="002A1C17">
        <w:rPr>
          <w:rFonts w:ascii="Times" w:hAnsi="Times"/>
          <w:szCs w:val="24"/>
        </w:rPr>
        <w:t xml:space="preserve"> Si des </w:t>
      </w:r>
      <w:r w:rsidRPr="002A1C17">
        <w:rPr>
          <w:rFonts w:ascii="Times" w:hAnsi="Times"/>
          <w:szCs w:val="24"/>
        </w:rPr>
        <w:t xml:space="preserve">efforts </w:t>
      </w:r>
      <w:r w:rsidR="00040397" w:rsidRPr="002A1C17">
        <w:rPr>
          <w:rFonts w:ascii="Times" w:hAnsi="Times"/>
          <w:szCs w:val="24"/>
        </w:rPr>
        <w:t xml:space="preserve">significatifs </w:t>
      </w:r>
      <w:r w:rsidRPr="002A1C17">
        <w:rPr>
          <w:rFonts w:ascii="Times" w:hAnsi="Times"/>
          <w:szCs w:val="24"/>
        </w:rPr>
        <w:t>de transparence ont été fournis en ce sens</w:t>
      </w:r>
      <w:r w:rsidR="00040397" w:rsidRPr="002A1C17">
        <w:rPr>
          <w:rStyle w:val="Appelnotedebasdep"/>
          <w:rFonts w:ascii="Times" w:hAnsi="Times"/>
          <w:szCs w:val="24"/>
        </w:rPr>
        <w:footnoteReference w:id="19"/>
      </w:r>
      <w:r w:rsidR="00040397" w:rsidRPr="002A1C17">
        <w:rPr>
          <w:rFonts w:ascii="Times" w:hAnsi="Times"/>
          <w:szCs w:val="24"/>
        </w:rPr>
        <w:t xml:space="preserve">, </w:t>
      </w:r>
      <w:r w:rsidRPr="002A1C17">
        <w:rPr>
          <w:rFonts w:ascii="Times" w:hAnsi="Times"/>
          <w:szCs w:val="24"/>
        </w:rPr>
        <w:t xml:space="preserve">la légitimité de ces normes et normalisateurs </w:t>
      </w:r>
      <w:r w:rsidR="00040397" w:rsidRPr="002A1C17">
        <w:rPr>
          <w:rFonts w:ascii="Times" w:hAnsi="Times"/>
          <w:szCs w:val="24"/>
        </w:rPr>
        <w:t xml:space="preserve">demeure </w:t>
      </w:r>
      <w:r w:rsidRPr="002A1C17">
        <w:rPr>
          <w:rFonts w:ascii="Times" w:hAnsi="Times"/>
          <w:szCs w:val="24"/>
        </w:rPr>
        <w:t>une question qui se pose du point de vue de l</w:t>
      </w:r>
      <w:r w:rsidR="00D72851">
        <w:rPr>
          <w:rFonts w:ascii="Times" w:hAnsi="Times"/>
          <w:szCs w:val="24"/>
        </w:rPr>
        <w:t>’</w:t>
      </w:r>
      <w:r w:rsidRPr="002A1C17">
        <w:rPr>
          <w:rFonts w:ascii="Times" w:hAnsi="Times"/>
          <w:szCs w:val="24"/>
        </w:rPr>
        <w:t>intérêt général, c</w:t>
      </w:r>
      <w:r w:rsidR="00D72851">
        <w:rPr>
          <w:rFonts w:ascii="Times" w:hAnsi="Times"/>
          <w:szCs w:val="24"/>
        </w:rPr>
        <w:t>’</w:t>
      </w:r>
      <w:r w:rsidRPr="002A1C17">
        <w:rPr>
          <w:rFonts w:ascii="Times" w:hAnsi="Times"/>
          <w:szCs w:val="24"/>
        </w:rPr>
        <w:t>est-à-dire du point de vue du citoyen</w:t>
      </w:r>
      <w:r w:rsidR="00040397" w:rsidRPr="002A1C17">
        <w:rPr>
          <w:rFonts w:ascii="Times" w:hAnsi="Times"/>
          <w:szCs w:val="24"/>
        </w:rPr>
        <w:t>.</w:t>
      </w:r>
      <w:r w:rsidR="00B93030" w:rsidRPr="002A1C17">
        <w:rPr>
          <w:rFonts w:ascii="Times" w:hAnsi="Times"/>
          <w:szCs w:val="24"/>
        </w:rPr>
        <w:t xml:space="preserve"> </w:t>
      </w:r>
      <w:r w:rsidR="008C586C" w:rsidRPr="002A1C17">
        <w:rPr>
          <w:rFonts w:ascii="Times" w:hAnsi="Times"/>
          <w:szCs w:val="24"/>
        </w:rPr>
        <w:t>Comme le précise Thomas Perroud, « [m]ême si ce sont des organismes privés, ils sont chargés d</w:t>
      </w:r>
      <w:r w:rsidR="00D72851">
        <w:rPr>
          <w:rFonts w:ascii="Times" w:hAnsi="Times"/>
          <w:szCs w:val="24"/>
        </w:rPr>
        <w:t>’</w:t>
      </w:r>
      <w:r w:rsidR="008C586C" w:rsidRPr="002A1C17">
        <w:rPr>
          <w:rFonts w:ascii="Times" w:hAnsi="Times"/>
          <w:szCs w:val="24"/>
        </w:rPr>
        <w:t xml:space="preserve">une mission de nature publique, une mission de règlementation, dont le principe même a pu être nettement remis en cause, car leur pouvoir ne repose </w:t>
      </w:r>
      <w:r w:rsidR="008C586C" w:rsidRPr="002A1C17">
        <w:rPr>
          <w:rFonts w:ascii="Times" w:hAnsi="Times"/>
          <w:i/>
          <w:iCs/>
          <w:szCs w:val="24"/>
        </w:rPr>
        <w:t>in fine</w:t>
      </w:r>
      <w:r w:rsidR="008C586C" w:rsidRPr="002A1C17">
        <w:rPr>
          <w:rFonts w:ascii="Times" w:hAnsi="Times"/>
          <w:szCs w:val="24"/>
        </w:rPr>
        <w:t xml:space="preserve"> sur aucune assise démocratique »</w:t>
      </w:r>
      <w:r w:rsidR="008C586C" w:rsidRPr="002A1C17">
        <w:rPr>
          <w:rStyle w:val="Appelnotedebasdep"/>
          <w:rFonts w:ascii="Times" w:hAnsi="Times"/>
          <w:szCs w:val="24"/>
        </w:rPr>
        <w:footnoteReference w:id="20"/>
      </w:r>
      <w:r w:rsidR="008C586C" w:rsidRPr="002A1C17">
        <w:rPr>
          <w:rFonts w:ascii="Times" w:hAnsi="Times"/>
          <w:szCs w:val="24"/>
        </w:rPr>
        <w:t>.</w:t>
      </w:r>
      <w:r w:rsidR="00040397" w:rsidRPr="002A1C17">
        <w:rPr>
          <w:rFonts w:ascii="Times" w:hAnsi="Times"/>
          <w:szCs w:val="24"/>
        </w:rPr>
        <w:t xml:space="preserve"> Autrement dit, </w:t>
      </w:r>
      <w:r w:rsidR="00836D6F" w:rsidRPr="002A1C17">
        <w:rPr>
          <w:rFonts w:ascii="Times" w:hAnsi="Times"/>
          <w:szCs w:val="24"/>
        </w:rPr>
        <w:t>une</w:t>
      </w:r>
      <w:r w:rsidR="00040397" w:rsidRPr="002A1C17">
        <w:rPr>
          <w:rFonts w:ascii="Times" w:hAnsi="Times"/>
          <w:szCs w:val="24"/>
        </w:rPr>
        <w:t xml:space="preserve"> distinction doit être faite entre</w:t>
      </w:r>
      <w:r w:rsidR="00836D6F" w:rsidRPr="002A1C17">
        <w:rPr>
          <w:rFonts w:ascii="Times" w:hAnsi="Times"/>
          <w:szCs w:val="24"/>
        </w:rPr>
        <w:t>, d</w:t>
      </w:r>
      <w:r w:rsidR="00D72851">
        <w:rPr>
          <w:rFonts w:ascii="Times" w:hAnsi="Times"/>
          <w:szCs w:val="24"/>
        </w:rPr>
        <w:t>’</w:t>
      </w:r>
      <w:r w:rsidR="00836D6F" w:rsidRPr="002A1C17">
        <w:rPr>
          <w:rFonts w:ascii="Times" w:hAnsi="Times"/>
          <w:szCs w:val="24"/>
        </w:rPr>
        <w:t>une part,</w:t>
      </w:r>
      <w:r w:rsidR="00040397" w:rsidRPr="002A1C17">
        <w:rPr>
          <w:rFonts w:ascii="Times" w:hAnsi="Times"/>
          <w:szCs w:val="24"/>
        </w:rPr>
        <w:t xml:space="preserve"> les problématiques juridiques d</w:t>
      </w:r>
      <w:r w:rsidR="00D72851">
        <w:rPr>
          <w:rFonts w:ascii="Times" w:hAnsi="Times"/>
          <w:szCs w:val="24"/>
        </w:rPr>
        <w:t>’</w:t>
      </w:r>
      <w:r w:rsidR="00040397" w:rsidRPr="002A1C17">
        <w:rPr>
          <w:rFonts w:ascii="Times" w:hAnsi="Times"/>
          <w:szCs w:val="24"/>
        </w:rPr>
        <w:t xml:space="preserve">accessibilité de la norme et de transparence des entités globales que sont les </w:t>
      </w:r>
      <w:r w:rsidR="00836D6F" w:rsidRPr="002A1C17">
        <w:rPr>
          <w:rFonts w:ascii="Times" w:hAnsi="Times"/>
          <w:szCs w:val="24"/>
        </w:rPr>
        <w:t>organismes de normalisation et, d</w:t>
      </w:r>
      <w:r w:rsidR="00D72851">
        <w:rPr>
          <w:rFonts w:ascii="Times" w:hAnsi="Times"/>
          <w:szCs w:val="24"/>
        </w:rPr>
        <w:t>’</w:t>
      </w:r>
      <w:r w:rsidR="00836D6F" w:rsidRPr="002A1C17">
        <w:rPr>
          <w:rFonts w:ascii="Times" w:hAnsi="Times"/>
          <w:szCs w:val="24"/>
        </w:rPr>
        <w:t xml:space="preserve">autre part, le </w:t>
      </w:r>
      <w:r w:rsidR="00836D6F" w:rsidRPr="002A1C17">
        <w:rPr>
          <w:rFonts w:ascii="Times" w:hAnsi="Times"/>
          <w:i/>
          <w:iCs/>
          <w:szCs w:val="24"/>
        </w:rPr>
        <w:t>ressenti</w:t>
      </w:r>
      <w:r w:rsidR="00836D6F" w:rsidRPr="002A1C17">
        <w:rPr>
          <w:rFonts w:ascii="Times" w:hAnsi="Times"/>
          <w:szCs w:val="24"/>
        </w:rPr>
        <w:t xml:space="preserve"> de l</w:t>
      </w:r>
      <w:r w:rsidR="00D72851">
        <w:rPr>
          <w:rFonts w:ascii="Times" w:hAnsi="Times"/>
          <w:szCs w:val="24"/>
        </w:rPr>
        <w:t>’</w:t>
      </w:r>
      <w:r w:rsidR="00836D6F" w:rsidRPr="002A1C17">
        <w:rPr>
          <w:rFonts w:ascii="Times" w:hAnsi="Times"/>
          <w:szCs w:val="24"/>
        </w:rPr>
        <w:t>opinion publique à propos de la légitimité de ces derniers à générer des normes techniques adoptées universellement. Or, c</w:t>
      </w:r>
      <w:r w:rsidR="00D72851">
        <w:rPr>
          <w:rFonts w:ascii="Times" w:hAnsi="Times"/>
          <w:szCs w:val="24"/>
        </w:rPr>
        <w:t>’</w:t>
      </w:r>
      <w:r w:rsidR="00836D6F" w:rsidRPr="002A1C17">
        <w:rPr>
          <w:rFonts w:ascii="Times" w:hAnsi="Times"/>
          <w:szCs w:val="24"/>
        </w:rPr>
        <w:t>est principalement sur la base de ce fait sociologique que se développent des revendications.</w:t>
      </w:r>
    </w:p>
    <w:p w14:paraId="1BE48FAF" w14:textId="77777777" w:rsidR="00D11C33" w:rsidRDefault="00D11C33" w:rsidP="00D11C33">
      <w:pPr>
        <w:spacing w:line="240" w:lineRule="auto"/>
        <w:jc w:val="both"/>
        <w:rPr>
          <w:rFonts w:ascii="Times" w:hAnsi="Times"/>
          <w:szCs w:val="24"/>
        </w:rPr>
      </w:pPr>
    </w:p>
    <w:p w14:paraId="2A68DF87" w14:textId="0DAD285D" w:rsidR="004C2BB1" w:rsidRPr="002A1C17" w:rsidRDefault="004C2BB1" w:rsidP="00D11C33">
      <w:pPr>
        <w:spacing w:line="240" w:lineRule="auto"/>
        <w:jc w:val="center"/>
        <w:rPr>
          <w:rFonts w:ascii="Times" w:hAnsi="Times"/>
          <w:b/>
          <w:bCs/>
          <w:szCs w:val="24"/>
        </w:rPr>
      </w:pPr>
      <w:r w:rsidRPr="002A1C17">
        <w:rPr>
          <w:rFonts w:ascii="Times" w:hAnsi="Times"/>
          <w:b/>
          <w:bCs/>
          <w:szCs w:val="24"/>
        </w:rPr>
        <w:t>B. L</w:t>
      </w:r>
      <w:r w:rsidR="00D72851">
        <w:rPr>
          <w:rFonts w:ascii="Times" w:hAnsi="Times"/>
          <w:b/>
          <w:bCs/>
          <w:szCs w:val="24"/>
        </w:rPr>
        <w:t>’</w:t>
      </w:r>
      <w:r w:rsidRPr="002A1C17">
        <w:rPr>
          <w:rFonts w:ascii="Times" w:hAnsi="Times"/>
          <w:b/>
          <w:bCs/>
          <w:szCs w:val="24"/>
        </w:rPr>
        <w:t>émergence de revendications en faveur d</w:t>
      </w:r>
      <w:r w:rsidR="00D72851">
        <w:rPr>
          <w:rFonts w:ascii="Times" w:hAnsi="Times"/>
          <w:b/>
          <w:bCs/>
          <w:szCs w:val="24"/>
        </w:rPr>
        <w:t>’</w:t>
      </w:r>
      <w:r w:rsidRPr="002A1C17">
        <w:rPr>
          <w:rFonts w:ascii="Times" w:hAnsi="Times"/>
          <w:b/>
          <w:bCs/>
          <w:szCs w:val="24"/>
        </w:rPr>
        <w:t>une plus grande légitimité</w:t>
      </w:r>
    </w:p>
    <w:p w14:paraId="1454054E" w14:textId="77777777" w:rsidR="004C2BB1" w:rsidRPr="002A1C17" w:rsidRDefault="004C2BB1" w:rsidP="00D11C33">
      <w:pPr>
        <w:spacing w:line="240" w:lineRule="auto"/>
        <w:jc w:val="both"/>
        <w:rPr>
          <w:rFonts w:ascii="Times" w:hAnsi="Times"/>
          <w:szCs w:val="24"/>
        </w:rPr>
      </w:pPr>
    </w:p>
    <w:p w14:paraId="765C2AD8" w14:textId="5549433C" w:rsidR="004C2BB1" w:rsidRPr="002A1C17" w:rsidRDefault="004C2BB1" w:rsidP="00D11C33">
      <w:pPr>
        <w:spacing w:line="240" w:lineRule="auto"/>
        <w:jc w:val="both"/>
        <w:rPr>
          <w:rFonts w:ascii="Times" w:hAnsi="Times"/>
          <w:szCs w:val="24"/>
        </w:rPr>
      </w:pPr>
      <w:r w:rsidRPr="002A1C17">
        <w:rPr>
          <w:rFonts w:ascii="Times" w:hAnsi="Times"/>
          <w:szCs w:val="24"/>
        </w:rPr>
        <w:t>L</w:t>
      </w:r>
      <w:r w:rsidR="00D72851">
        <w:rPr>
          <w:rFonts w:ascii="Times" w:hAnsi="Times"/>
          <w:szCs w:val="24"/>
        </w:rPr>
        <w:t>’</w:t>
      </w:r>
      <w:r w:rsidRPr="002A1C17">
        <w:rPr>
          <w:rFonts w:ascii="Times" w:hAnsi="Times"/>
          <w:szCs w:val="24"/>
        </w:rPr>
        <w:t>idée qu</w:t>
      </w:r>
      <w:r w:rsidR="00D72851">
        <w:rPr>
          <w:rFonts w:ascii="Times" w:hAnsi="Times"/>
          <w:szCs w:val="24"/>
        </w:rPr>
        <w:t>’</w:t>
      </w:r>
      <w:r w:rsidRPr="002A1C17">
        <w:rPr>
          <w:rFonts w:ascii="Times" w:hAnsi="Times"/>
          <w:szCs w:val="24"/>
        </w:rPr>
        <w:t>il existe un certain déficit démocratique dans le fonctionnement de l</w:t>
      </w:r>
      <w:r w:rsidR="00D72851">
        <w:rPr>
          <w:rFonts w:ascii="Times" w:hAnsi="Times"/>
          <w:szCs w:val="24"/>
        </w:rPr>
        <w:t>’</w:t>
      </w:r>
      <w:r w:rsidRPr="002A1C17">
        <w:rPr>
          <w:rFonts w:ascii="Times" w:hAnsi="Times"/>
          <w:szCs w:val="24"/>
        </w:rPr>
        <w:t>ISO n</w:t>
      </w:r>
      <w:r w:rsidR="00D72851">
        <w:rPr>
          <w:rFonts w:ascii="Times" w:hAnsi="Times"/>
          <w:szCs w:val="24"/>
        </w:rPr>
        <w:t>’</w:t>
      </w:r>
      <w:r w:rsidRPr="002A1C17">
        <w:rPr>
          <w:rFonts w:ascii="Times" w:hAnsi="Times"/>
          <w:szCs w:val="24"/>
        </w:rPr>
        <w:t>est pas nouvelle.</w:t>
      </w:r>
      <w:r w:rsidR="00AB48E4" w:rsidRPr="002A1C17">
        <w:rPr>
          <w:rFonts w:ascii="Times" w:hAnsi="Times"/>
          <w:szCs w:val="24"/>
        </w:rPr>
        <w:t xml:space="preserve"> Une</w:t>
      </w:r>
      <w:r w:rsidRPr="002A1C17">
        <w:rPr>
          <w:rFonts w:ascii="Times" w:hAnsi="Times"/>
          <w:szCs w:val="24"/>
        </w:rPr>
        <w:t xml:space="preserve"> première trace</w:t>
      </w:r>
      <w:r w:rsidR="00633551" w:rsidRPr="002A1C17">
        <w:rPr>
          <w:rFonts w:ascii="Times" w:hAnsi="Times"/>
          <w:szCs w:val="24"/>
        </w:rPr>
        <w:t xml:space="preserve"> de cette </w:t>
      </w:r>
      <w:r w:rsidR="00D672DF" w:rsidRPr="002A1C17">
        <w:rPr>
          <w:rFonts w:ascii="Times" w:hAnsi="Times"/>
          <w:szCs w:val="24"/>
        </w:rPr>
        <w:t>préoccupation</w:t>
      </w:r>
      <w:r w:rsidR="00633551" w:rsidRPr="002A1C17">
        <w:rPr>
          <w:rFonts w:ascii="Times" w:hAnsi="Times"/>
          <w:szCs w:val="24"/>
        </w:rPr>
        <w:t xml:space="preserve"> peut être trouvée</w:t>
      </w:r>
      <w:r w:rsidRPr="002A1C17">
        <w:rPr>
          <w:rFonts w:ascii="Times" w:hAnsi="Times"/>
          <w:szCs w:val="24"/>
        </w:rPr>
        <w:t xml:space="preserve"> dans une résolution de 1964 du Conseil de l</w:t>
      </w:r>
      <w:r w:rsidR="00D72851">
        <w:rPr>
          <w:rFonts w:ascii="Times" w:hAnsi="Times"/>
          <w:szCs w:val="24"/>
        </w:rPr>
        <w:t>’</w:t>
      </w:r>
      <w:r w:rsidRPr="002A1C17">
        <w:rPr>
          <w:rFonts w:ascii="Times" w:hAnsi="Times"/>
          <w:szCs w:val="24"/>
        </w:rPr>
        <w:t>ISO</w:t>
      </w:r>
      <w:r w:rsidRPr="002A1C17">
        <w:rPr>
          <w:rStyle w:val="Appelnotedebasdep"/>
          <w:rFonts w:ascii="Times" w:hAnsi="Times"/>
          <w:szCs w:val="24"/>
        </w:rPr>
        <w:footnoteReference w:id="21"/>
      </w:r>
      <w:r w:rsidR="00AB48E4" w:rsidRPr="002A1C17">
        <w:rPr>
          <w:rFonts w:ascii="Times" w:hAnsi="Times"/>
          <w:szCs w:val="24"/>
        </w:rPr>
        <w:t xml:space="preserve">, laquelle </w:t>
      </w:r>
      <w:r w:rsidRPr="002A1C17">
        <w:rPr>
          <w:rFonts w:ascii="Times" w:hAnsi="Times"/>
          <w:szCs w:val="24"/>
        </w:rPr>
        <w:t>évoque textuellement l</w:t>
      </w:r>
      <w:r w:rsidR="00D72851">
        <w:rPr>
          <w:rFonts w:ascii="Times" w:hAnsi="Times"/>
          <w:szCs w:val="24"/>
        </w:rPr>
        <w:t>’</w:t>
      </w:r>
      <w:r w:rsidRPr="002A1C17">
        <w:rPr>
          <w:rFonts w:ascii="Times" w:hAnsi="Times"/>
          <w:szCs w:val="24"/>
        </w:rPr>
        <w:t>importance d</w:t>
      </w:r>
      <w:r w:rsidR="00D72851">
        <w:rPr>
          <w:rFonts w:ascii="Times" w:hAnsi="Times"/>
          <w:szCs w:val="24"/>
        </w:rPr>
        <w:t>’</w:t>
      </w:r>
      <w:r w:rsidRPr="002A1C17">
        <w:rPr>
          <w:rFonts w:ascii="Times" w:hAnsi="Times"/>
          <w:szCs w:val="24"/>
        </w:rPr>
        <w:t>accroître la participation des consommateurs à la fabrication des normes ISO les concernant</w:t>
      </w:r>
      <w:r w:rsidRPr="002A1C17">
        <w:rPr>
          <w:rFonts w:ascii="Times" w:hAnsi="Times"/>
          <w:szCs w:val="24"/>
        </w:rPr>
        <w:t xml:space="preserve">. </w:t>
      </w:r>
    </w:p>
    <w:p w14:paraId="48E4926F" w14:textId="77777777" w:rsidR="004C2BB1" w:rsidRPr="002A1C17" w:rsidRDefault="004C2BB1" w:rsidP="00D11C33">
      <w:pPr>
        <w:spacing w:line="240" w:lineRule="auto"/>
        <w:jc w:val="both"/>
        <w:rPr>
          <w:rFonts w:ascii="Times" w:hAnsi="Times"/>
          <w:szCs w:val="24"/>
        </w:rPr>
      </w:pPr>
    </w:p>
    <w:p w14:paraId="03D290CF" w14:textId="5F164148" w:rsidR="004C2BB1" w:rsidRPr="002A1C17" w:rsidRDefault="00D672DF" w:rsidP="00D11C33">
      <w:pPr>
        <w:spacing w:line="240" w:lineRule="auto"/>
        <w:jc w:val="both"/>
        <w:rPr>
          <w:rFonts w:ascii="Times" w:hAnsi="Times"/>
          <w:szCs w:val="24"/>
        </w:rPr>
      </w:pPr>
      <w:r w:rsidRPr="002A1C17">
        <w:rPr>
          <w:rFonts w:ascii="Times" w:hAnsi="Times"/>
          <w:szCs w:val="24"/>
        </w:rPr>
        <w:t>S</w:t>
      </w:r>
      <w:r w:rsidR="00D72851">
        <w:rPr>
          <w:rFonts w:ascii="Times" w:hAnsi="Times"/>
          <w:szCs w:val="24"/>
        </w:rPr>
        <w:t>’</w:t>
      </w:r>
      <w:r w:rsidRPr="002A1C17">
        <w:rPr>
          <w:rFonts w:ascii="Times" w:hAnsi="Times"/>
          <w:szCs w:val="24"/>
        </w:rPr>
        <w:t>agissant de l</w:t>
      </w:r>
      <w:r w:rsidR="00D72851">
        <w:rPr>
          <w:rFonts w:ascii="Times" w:hAnsi="Times"/>
          <w:szCs w:val="24"/>
        </w:rPr>
        <w:t>’</w:t>
      </w:r>
      <w:r w:rsidRPr="002A1C17">
        <w:rPr>
          <w:rFonts w:ascii="Times" w:hAnsi="Times"/>
          <w:szCs w:val="24"/>
        </w:rPr>
        <w:t>IASB</w:t>
      </w:r>
      <w:r w:rsidR="004C2BB1" w:rsidRPr="002A1C17">
        <w:rPr>
          <w:rFonts w:ascii="Times" w:hAnsi="Times"/>
          <w:szCs w:val="24"/>
        </w:rPr>
        <w:t>, le régulateur comptable américain a fait pression dès les années 1990 pour que l</w:t>
      </w:r>
      <w:r w:rsidR="00D72851">
        <w:rPr>
          <w:rFonts w:ascii="Times" w:hAnsi="Times"/>
          <w:szCs w:val="24"/>
        </w:rPr>
        <w:t>’</w:t>
      </w:r>
      <w:r w:rsidR="004C2BB1" w:rsidRPr="002A1C17">
        <w:rPr>
          <w:rFonts w:ascii="Times" w:hAnsi="Times"/>
          <w:szCs w:val="24"/>
        </w:rPr>
        <w:t>IASC, prédécesseur de l</w:t>
      </w:r>
      <w:r w:rsidR="00D72851">
        <w:rPr>
          <w:rFonts w:ascii="Times" w:hAnsi="Times"/>
          <w:szCs w:val="24"/>
        </w:rPr>
        <w:t>’</w:t>
      </w:r>
      <w:r w:rsidR="004C2BB1" w:rsidRPr="002A1C17">
        <w:rPr>
          <w:rFonts w:ascii="Times" w:hAnsi="Times"/>
          <w:szCs w:val="24"/>
        </w:rPr>
        <w:t>IASB qui a été créée en 2001, améliore sa légitimité afin que ses standards puissent être repris en droit américain. En 1998, il a en particulier indiqué que les États-Unis refuseraient de reprendre les standards comptables notamment si l</w:t>
      </w:r>
      <w:r w:rsidR="00D72851">
        <w:rPr>
          <w:rFonts w:ascii="Times" w:hAnsi="Times"/>
          <w:szCs w:val="24"/>
        </w:rPr>
        <w:t>’</w:t>
      </w:r>
      <w:r w:rsidR="004C2BB1" w:rsidRPr="002A1C17">
        <w:rPr>
          <w:rFonts w:ascii="Times" w:hAnsi="Times"/>
          <w:szCs w:val="24"/>
        </w:rPr>
        <w:t>indépendance de l</w:t>
      </w:r>
      <w:r w:rsidR="00D72851">
        <w:rPr>
          <w:rFonts w:ascii="Times" w:hAnsi="Times"/>
          <w:szCs w:val="24"/>
        </w:rPr>
        <w:t>’</w:t>
      </w:r>
      <w:r w:rsidR="004C2BB1" w:rsidRPr="002A1C17">
        <w:rPr>
          <w:rFonts w:ascii="Times" w:hAnsi="Times"/>
          <w:szCs w:val="24"/>
        </w:rPr>
        <w:t xml:space="preserve">organisme de normalisation et les principes de </w:t>
      </w:r>
      <w:r w:rsidR="004C2BB1" w:rsidRPr="002A1C17">
        <w:rPr>
          <w:rFonts w:ascii="Times" w:hAnsi="Times"/>
          <w:i/>
          <w:iCs/>
          <w:szCs w:val="24"/>
        </w:rPr>
        <w:t>due process</w:t>
      </w:r>
      <w:r w:rsidR="004C2BB1" w:rsidRPr="002A1C17">
        <w:rPr>
          <w:rFonts w:ascii="Times" w:hAnsi="Times"/>
          <w:szCs w:val="24"/>
        </w:rPr>
        <w:t xml:space="preserve"> ne faisaient pas l</w:t>
      </w:r>
      <w:r w:rsidR="00D72851">
        <w:rPr>
          <w:rFonts w:ascii="Times" w:hAnsi="Times"/>
          <w:szCs w:val="24"/>
        </w:rPr>
        <w:t>’</w:t>
      </w:r>
      <w:r w:rsidR="004C2BB1" w:rsidRPr="002A1C17">
        <w:rPr>
          <w:rFonts w:ascii="Times" w:hAnsi="Times"/>
          <w:szCs w:val="24"/>
        </w:rPr>
        <w:t>objet de réformes importantes, la légitimité de l</w:t>
      </w:r>
      <w:r w:rsidR="00D72851">
        <w:rPr>
          <w:rFonts w:ascii="Times" w:hAnsi="Times"/>
          <w:szCs w:val="24"/>
        </w:rPr>
        <w:t>’</w:t>
      </w:r>
      <w:r w:rsidR="004C2BB1" w:rsidRPr="002A1C17">
        <w:rPr>
          <w:rFonts w:ascii="Times" w:hAnsi="Times"/>
          <w:szCs w:val="24"/>
        </w:rPr>
        <w:t>institution étant en jeu. De la même manière, la presse s</w:t>
      </w:r>
      <w:r w:rsidR="00D72851">
        <w:rPr>
          <w:rFonts w:ascii="Times" w:hAnsi="Times"/>
          <w:szCs w:val="24"/>
        </w:rPr>
        <w:t>’</w:t>
      </w:r>
      <w:r w:rsidR="004C2BB1" w:rsidRPr="002A1C17">
        <w:rPr>
          <w:rFonts w:ascii="Times" w:hAnsi="Times"/>
          <w:szCs w:val="24"/>
        </w:rPr>
        <w:t>interroge régulièrement sur la transparence, le fonctionnement et l</w:t>
      </w:r>
      <w:r w:rsidR="00D72851">
        <w:rPr>
          <w:rFonts w:ascii="Times" w:hAnsi="Times"/>
          <w:szCs w:val="24"/>
        </w:rPr>
        <w:t>’</w:t>
      </w:r>
      <w:r w:rsidR="004C2BB1" w:rsidRPr="002A1C17">
        <w:rPr>
          <w:rFonts w:ascii="Times" w:hAnsi="Times"/>
          <w:szCs w:val="24"/>
        </w:rPr>
        <w:t>indépendance de l</w:t>
      </w:r>
      <w:r w:rsidR="00D72851">
        <w:rPr>
          <w:rFonts w:ascii="Times" w:hAnsi="Times"/>
          <w:szCs w:val="24"/>
        </w:rPr>
        <w:t>’</w:t>
      </w:r>
      <w:r w:rsidR="004C2BB1" w:rsidRPr="002A1C17">
        <w:rPr>
          <w:rFonts w:ascii="Times" w:hAnsi="Times"/>
          <w:szCs w:val="24"/>
        </w:rPr>
        <w:t>IASB</w:t>
      </w:r>
      <w:r w:rsidR="00695C04" w:rsidRPr="002A1C17">
        <w:rPr>
          <w:rFonts w:ascii="Times" w:hAnsi="Times"/>
          <w:szCs w:val="24"/>
        </w:rPr>
        <w:t>, l</w:t>
      </w:r>
      <w:r w:rsidR="004C2BB1" w:rsidRPr="002A1C17">
        <w:rPr>
          <w:rFonts w:ascii="Times" w:hAnsi="Times"/>
          <w:szCs w:val="24"/>
        </w:rPr>
        <w:t xml:space="preserve">a crise financière de 2008 et ses répercussions en 2011 </w:t>
      </w:r>
      <w:r w:rsidR="00695C04" w:rsidRPr="002A1C17">
        <w:rPr>
          <w:rFonts w:ascii="Times" w:hAnsi="Times"/>
          <w:szCs w:val="24"/>
        </w:rPr>
        <w:t xml:space="preserve">ayant </w:t>
      </w:r>
      <w:r w:rsidR="004C2BB1" w:rsidRPr="002A1C17">
        <w:rPr>
          <w:rFonts w:ascii="Times" w:hAnsi="Times"/>
          <w:szCs w:val="24"/>
        </w:rPr>
        <w:t>relancé ces débats</w:t>
      </w:r>
      <w:r w:rsidR="00695C04" w:rsidRPr="002A1C17">
        <w:rPr>
          <w:rStyle w:val="Appelnotedebasdep"/>
          <w:rFonts w:ascii="Times" w:hAnsi="Times"/>
          <w:szCs w:val="24"/>
        </w:rPr>
        <w:footnoteReference w:id="22"/>
      </w:r>
      <w:r w:rsidR="004C2BB1" w:rsidRPr="002A1C17">
        <w:rPr>
          <w:rFonts w:ascii="Times" w:hAnsi="Times"/>
          <w:szCs w:val="24"/>
        </w:rPr>
        <w:t xml:space="preserve">. En 2019 encore, </w:t>
      </w:r>
      <w:r w:rsidR="00C22D61" w:rsidRPr="002A1C17">
        <w:rPr>
          <w:rFonts w:ascii="Times" w:hAnsi="Times"/>
          <w:szCs w:val="24"/>
        </w:rPr>
        <w:t>des critiques de</w:t>
      </w:r>
      <w:r w:rsidR="004C2BB1" w:rsidRPr="002A1C17">
        <w:rPr>
          <w:rFonts w:ascii="Times" w:hAnsi="Times"/>
          <w:szCs w:val="24"/>
        </w:rPr>
        <w:t xml:space="preserve"> la composition d</w:t>
      </w:r>
      <w:r w:rsidR="00C22D61" w:rsidRPr="002A1C17">
        <w:rPr>
          <w:rFonts w:ascii="Times" w:hAnsi="Times"/>
          <w:szCs w:val="24"/>
        </w:rPr>
        <w:t xml:space="preserve">u </w:t>
      </w:r>
      <w:r w:rsidR="004C2BB1" w:rsidRPr="002A1C17">
        <w:rPr>
          <w:rFonts w:ascii="Times" w:hAnsi="Times"/>
          <w:i/>
          <w:iCs/>
          <w:szCs w:val="24"/>
        </w:rPr>
        <w:t>Board</w:t>
      </w:r>
      <w:r w:rsidR="004C2BB1" w:rsidRPr="002A1C17">
        <w:rPr>
          <w:rFonts w:ascii="Times" w:hAnsi="Times"/>
          <w:szCs w:val="24"/>
        </w:rPr>
        <w:t xml:space="preserve"> de l</w:t>
      </w:r>
      <w:r w:rsidR="00D72851">
        <w:rPr>
          <w:rFonts w:ascii="Times" w:hAnsi="Times"/>
          <w:szCs w:val="24"/>
        </w:rPr>
        <w:t>’</w:t>
      </w:r>
      <w:r w:rsidR="004C2BB1" w:rsidRPr="002A1C17">
        <w:rPr>
          <w:rFonts w:ascii="Times" w:hAnsi="Times"/>
          <w:szCs w:val="24"/>
        </w:rPr>
        <w:t xml:space="preserve">IASB, qui </w:t>
      </w:r>
      <w:r w:rsidR="004C2BB1" w:rsidRPr="002A1C17">
        <w:rPr>
          <w:rFonts w:ascii="Times" w:hAnsi="Times"/>
          <w:szCs w:val="24"/>
        </w:rPr>
        <w:lastRenderedPageBreak/>
        <w:t>adopte les normes IFRS</w:t>
      </w:r>
      <w:r w:rsidR="00C22D61" w:rsidRPr="002A1C17">
        <w:rPr>
          <w:rFonts w:ascii="Times" w:hAnsi="Times"/>
          <w:szCs w:val="24"/>
        </w:rPr>
        <w:t xml:space="preserve"> et </w:t>
      </w:r>
      <w:r w:rsidR="004C2BB1" w:rsidRPr="002A1C17">
        <w:rPr>
          <w:rFonts w:ascii="Times" w:hAnsi="Times"/>
          <w:szCs w:val="24"/>
        </w:rPr>
        <w:t>comprend 14 membres, tous représentants de grands groupes multinationaux et de cabinets d</w:t>
      </w:r>
      <w:r w:rsidR="00D72851">
        <w:rPr>
          <w:rFonts w:ascii="Times" w:hAnsi="Times"/>
          <w:szCs w:val="24"/>
        </w:rPr>
        <w:t>’</w:t>
      </w:r>
      <w:r w:rsidR="004C2BB1" w:rsidRPr="002A1C17">
        <w:rPr>
          <w:rFonts w:ascii="Times" w:hAnsi="Times"/>
          <w:szCs w:val="24"/>
        </w:rPr>
        <w:t>audit internationaux</w:t>
      </w:r>
      <w:r w:rsidR="00C22D61" w:rsidRPr="002A1C17">
        <w:rPr>
          <w:rFonts w:ascii="Times" w:hAnsi="Times"/>
          <w:szCs w:val="24"/>
        </w:rPr>
        <w:t>, émergeaient de nouveau</w:t>
      </w:r>
      <w:bookmarkStart w:id="5" w:name="_Ref54642936"/>
      <w:r w:rsidR="004C2BB1" w:rsidRPr="002A1C17">
        <w:rPr>
          <w:rStyle w:val="Appelnotedebasdep"/>
          <w:rFonts w:ascii="Times" w:hAnsi="Times"/>
          <w:szCs w:val="24"/>
        </w:rPr>
        <w:footnoteReference w:id="23"/>
      </w:r>
      <w:bookmarkEnd w:id="5"/>
      <w:r w:rsidR="004C2BB1" w:rsidRPr="002A1C17">
        <w:rPr>
          <w:rFonts w:ascii="Times" w:hAnsi="Times"/>
          <w:szCs w:val="24"/>
        </w:rPr>
        <w:t xml:space="preserve">. </w:t>
      </w:r>
    </w:p>
    <w:p w14:paraId="4009F891" w14:textId="77777777" w:rsidR="00182B7D" w:rsidRPr="002A1C17" w:rsidRDefault="00182B7D" w:rsidP="00D11C33">
      <w:pPr>
        <w:spacing w:line="240" w:lineRule="auto"/>
        <w:jc w:val="both"/>
        <w:rPr>
          <w:rFonts w:ascii="Times" w:hAnsi="Times"/>
          <w:szCs w:val="24"/>
        </w:rPr>
      </w:pPr>
    </w:p>
    <w:p w14:paraId="5991A253" w14:textId="23741732" w:rsidR="00182B7D" w:rsidRPr="002A1C17" w:rsidRDefault="00182B7D" w:rsidP="00D11C33">
      <w:pPr>
        <w:autoSpaceDE w:val="0"/>
        <w:autoSpaceDN w:val="0"/>
        <w:adjustRightInd w:val="0"/>
        <w:spacing w:line="240" w:lineRule="auto"/>
        <w:jc w:val="both"/>
        <w:rPr>
          <w:rFonts w:ascii="Times" w:hAnsi="Times"/>
          <w:szCs w:val="24"/>
        </w:rPr>
      </w:pPr>
      <w:r w:rsidRPr="002A1C17">
        <w:rPr>
          <w:rFonts w:ascii="Times" w:hAnsi="Times"/>
          <w:szCs w:val="24"/>
        </w:rPr>
        <w:t>Au-delà de la société civile, le fait que les parlementaires nationaux se saisissent de la question des procédures de l</w:t>
      </w:r>
      <w:r w:rsidR="00D72851">
        <w:rPr>
          <w:rFonts w:ascii="Times" w:hAnsi="Times"/>
          <w:szCs w:val="24"/>
        </w:rPr>
        <w:t>’</w:t>
      </w:r>
      <w:r w:rsidRPr="002A1C17">
        <w:rPr>
          <w:rFonts w:ascii="Times" w:hAnsi="Times"/>
          <w:szCs w:val="24"/>
        </w:rPr>
        <w:t xml:space="preserve">IASB a largement contribué, en France et en Europe, à faire naître ou à </w:t>
      </w:r>
      <w:r w:rsidR="00EF0048" w:rsidRPr="002A1C17">
        <w:rPr>
          <w:rFonts w:ascii="Times" w:hAnsi="Times"/>
          <w:szCs w:val="24"/>
        </w:rPr>
        <w:t>affermir les revendications tendant à renforcer la légitimité de l</w:t>
      </w:r>
      <w:r w:rsidR="00D72851">
        <w:rPr>
          <w:rFonts w:ascii="Times" w:hAnsi="Times"/>
          <w:szCs w:val="24"/>
        </w:rPr>
        <w:t>’</w:t>
      </w:r>
      <w:r w:rsidR="00EF0048" w:rsidRPr="002A1C17">
        <w:rPr>
          <w:rFonts w:ascii="Times" w:hAnsi="Times"/>
          <w:szCs w:val="24"/>
        </w:rPr>
        <w:t>organisme. L</w:t>
      </w:r>
      <w:r w:rsidR="00D72851">
        <w:rPr>
          <w:rFonts w:ascii="Times" w:hAnsi="Times"/>
          <w:szCs w:val="24"/>
        </w:rPr>
        <w:t>’</w:t>
      </w:r>
      <w:r w:rsidR="00EF0048" w:rsidRPr="002A1C17">
        <w:rPr>
          <w:rFonts w:ascii="Times" w:hAnsi="Times"/>
          <w:szCs w:val="24"/>
        </w:rPr>
        <w:t>exemple, à la fin des années 2000, de l</w:t>
      </w:r>
      <w:r w:rsidR="00D72851">
        <w:rPr>
          <w:rFonts w:ascii="Times" w:hAnsi="Times"/>
          <w:szCs w:val="24"/>
        </w:rPr>
        <w:t>’</w:t>
      </w:r>
      <w:r w:rsidR="00EF0048" w:rsidRPr="002A1C17">
        <w:rPr>
          <w:rFonts w:ascii="Times" w:hAnsi="Times"/>
          <w:szCs w:val="24"/>
        </w:rPr>
        <w:t xml:space="preserve">adoption – ou </w:t>
      </w:r>
      <w:r w:rsidR="00EF0048" w:rsidRPr="002A1C17">
        <w:rPr>
          <w:rFonts w:ascii="Times" w:hAnsi="Times"/>
          <w:szCs w:val="24"/>
        </w:rPr>
        <w:t>de la non-adoption – de la norme IAS 39 par l</w:t>
      </w:r>
      <w:r w:rsidR="00D72851">
        <w:rPr>
          <w:rFonts w:ascii="Times" w:hAnsi="Times"/>
          <w:szCs w:val="24"/>
        </w:rPr>
        <w:t>’</w:t>
      </w:r>
      <w:r w:rsidR="00EF0048" w:rsidRPr="002A1C17">
        <w:rPr>
          <w:rFonts w:ascii="Times" w:hAnsi="Times"/>
          <w:szCs w:val="24"/>
        </w:rPr>
        <w:t>Union européenne est particulièrement représentative de ce phénomène</w:t>
      </w:r>
      <w:r w:rsidR="00EF0048" w:rsidRPr="002A1C17">
        <w:rPr>
          <w:rStyle w:val="Appelnotedebasdep"/>
          <w:rFonts w:ascii="Times" w:hAnsi="Times"/>
          <w:szCs w:val="24"/>
        </w:rPr>
        <w:footnoteReference w:id="24"/>
      </w:r>
      <w:r w:rsidR="00EF0048" w:rsidRPr="002A1C17">
        <w:rPr>
          <w:rFonts w:ascii="Times" w:hAnsi="Times"/>
          <w:szCs w:val="24"/>
        </w:rPr>
        <w:t xml:space="preserve">. Les normes IAS 32 et IAS 39 imposent que les instruments financiers soient évalués à la valeur du marché. Néanmoins, les professionnels du secteur financier dénoncent le caractère volatile et instable de ce critère de </w:t>
      </w:r>
      <w:r w:rsidR="00EF0048" w:rsidRPr="002A1C17">
        <w:rPr>
          <w:rFonts w:ascii="Times" w:hAnsi="Times"/>
          <w:i/>
          <w:iCs/>
          <w:szCs w:val="24"/>
        </w:rPr>
        <w:t>fair value</w:t>
      </w:r>
      <w:r w:rsidR="00EF0048" w:rsidRPr="002A1C17">
        <w:rPr>
          <w:rFonts w:ascii="Times" w:hAnsi="Times"/>
          <w:szCs w:val="24"/>
        </w:rPr>
        <w:t>, d</w:t>
      </w:r>
      <w:r w:rsidR="00D72851">
        <w:rPr>
          <w:rFonts w:ascii="Times" w:hAnsi="Times"/>
          <w:szCs w:val="24"/>
        </w:rPr>
        <w:t>’</w:t>
      </w:r>
      <w:r w:rsidR="00EF0048" w:rsidRPr="002A1C17">
        <w:rPr>
          <w:rFonts w:ascii="Times" w:hAnsi="Times"/>
          <w:szCs w:val="24"/>
        </w:rPr>
        <w:t>autant que l</w:t>
      </w:r>
      <w:r w:rsidR="00D72851">
        <w:rPr>
          <w:rFonts w:ascii="Times" w:hAnsi="Times"/>
          <w:szCs w:val="24"/>
        </w:rPr>
        <w:t>’</w:t>
      </w:r>
      <w:r w:rsidR="00EF0048" w:rsidRPr="002A1C17">
        <w:rPr>
          <w:rFonts w:ascii="Times" w:hAnsi="Times"/>
          <w:szCs w:val="24"/>
        </w:rPr>
        <w:t>obligation repose sur le postulat de l</w:t>
      </w:r>
      <w:r w:rsidR="00D72851">
        <w:rPr>
          <w:rFonts w:ascii="Times" w:hAnsi="Times"/>
          <w:szCs w:val="24"/>
        </w:rPr>
        <w:t>’</w:t>
      </w:r>
      <w:r w:rsidR="00EF0048" w:rsidRPr="002A1C17">
        <w:rPr>
          <w:rFonts w:ascii="Times" w:hAnsi="Times"/>
          <w:szCs w:val="24"/>
        </w:rPr>
        <w:t>existence d</w:t>
      </w:r>
      <w:r w:rsidR="00D72851">
        <w:rPr>
          <w:rFonts w:ascii="Times" w:hAnsi="Times"/>
          <w:szCs w:val="24"/>
        </w:rPr>
        <w:t>’</w:t>
      </w:r>
      <w:r w:rsidR="00EF0048" w:rsidRPr="002A1C17">
        <w:rPr>
          <w:rFonts w:ascii="Times" w:hAnsi="Times"/>
          <w:szCs w:val="24"/>
        </w:rPr>
        <w:t>un marché, ce qui n</w:t>
      </w:r>
      <w:r w:rsidR="00D72851">
        <w:rPr>
          <w:rFonts w:ascii="Times" w:hAnsi="Times"/>
          <w:szCs w:val="24"/>
        </w:rPr>
        <w:t>’</w:t>
      </w:r>
      <w:r w:rsidR="00EF0048" w:rsidRPr="002A1C17">
        <w:rPr>
          <w:rFonts w:ascii="Times" w:hAnsi="Times"/>
          <w:szCs w:val="24"/>
        </w:rPr>
        <w:t>est pas toujours le cas. En cas d</w:t>
      </w:r>
      <w:r w:rsidR="00D72851">
        <w:rPr>
          <w:rFonts w:ascii="Times" w:hAnsi="Times"/>
          <w:szCs w:val="24"/>
        </w:rPr>
        <w:t>’</w:t>
      </w:r>
      <w:r w:rsidR="00EF0048" w:rsidRPr="002A1C17">
        <w:rPr>
          <w:rFonts w:ascii="Times" w:hAnsi="Times"/>
          <w:szCs w:val="24"/>
        </w:rPr>
        <w:t xml:space="preserve">absence de marché, </w:t>
      </w:r>
      <w:r w:rsidR="002079D4">
        <w:rPr>
          <w:rFonts w:ascii="Times" w:hAnsi="Times"/>
          <w:szCs w:val="24"/>
        </w:rPr>
        <w:t>l</w:t>
      </w:r>
      <w:r w:rsidR="00EF0048" w:rsidRPr="002A1C17">
        <w:rPr>
          <w:rFonts w:ascii="Times" w:hAnsi="Times"/>
          <w:szCs w:val="24"/>
        </w:rPr>
        <w:t>es risques de dérives et de manipulation de la comptabilité par des dirigeants d</w:t>
      </w:r>
      <w:r w:rsidR="00D72851">
        <w:rPr>
          <w:rFonts w:ascii="Times" w:hAnsi="Times"/>
          <w:szCs w:val="24"/>
        </w:rPr>
        <w:t>’</w:t>
      </w:r>
      <w:r w:rsidR="00EF0048" w:rsidRPr="002A1C17">
        <w:rPr>
          <w:rFonts w:ascii="Times" w:hAnsi="Times"/>
          <w:szCs w:val="24"/>
        </w:rPr>
        <w:t xml:space="preserve">entreprise </w:t>
      </w:r>
      <w:r w:rsidR="002079D4">
        <w:rPr>
          <w:rFonts w:ascii="Times" w:hAnsi="Times"/>
          <w:szCs w:val="24"/>
        </w:rPr>
        <w:t xml:space="preserve">ainsi que </w:t>
      </w:r>
      <w:r w:rsidR="00EF0048" w:rsidRPr="002A1C17">
        <w:rPr>
          <w:rFonts w:ascii="Times" w:hAnsi="Times"/>
          <w:szCs w:val="24"/>
        </w:rPr>
        <w:t>les dangers qu</w:t>
      </w:r>
      <w:r w:rsidR="00D72851">
        <w:rPr>
          <w:rFonts w:ascii="Times" w:hAnsi="Times"/>
          <w:szCs w:val="24"/>
        </w:rPr>
        <w:t>’</w:t>
      </w:r>
      <w:r w:rsidR="00EF0048" w:rsidRPr="002A1C17">
        <w:rPr>
          <w:rFonts w:ascii="Times" w:hAnsi="Times"/>
          <w:szCs w:val="24"/>
        </w:rPr>
        <w:t xml:space="preserve">impliquent une réflexion financière et comptable à court terme ont été soulignés tant par des experts que par le Président </w:t>
      </w:r>
      <w:r w:rsidR="002079D4">
        <w:rPr>
          <w:rFonts w:ascii="Times" w:hAnsi="Times"/>
          <w:szCs w:val="24"/>
        </w:rPr>
        <w:t xml:space="preserve">français </w:t>
      </w:r>
      <w:r w:rsidR="00EF0048" w:rsidRPr="002A1C17">
        <w:rPr>
          <w:rFonts w:ascii="Times" w:hAnsi="Times"/>
          <w:szCs w:val="24"/>
        </w:rPr>
        <w:t>Jacques Chirac</w:t>
      </w:r>
      <w:r w:rsidR="00D72851">
        <w:rPr>
          <w:rFonts w:ascii="Times" w:hAnsi="Times"/>
          <w:szCs w:val="24"/>
        </w:rPr>
        <w:t xml:space="preserve"> en 2003</w:t>
      </w:r>
      <w:r w:rsidR="00EF0048" w:rsidRPr="002A1C17">
        <w:rPr>
          <w:rFonts w:ascii="Times" w:hAnsi="Times"/>
          <w:szCs w:val="24"/>
        </w:rPr>
        <w:t>, qui intervint personnellement auprès de la Commission Européenne à ce propos</w:t>
      </w:r>
      <w:r w:rsidR="00D72851">
        <w:rPr>
          <w:rFonts w:ascii="Times" w:hAnsi="Times"/>
          <w:szCs w:val="24"/>
        </w:rPr>
        <w:t xml:space="preserve">. </w:t>
      </w:r>
      <w:r w:rsidR="00EF0048" w:rsidRPr="002A1C17">
        <w:rPr>
          <w:rFonts w:ascii="Times" w:hAnsi="Times"/>
          <w:szCs w:val="24"/>
        </w:rPr>
        <w:t>ette dernière n</w:t>
      </w:r>
      <w:r w:rsidR="00D72851">
        <w:rPr>
          <w:rFonts w:ascii="Times" w:hAnsi="Times"/>
          <w:szCs w:val="24"/>
        </w:rPr>
        <w:t>’</w:t>
      </w:r>
      <w:r w:rsidR="00EF0048" w:rsidRPr="002A1C17">
        <w:rPr>
          <w:rFonts w:ascii="Times" w:hAnsi="Times"/>
          <w:szCs w:val="24"/>
        </w:rPr>
        <w:t>adopta pas les deux normes ; après révision par l</w:t>
      </w:r>
      <w:r w:rsidR="00D72851">
        <w:rPr>
          <w:rFonts w:ascii="Times" w:hAnsi="Times"/>
          <w:szCs w:val="24"/>
        </w:rPr>
        <w:t>’</w:t>
      </w:r>
      <w:r w:rsidR="00EF0048" w:rsidRPr="002A1C17">
        <w:rPr>
          <w:rFonts w:ascii="Times" w:hAnsi="Times"/>
          <w:szCs w:val="24"/>
        </w:rPr>
        <w:t>IASB</w:t>
      </w:r>
      <w:r w:rsidR="002A1C17" w:rsidRPr="002A1C17">
        <w:rPr>
          <w:rFonts w:ascii="Times" w:hAnsi="Times"/>
          <w:szCs w:val="24"/>
        </w:rPr>
        <w:t>,</w:t>
      </w:r>
      <w:r w:rsidR="00EF0048" w:rsidRPr="002A1C17">
        <w:rPr>
          <w:rFonts w:ascii="Times" w:hAnsi="Times"/>
          <w:szCs w:val="24"/>
        </w:rPr>
        <w:t xml:space="preserve"> la norme IAS 32 fut adoptée </w:t>
      </w:r>
      <w:r w:rsidR="00EF0048" w:rsidRPr="002A1C17">
        <w:rPr>
          <w:rFonts w:ascii="Times" w:hAnsi="Times"/>
          <w:szCs w:val="24"/>
        </w:rPr>
        <w:t xml:space="preserve">mais </w:t>
      </w:r>
      <w:r w:rsidR="002A1C17" w:rsidRPr="002A1C17">
        <w:rPr>
          <w:rFonts w:ascii="Times" w:hAnsi="Times"/>
          <w:szCs w:val="24"/>
        </w:rPr>
        <w:t>non</w:t>
      </w:r>
      <w:r w:rsidR="00EF0048" w:rsidRPr="002A1C17">
        <w:rPr>
          <w:rFonts w:ascii="Times" w:hAnsi="Times"/>
          <w:szCs w:val="24"/>
        </w:rPr>
        <w:t xml:space="preserve"> la norme IAS 39 qui maintenait</w:t>
      </w:r>
      <w:r w:rsidR="002A1C17" w:rsidRPr="002A1C17">
        <w:rPr>
          <w:rFonts w:ascii="Times" w:hAnsi="Times"/>
          <w:szCs w:val="24"/>
        </w:rPr>
        <w:t>, entre autres,</w:t>
      </w:r>
      <w:r w:rsidR="00EF0048" w:rsidRPr="002A1C17">
        <w:rPr>
          <w:rFonts w:ascii="Times" w:hAnsi="Times"/>
          <w:szCs w:val="24"/>
        </w:rPr>
        <w:t xml:space="preserve"> l</w:t>
      </w:r>
      <w:r w:rsidR="00D72851">
        <w:rPr>
          <w:rFonts w:ascii="Times" w:hAnsi="Times"/>
          <w:szCs w:val="24"/>
        </w:rPr>
        <w:t>’</w:t>
      </w:r>
      <w:r w:rsidR="00EF0048" w:rsidRPr="002A1C17">
        <w:rPr>
          <w:rFonts w:ascii="Times" w:hAnsi="Times"/>
          <w:szCs w:val="24"/>
        </w:rPr>
        <w:t>obligation d</w:t>
      </w:r>
      <w:r w:rsidR="00D72851">
        <w:rPr>
          <w:rFonts w:ascii="Times" w:hAnsi="Times"/>
          <w:szCs w:val="24"/>
        </w:rPr>
        <w:t>’</w:t>
      </w:r>
      <w:r w:rsidR="00EF0048" w:rsidRPr="002A1C17">
        <w:rPr>
          <w:rFonts w:ascii="Times" w:hAnsi="Times"/>
          <w:szCs w:val="24"/>
        </w:rPr>
        <w:t>évaluation par la juste valeu</w:t>
      </w:r>
      <w:r w:rsidR="002A1C17" w:rsidRPr="002A1C17">
        <w:rPr>
          <w:rFonts w:ascii="Times" w:hAnsi="Times"/>
          <w:szCs w:val="24"/>
        </w:rPr>
        <w:t>r.</w:t>
      </w:r>
      <w:r w:rsidR="00EF0048" w:rsidRPr="002A1C17">
        <w:rPr>
          <w:rFonts w:ascii="Times" w:hAnsi="Times"/>
          <w:szCs w:val="24"/>
        </w:rPr>
        <w:t xml:space="preserve"> Cette crise, à l</w:t>
      </w:r>
      <w:r w:rsidR="00D72851">
        <w:rPr>
          <w:rFonts w:ascii="Times" w:hAnsi="Times"/>
          <w:szCs w:val="24"/>
        </w:rPr>
        <w:t>’</w:t>
      </w:r>
      <w:r w:rsidR="00EF0048" w:rsidRPr="002A1C17">
        <w:rPr>
          <w:rFonts w:ascii="Times" w:hAnsi="Times"/>
          <w:szCs w:val="24"/>
        </w:rPr>
        <w:t>origine technique et devenue, par l</w:t>
      </w:r>
      <w:r w:rsidR="00D72851">
        <w:rPr>
          <w:rFonts w:ascii="Times" w:hAnsi="Times"/>
          <w:szCs w:val="24"/>
        </w:rPr>
        <w:t>’</w:t>
      </w:r>
      <w:r w:rsidR="00EF0048" w:rsidRPr="002A1C17">
        <w:rPr>
          <w:rFonts w:ascii="Times" w:hAnsi="Times"/>
          <w:szCs w:val="24"/>
        </w:rPr>
        <w:t>entremise de l</w:t>
      </w:r>
      <w:r w:rsidR="00D72851">
        <w:rPr>
          <w:rFonts w:ascii="Times" w:hAnsi="Times"/>
          <w:szCs w:val="24"/>
        </w:rPr>
        <w:t>’</w:t>
      </w:r>
      <w:r w:rsidR="00EF0048" w:rsidRPr="002A1C17">
        <w:rPr>
          <w:rFonts w:ascii="Times" w:hAnsi="Times"/>
          <w:szCs w:val="24"/>
        </w:rPr>
        <w:t>intervention</w:t>
      </w:r>
      <w:r w:rsidR="002A1C17" w:rsidRPr="002A1C17">
        <w:rPr>
          <w:rFonts w:ascii="Times" w:hAnsi="Times"/>
          <w:szCs w:val="24"/>
        </w:rPr>
        <w:t xml:space="preserve">  du chef d</w:t>
      </w:r>
      <w:r w:rsidR="00D72851">
        <w:rPr>
          <w:rFonts w:ascii="Times" w:hAnsi="Times"/>
          <w:szCs w:val="24"/>
        </w:rPr>
        <w:t>’</w:t>
      </w:r>
      <w:r w:rsidR="002A1C17" w:rsidRPr="002A1C17">
        <w:rPr>
          <w:rFonts w:ascii="Times" w:hAnsi="Times"/>
          <w:szCs w:val="24"/>
        </w:rPr>
        <w:t>État</w:t>
      </w:r>
      <w:r w:rsidR="00EF0048" w:rsidRPr="002A1C17">
        <w:rPr>
          <w:rFonts w:ascii="Times" w:hAnsi="Times"/>
          <w:szCs w:val="24"/>
        </w:rPr>
        <w:t xml:space="preserve"> français, </w:t>
      </w:r>
      <w:r w:rsidR="002A1C17" w:rsidRPr="002A1C17">
        <w:rPr>
          <w:rFonts w:ascii="Times" w:hAnsi="Times"/>
          <w:szCs w:val="24"/>
        </w:rPr>
        <w:t>un sujet</w:t>
      </w:r>
      <w:r w:rsidR="00EF0048" w:rsidRPr="002A1C17">
        <w:rPr>
          <w:rFonts w:ascii="Times" w:hAnsi="Times"/>
          <w:szCs w:val="24"/>
        </w:rPr>
        <w:t xml:space="preserve"> politique, </w:t>
      </w:r>
      <w:r w:rsidR="002A1C17" w:rsidRPr="002A1C17">
        <w:rPr>
          <w:rFonts w:ascii="Times" w:hAnsi="Times"/>
          <w:szCs w:val="24"/>
        </w:rPr>
        <w:t>fit prendre conscience du déficit de légitimité des normes de l</w:t>
      </w:r>
      <w:r w:rsidR="00D72851">
        <w:rPr>
          <w:rFonts w:ascii="Times" w:hAnsi="Times"/>
          <w:szCs w:val="24"/>
        </w:rPr>
        <w:t>’</w:t>
      </w:r>
      <w:r w:rsidR="002A1C17" w:rsidRPr="002A1C17">
        <w:rPr>
          <w:rFonts w:ascii="Times" w:hAnsi="Times"/>
          <w:szCs w:val="24"/>
        </w:rPr>
        <w:t>IASB.</w:t>
      </w:r>
      <w:r w:rsidR="00EF0048" w:rsidRPr="002A1C17">
        <w:rPr>
          <w:rFonts w:ascii="Times" w:hAnsi="Times"/>
          <w:szCs w:val="24"/>
        </w:rPr>
        <w:t xml:space="preserve"> </w:t>
      </w:r>
      <w:r w:rsidR="00EF0048" w:rsidRPr="002A1C17">
        <w:rPr>
          <w:rFonts w:ascii="Times" w:eastAsia="Times New Roman" w:hAnsi="Times"/>
          <w:szCs w:val="24"/>
          <w:lang w:eastAsia="fr-FR"/>
        </w:rPr>
        <w:t xml:space="preserve">Les auteurs du rapport </w:t>
      </w:r>
      <w:r w:rsidR="00EF0048" w:rsidRPr="002A1C17">
        <w:rPr>
          <w:rFonts w:ascii="Times" w:eastAsia="Times New Roman" w:hAnsi="Times"/>
          <w:szCs w:val="24"/>
          <w:lang w:eastAsia="fr-FR"/>
        </w:rPr>
        <w:t xml:space="preserve">concluent </w:t>
      </w:r>
      <w:r w:rsidR="002A1C17" w:rsidRPr="002A1C17">
        <w:rPr>
          <w:rFonts w:ascii="Times" w:eastAsia="Times New Roman" w:hAnsi="Times"/>
          <w:szCs w:val="24"/>
          <w:lang w:eastAsia="fr-FR"/>
        </w:rPr>
        <w:t>d</w:t>
      </w:r>
      <w:r w:rsidR="00D72851">
        <w:rPr>
          <w:rFonts w:ascii="Times" w:eastAsia="Times New Roman" w:hAnsi="Times"/>
          <w:szCs w:val="24"/>
          <w:lang w:eastAsia="fr-FR"/>
        </w:rPr>
        <w:t>’</w:t>
      </w:r>
      <w:r w:rsidR="002A1C17" w:rsidRPr="002A1C17">
        <w:rPr>
          <w:rFonts w:ascii="Times" w:eastAsia="Times New Roman" w:hAnsi="Times"/>
          <w:szCs w:val="24"/>
          <w:lang w:eastAsia="fr-FR"/>
        </w:rPr>
        <w:t>ailleurs, en 2009,</w:t>
      </w:r>
      <w:r w:rsidR="00EF0048" w:rsidRPr="002A1C17">
        <w:rPr>
          <w:rFonts w:ascii="Times" w:eastAsia="Times New Roman" w:hAnsi="Times"/>
          <w:szCs w:val="24"/>
          <w:lang w:eastAsia="fr-FR"/>
        </w:rPr>
        <w:t xml:space="preserve"> que « [l]a légitimité ne peut être uniquement technico-rationnelle. Car la comptabilité n</w:t>
      </w:r>
      <w:r w:rsidR="00D72851">
        <w:rPr>
          <w:rFonts w:ascii="Times" w:eastAsia="Times New Roman" w:hAnsi="Times"/>
          <w:szCs w:val="24"/>
          <w:lang w:eastAsia="fr-FR"/>
        </w:rPr>
        <w:t>’</w:t>
      </w:r>
      <w:r w:rsidR="00EF0048" w:rsidRPr="002A1C17">
        <w:rPr>
          <w:rFonts w:ascii="Times" w:eastAsia="Times New Roman" w:hAnsi="Times"/>
          <w:szCs w:val="24"/>
          <w:lang w:eastAsia="fr-FR"/>
        </w:rPr>
        <w:t>est pas une science, et les conventions qu</w:t>
      </w:r>
      <w:r w:rsidR="00D72851">
        <w:rPr>
          <w:rFonts w:ascii="Times" w:eastAsia="Times New Roman" w:hAnsi="Times"/>
          <w:szCs w:val="24"/>
          <w:lang w:eastAsia="fr-FR"/>
        </w:rPr>
        <w:t>’</w:t>
      </w:r>
      <w:r w:rsidR="00EF0048" w:rsidRPr="002A1C17">
        <w:rPr>
          <w:rFonts w:ascii="Times" w:eastAsia="Times New Roman" w:hAnsi="Times"/>
          <w:szCs w:val="24"/>
          <w:lang w:eastAsia="fr-FR"/>
        </w:rPr>
        <w:t>elle élabore sont au cœur de la vie financière, économique et sociale. Il est ainsi paradoxal qu</w:t>
      </w:r>
      <w:r w:rsidR="00D72851">
        <w:rPr>
          <w:rFonts w:ascii="Times" w:eastAsia="Times New Roman" w:hAnsi="Times"/>
          <w:szCs w:val="24"/>
          <w:lang w:eastAsia="fr-FR"/>
        </w:rPr>
        <w:t>’</w:t>
      </w:r>
      <w:r w:rsidR="00EF0048" w:rsidRPr="002A1C17">
        <w:rPr>
          <w:rFonts w:ascii="Times" w:eastAsia="Times New Roman" w:hAnsi="Times"/>
          <w:szCs w:val="24"/>
          <w:lang w:eastAsia="fr-FR"/>
        </w:rPr>
        <w:t>une organisation qui élabore des normes comptables ne rende des comptes à personne</w:t>
      </w:r>
      <w:r w:rsidR="00373A82">
        <w:rPr>
          <w:rFonts w:ascii="Times" w:eastAsia="Times New Roman" w:hAnsi="Times"/>
          <w:szCs w:val="24"/>
          <w:lang w:eastAsia="fr-FR"/>
        </w:rPr>
        <w:t> </w:t>
      </w:r>
      <w:r w:rsidR="00EF0048" w:rsidRPr="002A1C17">
        <w:rPr>
          <w:rFonts w:ascii="Times" w:eastAsia="Times New Roman" w:hAnsi="Times"/>
          <w:szCs w:val="24"/>
          <w:lang w:eastAsia="fr-FR"/>
        </w:rPr>
        <w:t>! »</w:t>
      </w:r>
      <w:r w:rsidR="00EF0048" w:rsidRPr="002A1C17">
        <w:rPr>
          <w:rStyle w:val="Appelnotedebasdep"/>
          <w:rFonts w:ascii="Times" w:eastAsia="Times New Roman" w:hAnsi="Times"/>
          <w:szCs w:val="24"/>
          <w:lang w:eastAsia="fr-FR"/>
        </w:rPr>
        <w:footnoteReference w:id="25"/>
      </w:r>
      <w:r w:rsidR="00EF0048" w:rsidRPr="002A1C17">
        <w:rPr>
          <w:rFonts w:ascii="Times" w:eastAsia="Times New Roman" w:hAnsi="Times"/>
          <w:szCs w:val="24"/>
          <w:lang w:eastAsia="fr-FR"/>
        </w:rPr>
        <w:t>.</w:t>
      </w:r>
    </w:p>
    <w:p w14:paraId="430D2737" w14:textId="77777777" w:rsidR="004C2BB1" w:rsidRPr="002A1C17" w:rsidRDefault="004C2BB1" w:rsidP="00D11C33">
      <w:pPr>
        <w:spacing w:line="240" w:lineRule="auto"/>
        <w:jc w:val="both"/>
        <w:rPr>
          <w:rFonts w:ascii="Times" w:hAnsi="Times"/>
          <w:szCs w:val="24"/>
        </w:rPr>
      </w:pPr>
    </w:p>
    <w:p w14:paraId="6AA63362" w14:textId="3054B115" w:rsidR="004C2BB1" w:rsidRPr="002A1C17" w:rsidRDefault="004E3C9B" w:rsidP="00D11C33">
      <w:pPr>
        <w:spacing w:line="240" w:lineRule="auto"/>
        <w:jc w:val="both"/>
        <w:rPr>
          <w:rFonts w:ascii="Times" w:hAnsi="Times"/>
          <w:szCs w:val="24"/>
        </w:rPr>
      </w:pPr>
      <w:r w:rsidRPr="002A1C17">
        <w:rPr>
          <w:rFonts w:ascii="Times" w:hAnsi="Times"/>
          <w:szCs w:val="24"/>
        </w:rPr>
        <w:t>Toutes ces critiques et revendications en faveur d</w:t>
      </w:r>
      <w:r w:rsidR="00D72851">
        <w:rPr>
          <w:rFonts w:ascii="Times" w:hAnsi="Times"/>
          <w:szCs w:val="24"/>
        </w:rPr>
        <w:t>’</w:t>
      </w:r>
      <w:r w:rsidRPr="002A1C17">
        <w:rPr>
          <w:rFonts w:ascii="Times" w:hAnsi="Times"/>
          <w:szCs w:val="24"/>
        </w:rPr>
        <w:t>une plus grande transparence sont</w:t>
      </w:r>
      <w:r w:rsidR="004C2BB1" w:rsidRPr="002A1C17">
        <w:rPr>
          <w:rFonts w:ascii="Times" w:hAnsi="Times"/>
          <w:szCs w:val="24"/>
        </w:rPr>
        <w:t xml:space="preserve"> générat</w:t>
      </w:r>
      <w:r w:rsidRPr="002A1C17">
        <w:rPr>
          <w:rFonts w:ascii="Times" w:hAnsi="Times"/>
          <w:szCs w:val="24"/>
        </w:rPr>
        <w:t>rices</w:t>
      </w:r>
      <w:r w:rsidR="004C2BB1" w:rsidRPr="002A1C17">
        <w:rPr>
          <w:rFonts w:ascii="Times" w:hAnsi="Times"/>
          <w:szCs w:val="24"/>
        </w:rPr>
        <w:t xml:space="preserve"> d</w:t>
      </w:r>
      <w:r w:rsidR="00D72851">
        <w:rPr>
          <w:rFonts w:ascii="Times" w:hAnsi="Times"/>
          <w:szCs w:val="24"/>
        </w:rPr>
        <w:t>’</w:t>
      </w:r>
      <w:r w:rsidR="004C2BB1" w:rsidRPr="002A1C17">
        <w:rPr>
          <w:rFonts w:ascii="Times" w:hAnsi="Times"/>
          <w:szCs w:val="24"/>
        </w:rPr>
        <w:t>un « besoin social »</w:t>
      </w:r>
      <w:r w:rsidR="00A71F58" w:rsidRPr="002A1C17">
        <w:rPr>
          <w:rStyle w:val="Appelnotedebasdep"/>
          <w:rFonts w:ascii="Times" w:hAnsi="Times"/>
          <w:szCs w:val="24"/>
        </w:rPr>
        <w:footnoteReference w:id="26"/>
      </w:r>
      <w:r w:rsidR="00A71F58" w:rsidRPr="002A1C17">
        <w:rPr>
          <w:rFonts w:ascii="Times" w:hAnsi="Times"/>
          <w:szCs w:val="24"/>
        </w:rPr>
        <w:t xml:space="preserve"> </w:t>
      </w:r>
      <w:r w:rsidR="004C2BB1" w:rsidRPr="002A1C17">
        <w:rPr>
          <w:rFonts w:ascii="Times" w:hAnsi="Times"/>
          <w:szCs w:val="24"/>
        </w:rPr>
        <w:t xml:space="preserve">qui amène les entités concernées à y répondre. </w:t>
      </w:r>
      <w:r w:rsidRPr="002A1C17">
        <w:rPr>
          <w:rFonts w:ascii="Times" w:hAnsi="Times"/>
          <w:szCs w:val="24"/>
        </w:rPr>
        <w:t>Ce</w:t>
      </w:r>
      <w:r w:rsidR="00A71F58" w:rsidRPr="002A1C17">
        <w:rPr>
          <w:rFonts w:ascii="Times" w:hAnsi="Times"/>
          <w:szCs w:val="24"/>
        </w:rPr>
        <w:t xml:space="preserve"> besoin, exprimé par de</w:t>
      </w:r>
      <w:r w:rsidRPr="002A1C17">
        <w:rPr>
          <w:rFonts w:ascii="Times" w:hAnsi="Times"/>
          <w:szCs w:val="24"/>
        </w:rPr>
        <w:t>s</w:t>
      </w:r>
      <w:r w:rsidR="004C2BB1" w:rsidRPr="002A1C17">
        <w:rPr>
          <w:rFonts w:ascii="Times" w:hAnsi="Times"/>
          <w:szCs w:val="24"/>
        </w:rPr>
        <w:t xml:space="preserve"> pressions</w:t>
      </w:r>
      <w:r w:rsidR="00A71F58" w:rsidRPr="002A1C17">
        <w:rPr>
          <w:rFonts w:ascii="Times" w:hAnsi="Times"/>
          <w:szCs w:val="24"/>
        </w:rPr>
        <w:t xml:space="preserve"> </w:t>
      </w:r>
      <w:r w:rsidR="004C2BB1" w:rsidRPr="002A1C17">
        <w:rPr>
          <w:rFonts w:ascii="Times" w:hAnsi="Times"/>
          <w:szCs w:val="24"/>
        </w:rPr>
        <w:t>exercées par la société civile, les États ou les organisations internationales comme l</w:t>
      </w:r>
      <w:r w:rsidR="00D72851">
        <w:rPr>
          <w:rFonts w:ascii="Times" w:hAnsi="Times"/>
          <w:szCs w:val="24"/>
        </w:rPr>
        <w:t>’</w:t>
      </w:r>
      <w:r w:rsidR="004C2BB1" w:rsidRPr="002A1C17">
        <w:rPr>
          <w:rFonts w:ascii="Times" w:hAnsi="Times"/>
          <w:szCs w:val="24"/>
        </w:rPr>
        <w:t xml:space="preserve">Union européenne, </w:t>
      </w:r>
      <w:r w:rsidR="00A71F58" w:rsidRPr="002A1C17">
        <w:rPr>
          <w:rFonts w:ascii="Times" w:hAnsi="Times"/>
          <w:szCs w:val="24"/>
        </w:rPr>
        <w:t>a</w:t>
      </w:r>
      <w:r w:rsidR="004C2BB1" w:rsidRPr="002A1C17">
        <w:rPr>
          <w:rFonts w:ascii="Times" w:hAnsi="Times"/>
          <w:szCs w:val="24"/>
        </w:rPr>
        <w:t xml:space="preserve"> </w:t>
      </w:r>
      <w:r w:rsidRPr="002A1C17">
        <w:rPr>
          <w:rFonts w:ascii="Times" w:hAnsi="Times"/>
          <w:i/>
          <w:iCs/>
          <w:szCs w:val="24"/>
        </w:rPr>
        <w:t>in fine</w:t>
      </w:r>
      <w:r w:rsidRPr="002A1C17">
        <w:rPr>
          <w:rFonts w:ascii="Times" w:hAnsi="Times"/>
          <w:szCs w:val="24"/>
        </w:rPr>
        <w:t xml:space="preserve"> </w:t>
      </w:r>
      <w:r w:rsidR="004C2BB1" w:rsidRPr="002A1C17">
        <w:rPr>
          <w:rFonts w:ascii="Times" w:hAnsi="Times"/>
          <w:szCs w:val="24"/>
        </w:rPr>
        <w:t>entraîné l</w:t>
      </w:r>
      <w:r w:rsidR="00D72851">
        <w:rPr>
          <w:rFonts w:ascii="Times" w:hAnsi="Times"/>
          <w:szCs w:val="24"/>
        </w:rPr>
        <w:t>’</w:t>
      </w:r>
      <w:r w:rsidR="004C2BB1" w:rsidRPr="002A1C17">
        <w:rPr>
          <w:rFonts w:ascii="Times" w:hAnsi="Times"/>
          <w:szCs w:val="24"/>
        </w:rPr>
        <w:t>adoption de normes que l</w:t>
      </w:r>
      <w:r w:rsidR="00D72851">
        <w:rPr>
          <w:rFonts w:ascii="Times" w:hAnsi="Times"/>
          <w:szCs w:val="24"/>
        </w:rPr>
        <w:t>’</w:t>
      </w:r>
      <w:r w:rsidR="004C2BB1" w:rsidRPr="002A1C17">
        <w:rPr>
          <w:rFonts w:ascii="Times" w:hAnsi="Times"/>
          <w:szCs w:val="24"/>
        </w:rPr>
        <w:t xml:space="preserve">on peut qualifier de droit administratif global. </w:t>
      </w:r>
    </w:p>
    <w:p w14:paraId="050E1E9B" w14:textId="77777777" w:rsidR="004C2BB1" w:rsidRPr="002A1C17" w:rsidRDefault="004C2BB1" w:rsidP="00D11C33">
      <w:pPr>
        <w:spacing w:line="240" w:lineRule="auto"/>
        <w:jc w:val="both"/>
        <w:rPr>
          <w:rFonts w:ascii="Times" w:hAnsi="Times"/>
          <w:szCs w:val="24"/>
        </w:rPr>
      </w:pPr>
    </w:p>
    <w:p w14:paraId="09B8D849" w14:textId="57A9ACA0" w:rsidR="004C2BB1" w:rsidRPr="00D11C33" w:rsidRDefault="004C2BB1" w:rsidP="00D11C33">
      <w:pPr>
        <w:spacing w:line="240" w:lineRule="auto"/>
        <w:jc w:val="center"/>
        <w:rPr>
          <w:rFonts w:ascii="Times" w:hAnsi="Times"/>
          <w:b/>
          <w:bCs/>
          <w:sz w:val="28"/>
          <w:szCs w:val="28"/>
        </w:rPr>
      </w:pPr>
      <w:r w:rsidRPr="00D11C33">
        <w:rPr>
          <w:rFonts w:ascii="Times" w:hAnsi="Times"/>
          <w:b/>
          <w:bCs/>
          <w:sz w:val="28"/>
          <w:szCs w:val="28"/>
        </w:rPr>
        <w:t>II. Le développement d</w:t>
      </w:r>
      <w:r w:rsidR="00D72851">
        <w:rPr>
          <w:rFonts w:ascii="Times" w:hAnsi="Times"/>
          <w:b/>
          <w:bCs/>
          <w:sz w:val="28"/>
          <w:szCs w:val="28"/>
        </w:rPr>
        <w:t>’</w:t>
      </w:r>
      <w:r w:rsidRPr="00D11C33">
        <w:rPr>
          <w:rFonts w:ascii="Times" w:hAnsi="Times"/>
          <w:b/>
          <w:bCs/>
          <w:sz w:val="28"/>
          <w:szCs w:val="28"/>
        </w:rPr>
        <w:t xml:space="preserve">une régulation par </w:t>
      </w:r>
      <w:r w:rsidR="00D672DF" w:rsidRPr="00D11C33">
        <w:rPr>
          <w:rFonts w:ascii="Times" w:hAnsi="Times"/>
          <w:b/>
          <w:bCs/>
          <w:sz w:val="28"/>
          <w:szCs w:val="28"/>
        </w:rPr>
        <w:t>des normes de</w:t>
      </w:r>
      <w:r w:rsidRPr="00D11C33">
        <w:rPr>
          <w:rFonts w:ascii="Times" w:hAnsi="Times"/>
          <w:b/>
          <w:bCs/>
          <w:sz w:val="28"/>
          <w:szCs w:val="28"/>
        </w:rPr>
        <w:t xml:space="preserve"> </w:t>
      </w:r>
      <w:r w:rsidR="00D672DF" w:rsidRPr="00D11C33">
        <w:rPr>
          <w:rFonts w:ascii="Times" w:hAnsi="Times"/>
          <w:b/>
          <w:bCs/>
          <w:sz w:val="28"/>
          <w:szCs w:val="28"/>
        </w:rPr>
        <w:t>« </w:t>
      </w:r>
      <w:r w:rsidRPr="00D11C33">
        <w:rPr>
          <w:rFonts w:ascii="Times" w:hAnsi="Times"/>
          <w:b/>
          <w:bCs/>
          <w:sz w:val="28"/>
          <w:szCs w:val="28"/>
        </w:rPr>
        <w:t>droit administratif global</w:t>
      </w:r>
      <w:r w:rsidR="00D672DF" w:rsidRPr="00D11C33">
        <w:rPr>
          <w:rFonts w:ascii="Times" w:hAnsi="Times"/>
          <w:b/>
          <w:bCs/>
          <w:sz w:val="28"/>
          <w:szCs w:val="28"/>
        </w:rPr>
        <w:t> »</w:t>
      </w:r>
    </w:p>
    <w:p w14:paraId="134E0FEF" w14:textId="77777777" w:rsidR="00676D0B" w:rsidRPr="002A1C17" w:rsidRDefault="00676D0B" w:rsidP="00D11C33">
      <w:pPr>
        <w:spacing w:line="240" w:lineRule="auto"/>
        <w:jc w:val="both"/>
        <w:rPr>
          <w:rFonts w:ascii="Times" w:hAnsi="Times"/>
          <w:szCs w:val="24"/>
        </w:rPr>
      </w:pPr>
    </w:p>
    <w:p w14:paraId="34C60C22" w14:textId="3A19EB40" w:rsidR="004C2BB1" w:rsidRPr="002A1C17" w:rsidRDefault="00D54260" w:rsidP="00D11C33">
      <w:pPr>
        <w:spacing w:line="240" w:lineRule="auto"/>
        <w:jc w:val="both"/>
        <w:rPr>
          <w:rFonts w:ascii="Times" w:hAnsi="Times"/>
          <w:szCs w:val="24"/>
        </w:rPr>
      </w:pPr>
      <w:r>
        <w:rPr>
          <w:rFonts w:ascii="Times" w:hAnsi="Times"/>
          <w:szCs w:val="24"/>
        </w:rPr>
        <w:t>P</w:t>
      </w:r>
      <w:r w:rsidR="00A71F58" w:rsidRPr="002A1C17">
        <w:rPr>
          <w:rFonts w:ascii="Times" w:hAnsi="Times"/>
          <w:szCs w:val="24"/>
        </w:rPr>
        <w:t>lusieurs solutions sont déployées par les organismes de régulation</w:t>
      </w:r>
      <w:r>
        <w:rPr>
          <w:rFonts w:ascii="Times" w:hAnsi="Times"/>
          <w:szCs w:val="24"/>
        </w:rPr>
        <w:t xml:space="preserve"> ou par des entités tierces</w:t>
      </w:r>
      <w:r w:rsidR="00A71F58" w:rsidRPr="002A1C17">
        <w:rPr>
          <w:rFonts w:ascii="Times" w:hAnsi="Times"/>
          <w:szCs w:val="24"/>
        </w:rPr>
        <w:t xml:space="preserve"> </w:t>
      </w:r>
      <w:r>
        <w:rPr>
          <w:rFonts w:ascii="Times" w:hAnsi="Times"/>
          <w:szCs w:val="24"/>
        </w:rPr>
        <w:t>p</w:t>
      </w:r>
      <w:r w:rsidRPr="002A1C17">
        <w:rPr>
          <w:rFonts w:ascii="Times" w:hAnsi="Times"/>
          <w:szCs w:val="24"/>
        </w:rPr>
        <w:t>our répondre à cette demande de légitimité</w:t>
      </w:r>
      <w:r w:rsidR="00A71F58" w:rsidRPr="002A1C17">
        <w:rPr>
          <w:rFonts w:ascii="Times" w:hAnsi="Times"/>
          <w:szCs w:val="24"/>
        </w:rPr>
        <w:t>. Une première catégorie de réponses consiste, pour le normalisateur qui s</w:t>
      </w:r>
      <w:r w:rsidR="00D72851">
        <w:rPr>
          <w:rFonts w:ascii="Times" w:hAnsi="Times"/>
          <w:szCs w:val="24"/>
        </w:rPr>
        <w:t>’</w:t>
      </w:r>
      <w:r w:rsidR="00A71F58" w:rsidRPr="002A1C17">
        <w:rPr>
          <w:rFonts w:ascii="Times" w:hAnsi="Times"/>
          <w:szCs w:val="24"/>
        </w:rPr>
        <w:t>autorégule, à</w:t>
      </w:r>
      <w:r w:rsidR="004C2BB1" w:rsidRPr="002A1C17">
        <w:rPr>
          <w:rFonts w:ascii="Times" w:hAnsi="Times"/>
          <w:szCs w:val="24"/>
        </w:rPr>
        <w:t xml:space="preserve"> développer des </w:t>
      </w:r>
      <w:r w:rsidR="004C2BB1" w:rsidRPr="002A1C17">
        <w:rPr>
          <w:rFonts w:ascii="Times" w:hAnsi="Times"/>
          <w:i/>
          <w:iCs/>
          <w:szCs w:val="24"/>
        </w:rPr>
        <w:t>procédures</w:t>
      </w:r>
      <w:r w:rsidR="004C2BB1" w:rsidRPr="002A1C17">
        <w:rPr>
          <w:rFonts w:ascii="Times" w:hAnsi="Times"/>
          <w:szCs w:val="24"/>
        </w:rPr>
        <w:t xml:space="preserve"> susceptibles de renforcer </w:t>
      </w:r>
      <w:r w:rsidR="00A71F58" w:rsidRPr="002A1C17">
        <w:rPr>
          <w:rFonts w:ascii="Times" w:hAnsi="Times"/>
          <w:szCs w:val="24"/>
        </w:rPr>
        <w:lastRenderedPageBreak/>
        <w:t>sa propre légitimité ou celle de la norme produite (</w:t>
      </w:r>
      <w:r w:rsidR="00A71F58" w:rsidRPr="002A1C17">
        <w:rPr>
          <w:rFonts w:ascii="Times" w:hAnsi="Times"/>
          <w:b/>
          <w:bCs/>
          <w:szCs w:val="24"/>
        </w:rPr>
        <w:t>A</w:t>
      </w:r>
      <w:r w:rsidR="00A71F58" w:rsidRPr="002A1C17">
        <w:rPr>
          <w:rFonts w:ascii="Times" w:hAnsi="Times"/>
          <w:szCs w:val="24"/>
        </w:rPr>
        <w:t>)</w:t>
      </w:r>
      <w:r w:rsidR="004C2BB1" w:rsidRPr="002A1C17">
        <w:rPr>
          <w:rFonts w:ascii="Times" w:hAnsi="Times"/>
          <w:szCs w:val="24"/>
        </w:rPr>
        <w:t xml:space="preserve">. </w:t>
      </w:r>
      <w:r>
        <w:rPr>
          <w:rFonts w:ascii="Times" w:hAnsi="Times"/>
          <w:szCs w:val="24"/>
        </w:rPr>
        <w:t>Une seconde permet</w:t>
      </w:r>
      <w:r w:rsidR="00A71F58" w:rsidRPr="002A1C17">
        <w:rPr>
          <w:rFonts w:ascii="Times" w:hAnsi="Times"/>
          <w:szCs w:val="24"/>
        </w:rPr>
        <w:t xml:space="preserve"> de </w:t>
      </w:r>
      <w:r w:rsidR="004C2BB1" w:rsidRPr="002A1C17">
        <w:rPr>
          <w:rFonts w:ascii="Times" w:hAnsi="Times"/>
          <w:szCs w:val="24"/>
        </w:rPr>
        <w:t>renforcer le contrôle étatique</w:t>
      </w:r>
      <w:r w:rsidR="00A71F58" w:rsidRPr="002A1C17">
        <w:rPr>
          <w:rFonts w:ascii="Times" w:hAnsi="Times"/>
          <w:szCs w:val="24"/>
        </w:rPr>
        <w:t>,</w:t>
      </w:r>
      <w:r w:rsidR="004C2BB1" w:rsidRPr="002A1C17">
        <w:rPr>
          <w:rFonts w:ascii="Times" w:hAnsi="Times"/>
          <w:szCs w:val="24"/>
        </w:rPr>
        <w:t xml:space="preserve"> ou à tout le moins public</w:t>
      </w:r>
      <w:r w:rsidR="00A71F58" w:rsidRPr="002A1C17">
        <w:rPr>
          <w:rFonts w:ascii="Times" w:hAnsi="Times"/>
          <w:szCs w:val="24"/>
        </w:rPr>
        <w:t>,</w:t>
      </w:r>
      <w:r w:rsidR="004C2BB1" w:rsidRPr="002A1C17">
        <w:rPr>
          <w:rFonts w:ascii="Times" w:hAnsi="Times"/>
          <w:szCs w:val="24"/>
        </w:rPr>
        <w:t xml:space="preserve"> d</w:t>
      </w:r>
      <w:r w:rsidR="00A71F58" w:rsidRPr="002A1C17">
        <w:rPr>
          <w:rFonts w:ascii="Times" w:hAnsi="Times"/>
          <w:szCs w:val="24"/>
        </w:rPr>
        <w:t>u processus de</w:t>
      </w:r>
      <w:r w:rsidR="004C2BB1" w:rsidRPr="002A1C17">
        <w:rPr>
          <w:rFonts w:ascii="Times" w:hAnsi="Times"/>
          <w:szCs w:val="24"/>
        </w:rPr>
        <w:t xml:space="preserve"> normalisation : l</w:t>
      </w:r>
      <w:r w:rsidR="00D72851">
        <w:rPr>
          <w:rFonts w:ascii="Times" w:hAnsi="Times"/>
          <w:szCs w:val="24"/>
        </w:rPr>
        <w:t>’</w:t>
      </w:r>
      <w:r w:rsidR="004C2BB1" w:rsidRPr="002A1C17">
        <w:rPr>
          <w:rFonts w:ascii="Times" w:hAnsi="Times"/>
          <w:szCs w:val="24"/>
        </w:rPr>
        <w:t>autorégulatio</w:t>
      </w:r>
      <w:r w:rsidR="00507A97" w:rsidRPr="002A1C17">
        <w:rPr>
          <w:rFonts w:ascii="Times" w:hAnsi="Times"/>
          <w:szCs w:val="24"/>
        </w:rPr>
        <w:t>n s</w:t>
      </w:r>
      <w:r w:rsidR="00D72851">
        <w:rPr>
          <w:rFonts w:ascii="Times" w:hAnsi="Times"/>
          <w:szCs w:val="24"/>
        </w:rPr>
        <w:t>’</w:t>
      </w:r>
      <w:r w:rsidR="00507A97" w:rsidRPr="002A1C17">
        <w:rPr>
          <w:rFonts w:ascii="Times" w:hAnsi="Times"/>
          <w:szCs w:val="24"/>
        </w:rPr>
        <w:t>avère</w:t>
      </w:r>
      <w:r w:rsidR="00A71F58" w:rsidRPr="002A1C17">
        <w:rPr>
          <w:rFonts w:ascii="Times" w:hAnsi="Times"/>
          <w:szCs w:val="24"/>
        </w:rPr>
        <w:t>, en effet,</w:t>
      </w:r>
      <w:r w:rsidR="004C2BB1" w:rsidRPr="002A1C17">
        <w:rPr>
          <w:rFonts w:ascii="Times" w:hAnsi="Times"/>
          <w:szCs w:val="24"/>
        </w:rPr>
        <w:t xml:space="preserve"> fortement influencée sinon déterminée par </w:t>
      </w:r>
      <w:r w:rsidR="00507A97" w:rsidRPr="002A1C17">
        <w:rPr>
          <w:rFonts w:ascii="Times" w:hAnsi="Times"/>
          <w:szCs w:val="24"/>
        </w:rPr>
        <w:t>l</w:t>
      </w:r>
      <w:r w:rsidR="004C2BB1" w:rsidRPr="002A1C17">
        <w:rPr>
          <w:rFonts w:ascii="Times" w:hAnsi="Times"/>
          <w:szCs w:val="24"/>
        </w:rPr>
        <w:t>es acteurs publics</w:t>
      </w:r>
      <w:r w:rsidR="00A71F58" w:rsidRPr="002A1C17">
        <w:rPr>
          <w:rFonts w:ascii="Times" w:hAnsi="Times"/>
          <w:szCs w:val="24"/>
        </w:rPr>
        <w:t xml:space="preserve"> (</w:t>
      </w:r>
      <w:r w:rsidR="00A71F58" w:rsidRPr="002A1C17">
        <w:rPr>
          <w:rFonts w:ascii="Times" w:hAnsi="Times"/>
          <w:b/>
          <w:bCs/>
          <w:szCs w:val="24"/>
        </w:rPr>
        <w:t>B</w:t>
      </w:r>
      <w:r w:rsidR="00A71F58" w:rsidRPr="002A1C17">
        <w:rPr>
          <w:rFonts w:ascii="Times" w:hAnsi="Times"/>
          <w:szCs w:val="24"/>
        </w:rPr>
        <w:t xml:space="preserve">). </w:t>
      </w:r>
    </w:p>
    <w:p w14:paraId="2CCC32B2" w14:textId="77777777" w:rsidR="004C2BB1" w:rsidRPr="002A1C17" w:rsidRDefault="004C2BB1" w:rsidP="00D11C33">
      <w:pPr>
        <w:spacing w:line="240" w:lineRule="auto"/>
        <w:jc w:val="both"/>
        <w:rPr>
          <w:rFonts w:ascii="Times" w:hAnsi="Times"/>
          <w:szCs w:val="24"/>
        </w:rPr>
      </w:pPr>
    </w:p>
    <w:p w14:paraId="30C18EF0" w14:textId="5B3226E8" w:rsidR="004C2BB1" w:rsidRPr="002A1C17" w:rsidRDefault="004C2BB1" w:rsidP="00D11C33">
      <w:pPr>
        <w:spacing w:line="240" w:lineRule="auto"/>
        <w:jc w:val="center"/>
        <w:rPr>
          <w:rFonts w:ascii="Times" w:hAnsi="Times"/>
          <w:b/>
          <w:bCs/>
          <w:szCs w:val="24"/>
        </w:rPr>
      </w:pPr>
      <w:r w:rsidRPr="002A1C17">
        <w:rPr>
          <w:rFonts w:ascii="Times" w:hAnsi="Times"/>
          <w:b/>
          <w:bCs/>
          <w:szCs w:val="24"/>
        </w:rPr>
        <w:t>A. La légitimation de la normalisation par l</w:t>
      </w:r>
      <w:r w:rsidR="00D72851">
        <w:rPr>
          <w:rFonts w:ascii="Times" w:hAnsi="Times"/>
          <w:b/>
          <w:bCs/>
          <w:szCs w:val="24"/>
        </w:rPr>
        <w:t>’</w:t>
      </w:r>
      <w:r w:rsidRPr="002A1C17">
        <w:rPr>
          <w:rFonts w:ascii="Times" w:hAnsi="Times"/>
          <w:b/>
          <w:bCs/>
          <w:szCs w:val="24"/>
        </w:rPr>
        <w:t>adoption de procédures</w:t>
      </w:r>
    </w:p>
    <w:p w14:paraId="0C95507A" w14:textId="77777777" w:rsidR="004C2BB1" w:rsidRPr="002A1C17" w:rsidRDefault="004C2BB1" w:rsidP="00D11C33">
      <w:pPr>
        <w:spacing w:line="240" w:lineRule="auto"/>
        <w:jc w:val="both"/>
        <w:rPr>
          <w:rFonts w:ascii="Times" w:hAnsi="Times"/>
          <w:szCs w:val="24"/>
        </w:rPr>
      </w:pPr>
    </w:p>
    <w:p w14:paraId="573D1024" w14:textId="1AAF15F9" w:rsidR="004C2BB1" w:rsidRPr="002A1C17" w:rsidRDefault="004C2BB1" w:rsidP="00D11C33">
      <w:pPr>
        <w:spacing w:line="240" w:lineRule="auto"/>
        <w:jc w:val="both"/>
        <w:rPr>
          <w:rFonts w:ascii="Times" w:hAnsi="Times"/>
          <w:szCs w:val="24"/>
        </w:rPr>
      </w:pPr>
      <w:r w:rsidRPr="002A1C17">
        <w:rPr>
          <w:rFonts w:ascii="Times" w:hAnsi="Times"/>
          <w:szCs w:val="24"/>
        </w:rPr>
        <w:t xml:space="preserve">La </w:t>
      </w:r>
      <w:r w:rsidR="006C6DE8" w:rsidRPr="002A1C17">
        <w:rPr>
          <w:rFonts w:ascii="Times" w:hAnsi="Times"/>
          <w:szCs w:val="24"/>
        </w:rPr>
        <w:t>principale</w:t>
      </w:r>
      <w:r w:rsidRPr="002A1C17">
        <w:rPr>
          <w:rFonts w:ascii="Times" w:hAnsi="Times"/>
          <w:szCs w:val="24"/>
        </w:rPr>
        <w:t xml:space="preserve"> solution </w:t>
      </w:r>
      <w:r w:rsidR="00507A97" w:rsidRPr="002A1C17">
        <w:rPr>
          <w:rFonts w:ascii="Times" w:hAnsi="Times"/>
          <w:szCs w:val="24"/>
        </w:rPr>
        <w:t>dégagée par</w:t>
      </w:r>
      <w:r w:rsidRPr="002A1C17">
        <w:rPr>
          <w:rFonts w:ascii="Times" w:hAnsi="Times"/>
          <w:szCs w:val="24"/>
        </w:rPr>
        <w:t xml:space="preserve"> </w:t>
      </w:r>
      <w:r w:rsidR="006C6DE8" w:rsidRPr="002A1C17">
        <w:rPr>
          <w:rFonts w:ascii="Times" w:hAnsi="Times"/>
          <w:szCs w:val="24"/>
        </w:rPr>
        <w:t xml:space="preserve">les </w:t>
      </w:r>
      <w:r w:rsidRPr="002A1C17">
        <w:rPr>
          <w:rFonts w:ascii="Times" w:hAnsi="Times"/>
          <w:szCs w:val="24"/>
        </w:rPr>
        <w:t>entités globales confrontées à la réalité de cette demande de légitimité</w:t>
      </w:r>
      <w:r w:rsidR="00507A97" w:rsidRPr="002A1C17">
        <w:rPr>
          <w:rFonts w:ascii="Times" w:hAnsi="Times"/>
          <w:szCs w:val="24"/>
        </w:rPr>
        <w:t xml:space="preserve"> – et notamment les critiques publiques à leur égard –</w:t>
      </w:r>
      <w:r w:rsidRPr="002A1C17">
        <w:rPr>
          <w:rFonts w:ascii="Times" w:hAnsi="Times"/>
          <w:szCs w:val="24"/>
        </w:rPr>
        <w:t xml:space="preserve"> </w:t>
      </w:r>
      <w:r w:rsidR="00507A97" w:rsidRPr="002A1C17">
        <w:rPr>
          <w:rFonts w:ascii="Times" w:hAnsi="Times"/>
          <w:szCs w:val="24"/>
        </w:rPr>
        <w:t>réside dans</w:t>
      </w:r>
      <w:r w:rsidRPr="002A1C17">
        <w:rPr>
          <w:rFonts w:ascii="Times" w:hAnsi="Times"/>
          <w:szCs w:val="24"/>
        </w:rPr>
        <w:t xml:space="preserve"> l</w:t>
      </w:r>
      <w:r w:rsidR="00D72851">
        <w:rPr>
          <w:rFonts w:ascii="Times" w:hAnsi="Times"/>
          <w:szCs w:val="24"/>
        </w:rPr>
        <w:t>’</w:t>
      </w:r>
      <w:r w:rsidRPr="002A1C17">
        <w:rPr>
          <w:rFonts w:ascii="Times" w:hAnsi="Times"/>
          <w:szCs w:val="24"/>
        </w:rPr>
        <w:t>élaboration de procédures</w:t>
      </w:r>
      <w:r w:rsidR="00507A97" w:rsidRPr="002A1C17">
        <w:rPr>
          <w:rFonts w:ascii="Times" w:hAnsi="Times"/>
          <w:szCs w:val="24"/>
        </w:rPr>
        <w:t xml:space="preserve">. </w:t>
      </w:r>
      <w:r w:rsidR="005A53E3">
        <w:rPr>
          <w:rFonts w:ascii="Times" w:hAnsi="Times"/>
          <w:szCs w:val="24"/>
        </w:rPr>
        <w:t>L</w:t>
      </w:r>
      <w:r w:rsidR="00D72851">
        <w:rPr>
          <w:rFonts w:ascii="Times" w:hAnsi="Times"/>
          <w:szCs w:val="24"/>
        </w:rPr>
        <w:t>’</w:t>
      </w:r>
      <w:r w:rsidR="005A53E3">
        <w:rPr>
          <w:rFonts w:ascii="Times" w:hAnsi="Times"/>
          <w:szCs w:val="24"/>
        </w:rPr>
        <w:t xml:space="preserve">objectif est </w:t>
      </w:r>
      <w:r w:rsidR="00507A97" w:rsidRPr="002A1C17">
        <w:rPr>
          <w:rFonts w:ascii="Times" w:hAnsi="Times"/>
          <w:szCs w:val="24"/>
        </w:rPr>
        <w:t>d</w:t>
      </w:r>
      <w:r w:rsidR="00D72851">
        <w:rPr>
          <w:rFonts w:ascii="Times" w:hAnsi="Times"/>
          <w:szCs w:val="24"/>
        </w:rPr>
        <w:t>’</w:t>
      </w:r>
      <w:r w:rsidR="00507A97" w:rsidRPr="002A1C17">
        <w:rPr>
          <w:rFonts w:ascii="Times" w:hAnsi="Times"/>
          <w:szCs w:val="24"/>
        </w:rPr>
        <w:t xml:space="preserve">agir sur </w:t>
      </w:r>
      <w:r w:rsidR="00D72851">
        <w:rPr>
          <w:rFonts w:ascii="Times" w:hAnsi="Times"/>
          <w:szCs w:val="24"/>
        </w:rPr>
        <w:t xml:space="preserve">la </w:t>
      </w:r>
      <w:r w:rsidRPr="002A1C17">
        <w:rPr>
          <w:rFonts w:ascii="Times" w:hAnsi="Times"/>
          <w:szCs w:val="24"/>
        </w:rPr>
        <w:t>manière</w:t>
      </w:r>
      <w:r w:rsidR="00D72851">
        <w:rPr>
          <w:rFonts w:ascii="Times" w:hAnsi="Times"/>
          <w:szCs w:val="24"/>
        </w:rPr>
        <w:t>, pour le normalisateur, d’adopter certains</w:t>
      </w:r>
      <w:r w:rsidRPr="002A1C17">
        <w:rPr>
          <w:rFonts w:ascii="Times" w:hAnsi="Times"/>
          <w:szCs w:val="24"/>
        </w:rPr>
        <w:t xml:space="preserve"> acte</w:t>
      </w:r>
      <w:r w:rsidR="00D72851">
        <w:rPr>
          <w:rFonts w:ascii="Times" w:hAnsi="Times"/>
          <w:szCs w:val="24"/>
        </w:rPr>
        <w:t>s et décisions</w:t>
      </w:r>
      <w:r w:rsidRPr="002A1C17">
        <w:rPr>
          <w:rFonts w:ascii="Times" w:hAnsi="Times"/>
          <w:szCs w:val="24"/>
        </w:rPr>
        <w:t xml:space="preserve"> </w:t>
      </w:r>
      <w:r w:rsidR="00D72851">
        <w:rPr>
          <w:rFonts w:ascii="Times" w:hAnsi="Times"/>
          <w:szCs w:val="24"/>
        </w:rPr>
        <w:t>ou plus globalement sur</w:t>
      </w:r>
      <w:r w:rsidR="00507A97" w:rsidRPr="002A1C17">
        <w:rPr>
          <w:rFonts w:ascii="Times" w:hAnsi="Times"/>
          <w:szCs w:val="24"/>
        </w:rPr>
        <w:t xml:space="preserve"> </w:t>
      </w:r>
      <w:r w:rsidR="00D72851">
        <w:rPr>
          <w:rFonts w:ascii="Times" w:hAnsi="Times"/>
          <w:szCs w:val="24"/>
        </w:rPr>
        <w:t>son</w:t>
      </w:r>
      <w:r w:rsidRPr="002A1C17">
        <w:rPr>
          <w:rFonts w:ascii="Times" w:hAnsi="Times"/>
          <w:szCs w:val="24"/>
        </w:rPr>
        <w:t xml:space="preserve"> fonctionnement</w:t>
      </w:r>
      <w:r w:rsidR="00507A97" w:rsidRPr="002A1C17">
        <w:rPr>
          <w:rFonts w:ascii="Times" w:hAnsi="Times"/>
          <w:szCs w:val="24"/>
        </w:rPr>
        <w:t> </w:t>
      </w:r>
      <w:r w:rsidR="00D72851">
        <w:rPr>
          <w:rFonts w:ascii="Times" w:hAnsi="Times"/>
          <w:szCs w:val="24"/>
        </w:rPr>
        <w:t>général,</w:t>
      </w:r>
      <w:r w:rsidR="006C6DE8" w:rsidRPr="002A1C17">
        <w:rPr>
          <w:rFonts w:ascii="Times" w:hAnsi="Times"/>
          <w:szCs w:val="24"/>
        </w:rPr>
        <w:t xml:space="preserve"> en vue de renforcer sa légitimité. À cet égard, deux catégories de procédures utilisées tant par l</w:t>
      </w:r>
      <w:r w:rsidR="00D72851">
        <w:rPr>
          <w:rFonts w:ascii="Times" w:hAnsi="Times"/>
          <w:szCs w:val="24"/>
        </w:rPr>
        <w:t>’</w:t>
      </w:r>
      <w:r w:rsidR="006C6DE8" w:rsidRPr="002A1C17">
        <w:rPr>
          <w:rFonts w:ascii="Times" w:hAnsi="Times"/>
          <w:szCs w:val="24"/>
        </w:rPr>
        <w:t>ISO que par l</w:t>
      </w:r>
      <w:r w:rsidR="00D72851">
        <w:rPr>
          <w:rFonts w:ascii="Times" w:hAnsi="Times"/>
          <w:szCs w:val="24"/>
        </w:rPr>
        <w:t>’</w:t>
      </w:r>
      <w:r w:rsidR="006C6DE8" w:rsidRPr="002A1C17">
        <w:rPr>
          <w:rFonts w:ascii="Times" w:hAnsi="Times"/>
          <w:szCs w:val="24"/>
        </w:rPr>
        <w:t>IASB peuvent être identifiées.</w:t>
      </w:r>
    </w:p>
    <w:p w14:paraId="5CA11B47" w14:textId="77777777" w:rsidR="004C2BB1" w:rsidRPr="002A1C17" w:rsidRDefault="004C2BB1" w:rsidP="00D11C33">
      <w:pPr>
        <w:spacing w:line="240" w:lineRule="auto"/>
        <w:jc w:val="both"/>
        <w:rPr>
          <w:rFonts w:ascii="Times" w:hAnsi="Times"/>
          <w:szCs w:val="24"/>
        </w:rPr>
      </w:pPr>
    </w:p>
    <w:p w14:paraId="2BA069B5" w14:textId="2A8DC2D5" w:rsidR="004C2BB1" w:rsidRPr="002A1C17" w:rsidRDefault="006C6DE8" w:rsidP="00D11C33">
      <w:pPr>
        <w:spacing w:line="240" w:lineRule="auto"/>
        <w:jc w:val="both"/>
        <w:rPr>
          <w:rFonts w:ascii="Times" w:hAnsi="Times"/>
          <w:szCs w:val="24"/>
        </w:rPr>
      </w:pPr>
      <w:r w:rsidRPr="002A1C17">
        <w:rPr>
          <w:rFonts w:ascii="Times" w:hAnsi="Times"/>
          <w:szCs w:val="24"/>
        </w:rPr>
        <w:t xml:space="preserve">La première technique procédurale consiste à </w:t>
      </w:r>
      <w:r w:rsidR="004C2BB1" w:rsidRPr="002A1C17">
        <w:rPr>
          <w:rFonts w:ascii="Times" w:hAnsi="Times"/>
          <w:szCs w:val="24"/>
        </w:rPr>
        <w:t xml:space="preserve">créer un organe </w:t>
      </w:r>
      <w:r w:rsidRPr="002A1C17">
        <w:rPr>
          <w:rFonts w:ascii="Times" w:hAnsi="Times"/>
          <w:szCs w:val="24"/>
        </w:rPr>
        <w:t>destiné à a</w:t>
      </w:r>
      <w:r w:rsidR="004C2BB1" w:rsidRPr="002A1C17">
        <w:rPr>
          <w:rFonts w:ascii="Times" w:hAnsi="Times"/>
          <w:szCs w:val="24"/>
        </w:rPr>
        <w:t>ssurer une meilleure légitimité du processus décisionnel</w:t>
      </w:r>
      <w:r w:rsidRPr="002A1C17">
        <w:rPr>
          <w:rFonts w:ascii="Times" w:hAnsi="Times"/>
          <w:szCs w:val="24"/>
        </w:rPr>
        <w:t xml:space="preserve"> au sein de l</w:t>
      </w:r>
      <w:r w:rsidR="00D72851">
        <w:rPr>
          <w:rFonts w:ascii="Times" w:hAnsi="Times"/>
          <w:szCs w:val="24"/>
        </w:rPr>
        <w:t>’</w:t>
      </w:r>
      <w:r w:rsidRPr="002A1C17">
        <w:rPr>
          <w:rFonts w:ascii="Times" w:hAnsi="Times"/>
          <w:szCs w:val="24"/>
        </w:rPr>
        <w:t>entité normalisatrice</w:t>
      </w:r>
      <w:r w:rsidR="004C2BB1" w:rsidRPr="002A1C17">
        <w:rPr>
          <w:rFonts w:ascii="Times" w:hAnsi="Times"/>
          <w:szCs w:val="24"/>
        </w:rPr>
        <w:t xml:space="preserve"> de manière générale. </w:t>
      </w:r>
      <w:r w:rsidRPr="002A1C17">
        <w:rPr>
          <w:rFonts w:ascii="Times" w:hAnsi="Times"/>
          <w:szCs w:val="24"/>
        </w:rPr>
        <w:t>La</w:t>
      </w:r>
      <w:r w:rsidR="004C2BB1" w:rsidRPr="002A1C17">
        <w:rPr>
          <w:rFonts w:ascii="Times" w:hAnsi="Times"/>
          <w:szCs w:val="24"/>
        </w:rPr>
        <w:t xml:space="preserve"> création du Comité de l</w:t>
      </w:r>
      <w:r w:rsidR="00D72851">
        <w:rPr>
          <w:rFonts w:ascii="Times" w:hAnsi="Times"/>
          <w:szCs w:val="24"/>
        </w:rPr>
        <w:t>’</w:t>
      </w:r>
      <w:r w:rsidR="004C2BB1" w:rsidRPr="002A1C17">
        <w:rPr>
          <w:rFonts w:ascii="Times" w:hAnsi="Times"/>
          <w:szCs w:val="24"/>
        </w:rPr>
        <w:t>ISO pour la politique en matière de consommation (COPOLCO)</w:t>
      </w:r>
      <w:r w:rsidRPr="002A1C17">
        <w:rPr>
          <w:rFonts w:ascii="Times" w:hAnsi="Times"/>
          <w:szCs w:val="24"/>
        </w:rPr>
        <w:t xml:space="preserve"> en est un exemple topique</w:t>
      </w:r>
      <w:r w:rsidR="004C2BB1" w:rsidRPr="002A1C17">
        <w:rPr>
          <w:rFonts w:ascii="Times" w:hAnsi="Times"/>
          <w:szCs w:val="24"/>
        </w:rPr>
        <w:t>. Formellement, il s</w:t>
      </w:r>
      <w:r w:rsidR="00D72851">
        <w:rPr>
          <w:rFonts w:ascii="Times" w:hAnsi="Times"/>
          <w:szCs w:val="24"/>
        </w:rPr>
        <w:t>’</w:t>
      </w:r>
      <w:r w:rsidR="004C2BB1" w:rsidRPr="002A1C17">
        <w:rPr>
          <w:rFonts w:ascii="Times" w:hAnsi="Times"/>
          <w:szCs w:val="24"/>
        </w:rPr>
        <w:t>agit d</w:t>
      </w:r>
      <w:r w:rsidR="00D72851">
        <w:rPr>
          <w:rFonts w:ascii="Times" w:hAnsi="Times"/>
          <w:szCs w:val="24"/>
        </w:rPr>
        <w:t>’</w:t>
      </w:r>
      <w:r w:rsidR="004C2BB1" w:rsidRPr="002A1C17">
        <w:rPr>
          <w:rFonts w:ascii="Times" w:hAnsi="Times"/>
          <w:szCs w:val="24"/>
        </w:rPr>
        <w:t>un comité permanent créé en 1978 « pour soutenir la participation des représentants des consommateurs »</w:t>
      </w:r>
      <w:r w:rsidRPr="002A1C17">
        <w:rPr>
          <w:rStyle w:val="Appelnotedebasdep"/>
          <w:rFonts w:ascii="Times" w:hAnsi="Times"/>
          <w:szCs w:val="24"/>
        </w:rPr>
        <w:footnoteReference w:id="27"/>
      </w:r>
      <w:r w:rsidR="004C2BB1" w:rsidRPr="002A1C17">
        <w:rPr>
          <w:rFonts w:ascii="Times" w:hAnsi="Times"/>
          <w:szCs w:val="24"/>
        </w:rPr>
        <w:t xml:space="preserve">. En pratique, </w:t>
      </w:r>
      <w:r w:rsidRPr="002A1C17">
        <w:rPr>
          <w:rFonts w:ascii="Times" w:hAnsi="Times"/>
          <w:szCs w:val="24"/>
        </w:rPr>
        <w:t>les débats ayant encadré l</w:t>
      </w:r>
      <w:r w:rsidR="00D72851">
        <w:rPr>
          <w:rFonts w:ascii="Times" w:hAnsi="Times"/>
          <w:szCs w:val="24"/>
        </w:rPr>
        <w:t>’</w:t>
      </w:r>
      <w:r w:rsidRPr="002A1C17">
        <w:rPr>
          <w:rFonts w:ascii="Times" w:hAnsi="Times"/>
          <w:szCs w:val="24"/>
        </w:rPr>
        <w:t>adoption</w:t>
      </w:r>
      <w:r w:rsidR="004C2BB1" w:rsidRPr="002A1C17">
        <w:rPr>
          <w:rFonts w:ascii="Times" w:hAnsi="Times"/>
          <w:szCs w:val="24"/>
        </w:rPr>
        <w:t xml:space="preserve"> de la</w:t>
      </w:r>
      <w:r w:rsidRPr="002A1C17">
        <w:rPr>
          <w:rFonts w:ascii="Times" w:hAnsi="Times"/>
          <w:szCs w:val="24"/>
        </w:rPr>
        <w:t xml:space="preserve"> célèbre</w:t>
      </w:r>
      <w:r w:rsidR="004C2BB1" w:rsidRPr="002A1C17">
        <w:rPr>
          <w:rFonts w:ascii="Times" w:hAnsi="Times"/>
          <w:szCs w:val="24"/>
        </w:rPr>
        <w:t xml:space="preserve"> norme ISO 26</w:t>
      </w:r>
      <w:r w:rsidRPr="002A1C17">
        <w:rPr>
          <w:rFonts w:ascii="Times" w:hAnsi="Times"/>
          <w:szCs w:val="24"/>
        </w:rPr>
        <w:t> </w:t>
      </w:r>
      <w:r w:rsidR="004C2BB1" w:rsidRPr="002A1C17">
        <w:rPr>
          <w:rFonts w:ascii="Times" w:hAnsi="Times"/>
          <w:szCs w:val="24"/>
        </w:rPr>
        <w:t>000</w:t>
      </w:r>
      <w:r w:rsidRPr="002A1C17">
        <w:rPr>
          <w:rFonts w:ascii="Times" w:hAnsi="Times"/>
          <w:szCs w:val="24"/>
        </w:rPr>
        <w:t xml:space="preserve"> sur la RSE ont montré</w:t>
      </w:r>
      <w:r w:rsidR="004C2BB1" w:rsidRPr="002A1C17">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szCs w:val="24"/>
        </w:rPr>
        <w:t xml:space="preserve">utilité de cet organe amené à </w:t>
      </w:r>
      <w:r w:rsidR="004C2BB1" w:rsidRPr="002A1C17">
        <w:rPr>
          <w:rFonts w:ascii="Times" w:hAnsi="Times"/>
          <w:szCs w:val="24"/>
        </w:rPr>
        <w:t>procéd</w:t>
      </w:r>
      <w:r w:rsidRPr="002A1C17">
        <w:rPr>
          <w:rFonts w:ascii="Times" w:hAnsi="Times"/>
          <w:szCs w:val="24"/>
        </w:rPr>
        <w:t>er</w:t>
      </w:r>
      <w:r w:rsidR="004C2BB1" w:rsidRPr="002A1C17">
        <w:rPr>
          <w:rFonts w:ascii="Times" w:hAnsi="Times"/>
          <w:szCs w:val="24"/>
        </w:rPr>
        <w:t xml:space="preserve"> à des enquêtes, à des consultations des représentants des consommateurs, </w:t>
      </w:r>
      <w:r w:rsidR="004C2BB1" w:rsidRPr="002A1C17">
        <w:rPr>
          <w:rFonts w:ascii="Times" w:hAnsi="Times"/>
          <w:i/>
          <w:iCs/>
          <w:szCs w:val="24"/>
        </w:rPr>
        <w:t>etc.</w:t>
      </w:r>
      <w:r w:rsidR="004C2BB1" w:rsidRPr="002A1C17">
        <w:rPr>
          <w:rFonts w:ascii="Times" w:hAnsi="Times"/>
          <w:szCs w:val="24"/>
        </w:rPr>
        <w:t xml:space="preserve"> Les travaux doctrinaux</w:t>
      </w:r>
      <w:r w:rsidRPr="002A1C17">
        <w:rPr>
          <w:rFonts w:ascii="Times" w:hAnsi="Times"/>
          <w:szCs w:val="24"/>
        </w:rPr>
        <w:t xml:space="preserve"> </w:t>
      </w:r>
      <w:r w:rsidR="004C2BB1" w:rsidRPr="002A1C17">
        <w:rPr>
          <w:rFonts w:ascii="Times" w:hAnsi="Times"/>
          <w:szCs w:val="24"/>
        </w:rPr>
        <w:t>ont montré que cette capacité de l</w:t>
      </w:r>
      <w:r w:rsidR="00D72851">
        <w:rPr>
          <w:rFonts w:ascii="Times" w:hAnsi="Times"/>
          <w:szCs w:val="24"/>
        </w:rPr>
        <w:t>’</w:t>
      </w:r>
      <w:r w:rsidR="004C2BB1" w:rsidRPr="002A1C17">
        <w:rPr>
          <w:rFonts w:ascii="Times" w:hAnsi="Times"/>
          <w:szCs w:val="24"/>
        </w:rPr>
        <w:t>ISO à inclure les personnes concernées dans le processus d</w:t>
      </w:r>
      <w:r w:rsidR="00D72851">
        <w:rPr>
          <w:rFonts w:ascii="Times" w:hAnsi="Times"/>
          <w:szCs w:val="24"/>
        </w:rPr>
        <w:t>’</w:t>
      </w:r>
      <w:r w:rsidR="004C2BB1" w:rsidRPr="002A1C17">
        <w:rPr>
          <w:rFonts w:ascii="Times" w:hAnsi="Times"/>
          <w:szCs w:val="24"/>
        </w:rPr>
        <w:t xml:space="preserve">élaboration des normes a très largement contribué à son succès, en </w:t>
      </w:r>
      <w:r w:rsidR="00D72851">
        <w:rPr>
          <w:rFonts w:ascii="Times" w:hAnsi="Times"/>
          <w:szCs w:val="24"/>
        </w:rPr>
        <w:t>suscitant la confiance</w:t>
      </w:r>
      <w:r w:rsidR="004C2BB1" w:rsidRPr="002A1C17">
        <w:rPr>
          <w:rFonts w:ascii="Times" w:hAnsi="Times"/>
          <w:szCs w:val="24"/>
        </w:rPr>
        <w:t>des acteurs de chaque domaine concerné : les États, les entreprises, mais aussi les ONG, les universitaires et la société civile</w:t>
      </w:r>
      <w:r w:rsidRPr="002A1C17">
        <w:rPr>
          <w:rStyle w:val="Appelnotedebasdep"/>
          <w:rFonts w:ascii="Times" w:hAnsi="Times"/>
          <w:szCs w:val="24"/>
        </w:rPr>
        <w:footnoteReference w:id="28"/>
      </w:r>
      <w:r w:rsidR="004C2BB1" w:rsidRPr="002A1C17">
        <w:rPr>
          <w:rFonts w:ascii="Times" w:hAnsi="Times"/>
          <w:szCs w:val="24"/>
        </w:rPr>
        <w:t>. L</w:t>
      </w:r>
      <w:r w:rsidR="00D72851">
        <w:rPr>
          <w:rFonts w:ascii="Times" w:hAnsi="Times"/>
          <w:szCs w:val="24"/>
        </w:rPr>
        <w:t>’</w:t>
      </w:r>
      <w:r w:rsidR="004C2BB1" w:rsidRPr="002A1C17">
        <w:rPr>
          <w:rFonts w:ascii="Times" w:hAnsi="Times"/>
          <w:szCs w:val="24"/>
        </w:rPr>
        <w:t xml:space="preserve">IASB, </w:t>
      </w:r>
      <w:r w:rsidR="00A03F82" w:rsidRPr="002A1C17">
        <w:rPr>
          <w:rFonts w:ascii="Times" w:hAnsi="Times"/>
          <w:szCs w:val="24"/>
        </w:rPr>
        <w:t xml:space="preserve">vertement </w:t>
      </w:r>
      <w:r w:rsidR="004C2BB1" w:rsidRPr="002A1C17">
        <w:rPr>
          <w:rFonts w:ascii="Times" w:hAnsi="Times"/>
          <w:szCs w:val="24"/>
        </w:rPr>
        <w:t>critiquée par le G20 et l</w:t>
      </w:r>
      <w:r w:rsidR="00D72851">
        <w:rPr>
          <w:rFonts w:ascii="Times" w:hAnsi="Times"/>
          <w:szCs w:val="24"/>
        </w:rPr>
        <w:t>’</w:t>
      </w:r>
      <w:r w:rsidR="004C2BB1" w:rsidRPr="002A1C17">
        <w:rPr>
          <w:rFonts w:ascii="Times" w:hAnsi="Times"/>
          <w:szCs w:val="24"/>
        </w:rPr>
        <w:t>Union européenne</w:t>
      </w:r>
      <w:r w:rsidR="000E0BCB" w:rsidRPr="002A1C17">
        <w:rPr>
          <w:rStyle w:val="Appelnotedebasdep"/>
          <w:rFonts w:ascii="Times" w:hAnsi="Times"/>
          <w:szCs w:val="24"/>
        </w:rPr>
        <w:footnoteReference w:id="29"/>
      </w:r>
      <w:r w:rsidR="004C2BB1" w:rsidRPr="002A1C17">
        <w:rPr>
          <w:rFonts w:ascii="Times" w:hAnsi="Times"/>
          <w:szCs w:val="24"/>
        </w:rPr>
        <w:t xml:space="preserve"> quant à son déficit de légitimité</w:t>
      </w:r>
      <w:r w:rsidR="00A03F82" w:rsidRPr="002A1C17">
        <w:rPr>
          <w:rFonts w:ascii="Times" w:hAnsi="Times"/>
          <w:szCs w:val="24"/>
        </w:rPr>
        <w:t xml:space="preserve"> et d</w:t>
      </w:r>
      <w:r w:rsidR="00D72851">
        <w:rPr>
          <w:rFonts w:ascii="Times" w:hAnsi="Times"/>
          <w:szCs w:val="24"/>
        </w:rPr>
        <w:t>’</w:t>
      </w:r>
      <w:r w:rsidR="00A03F82" w:rsidRPr="002A1C17">
        <w:rPr>
          <w:rFonts w:ascii="Times" w:hAnsi="Times"/>
          <w:i/>
          <w:iCs/>
          <w:szCs w:val="24"/>
        </w:rPr>
        <w:t>accountability</w:t>
      </w:r>
      <w:r w:rsidR="00A03F82" w:rsidRPr="002A1C17">
        <w:rPr>
          <w:rFonts w:ascii="Times" w:hAnsi="Times"/>
          <w:szCs w:val="24"/>
        </w:rPr>
        <w:t xml:space="preserve">, </w:t>
      </w:r>
      <w:r w:rsidR="004C2BB1" w:rsidRPr="002A1C17">
        <w:rPr>
          <w:rFonts w:ascii="Times" w:hAnsi="Times"/>
          <w:szCs w:val="24"/>
        </w:rPr>
        <w:t xml:space="preserve">a également </w:t>
      </w:r>
      <w:r w:rsidR="00A03F82" w:rsidRPr="002A1C17">
        <w:rPr>
          <w:rFonts w:ascii="Times" w:hAnsi="Times"/>
          <w:szCs w:val="24"/>
        </w:rPr>
        <w:t>eu l</w:t>
      </w:r>
      <w:r w:rsidR="00D72851">
        <w:rPr>
          <w:rFonts w:ascii="Times" w:hAnsi="Times"/>
          <w:szCs w:val="24"/>
        </w:rPr>
        <w:t>’</w:t>
      </w:r>
      <w:r w:rsidR="00A03F82" w:rsidRPr="002A1C17">
        <w:rPr>
          <w:rFonts w:ascii="Times" w:hAnsi="Times"/>
          <w:szCs w:val="24"/>
        </w:rPr>
        <w:t xml:space="preserve">occasion de </w:t>
      </w:r>
      <w:r w:rsidR="004C2BB1" w:rsidRPr="002A1C17">
        <w:rPr>
          <w:rFonts w:ascii="Times" w:hAnsi="Times"/>
          <w:szCs w:val="24"/>
        </w:rPr>
        <w:t>m</w:t>
      </w:r>
      <w:r w:rsidR="00A03F82" w:rsidRPr="002A1C17">
        <w:rPr>
          <w:rFonts w:ascii="Times" w:hAnsi="Times"/>
          <w:szCs w:val="24"/>
        </w:rPr>
        <w:t>ettre</w:t>
      </w:r>
      <w:r w:rsidR="004C2BB1" w:rsidRPr="002A1C17">
        <w:rPr>
          <w:rFonts w:ascii="Times" w:hAnsi="Times"/>
          <w:szCs w:val="24"/>
        </w:rPr>
        <w:t xml:space="preserve"> en place une procédure de participation des parties prenantes à l</w:t>
      </w:r>
      <w:r w:rsidR="00D72851">
        <w:rPr>
          <w:rFonts w:ascii="Times" w:hAnsi="Times"/>
          <w:szCs w:val="24"/>
        </w:rPr>
        <w:t>’</w:t>
      </w:r>
      <w:r w:rsidR="004C2BB1" w:rsidRPr="002A1C17">
        <w:rPr>
          <w:rFonts w:ascii="Times" w:hAnsi="Times"/>
          <w:szCs w:val="24"/>
        </w:rPr>
        <w:t>élaboration des</w:t>
      </w:r>
      <w:r w:rsidR="00A03F82" w:rsidRPr="002A1C17">
        <w:rPr>
          <w:rFonts w:ascii="Times" w:hAnsi="Times"/>
          <w:szCs w:val="24"/>
        </w:rPr>
        <w:t xml:space="preserve"> n</w:t>
      </w:r>
      <w:r w:rsidR="004C2BB1" w:rsidRPr="002A1C17">
        <w:rPr>
          <w:rFonts w:ascii="Times" w:hAnsi="Times"/>
          <w:szCs w:val="24"/>
        </w:rPr>
        <w:t>ormes comptables.</w:t>
      </w:r>
      <w:r w:rsidR="00A03F82" w:rsidRPr="002A1C17">
        <w:rPr>
          <w:rFonts w:ascii="Times" w:hAnsi="Times"/>
          <w:szCs w:val="24"/>
        </w:rPr>
        <w:t xml:space="preserve"> À la suite de la crise financière mondiale, en 2009, le G20</w:t>
      </w:r>
      <w:r w:rsidR="00586D59" w:rsidRPr="002A1C17">
        <w:rPr>
          <w:rFonts w:ascii="Times" w:hAnsi="Times"/>
          <w:szCs w:val="24"/>
        </w:rPr>
        <w:t>, poursuivant un objectif général de renforcement de la transparence financière globale</w:t>
      </w:r>
      <w:r w:rsidR="00586D59" w:rsidRPr="002A1C17">
        <w:rPr>
          <w:rStyle w:val="Appelnotedebasdep"/>
          <w:rFonts w:ascii="Times" w:hAnsi="Times"/>
          <w:szCs w:val="24"/>
        </w:rPr>
        <w:footnoteReference w:id="30"/>
      </w:r>
      <w:r w:rsidR="00586D59" w:rsidRPr="002A1C17">
        <w:rPr>
          <w:rFonts w:ascii="Times" w:hAnsi="Times"/>
          <w:szCs w:val="24"/>
        </w:rPr>
        <w:t>,</w:t>
      </w:r>
      <w:r w:rsidR="00A03F82" w:rsidRPr="002A1C17">
        <w:rPr>
          <w:rFonts w:ascii="Times" w:hAnsi="Times"/>
          <w:szCs w:val="24"/>
        </w:rPr>
        <w:t xml:space="preserve"> avait en effet demandé « aux organismes édictant les normes comptables de travailler de toute urgence en collaboration avec les superviseurs et les régulateurs pour améliorer les normes en matière d</w:t>
      </w:r>
      <w:r w:rsidR="00D72851">
        <w:rPr>
          <w:rFonts w:ascii="Times" w:hAnsi="Times"/>
          <w:szCs w:val="24"/>
        </w:rPr>
        <w:t>’</w:t>
      </w:r>
      <w:r w:rsidR="00A03F82" w:rsidRPr="002A1C17">
        <w:rPr>
          <w:rFonts w:ascii="Times" w:hAnsi="Times"/>
          <w:szCs w:val="24"/>
        </w:rPr>
        <w:t>évaluation et de provision et pour parvenir à un ensemble unique de normes comptables mondiales de grande qualité »</w:t>
      </w:r>
      <w:r w:rsidR="00A03F82" w:rsidRPr="002A1C17">
        <w:rPr>
          <w:rStyle w:val="Appelnotedebasdep"/>
          <w:rFonts w:ascii="Times" w:hAnsi="Times"/>
          <w:szCs w:val="24"/>
        </w:rPr>
        <w:footnoteReference w:id="31"/>
      </w:r>
      <w:r w:rsidR="00A03F82" w:rsidRPr="002A1C17">
        <w:rPr>
          <w:rFonts w:ascii="Times" w:hAnsi="Times"/>
          <w:szCs w:val="24"/>
        </w:rPr>
        <w:t xml:space="preserve">. Le Groupe de </w:t>
      </w:r>
      <w:r w:rsidR="00A03F82" w:rsidRPr="002A1C17">
        <w:rPr>
          <w:rFonts w:ascii="Times" w:hAnsi="Times"/>
          <w:szCs w:val="24"/>
        </w:rPr>
        <w:lastRenderedPageBreak/>
        <w:t>travail sur la supervision financière dans l</w:t>
      </w:r>
      <w:r w:rsidR="00D72851">
        <w:rPr>
          <w:rFonts w:ascii="Times" w:hAnsi="Times"/>
          <w:szCs w:val="24"/>
        </w:rPr>
        <w:t>’</w:t>
      </w:r>
      <w:r w:rsidR="00A03F82" w:rsidRPr="002A1C17">
        <w:rPr>
          <w:rFonts w:ascii="Times" w:hAnsi="Times"/>
          <w:szCs w:val="24"/>
        </w:rPr>
        <w:t>Union européenne, parmi ses 31 recommandations de février 2009, avait</w:t>
      </w:r>
      <w:r w:rsidR="00586D59" w:rsidRPr="002A1C17">
        <w:rPr>
          <w:rFonts w:ascii="Times" w:hAnsi="Times"/>
          <w:szCs w:val="24"/>
        </w:rPr>
        <w:t xml:space="preserve"> de son côté</w:t>
      </w:r>
      <w:r w:rsidR="00A03F82" w:rsidRPr="002A1C17">
        <w:rPr>
          <w:rFonts w:ascii="Times" w:hAnsi="Times"/>
          <w:szCs w:val="24"/>
        </w:rPr>
        <w:t xml:space="preserve"> préconisé des mesures similaires – à la fois plus directives vis-à-vis de l</w:t>
      </w:r>
      <w:r w:rsidR="00D72851">
        <w:rPr>
          <w:rFonts w:ascii="Times" w:hAnsi="Times"/>
          <w:szCs w:val="24"/>
        </w:rPr>
        <w:t>’</w:t>
      </w:r>
      <w:r w:rsidR="00A03F82" w:rsidRPr="002A1C17">
        <w:rPr>
          <w:rFonts w:ascii="Times" w:hAnsi="Times"/>
          <w:szCs w:val="24"/>
        </w:rPr>
        <w:t>IASB et moins contraignantes puisqu</w:t>
      </w:r>
      <w:r w:rsidR="00D72851">
        <w:rPr>
          <w:rFonts w:ascii="Times" w:hAnsi="Times"/>
          <w:szCs w:val="24"/>
        </w:rPr>
        <w:t>’</w:t>
      </w:r>
      <w:r w:rsidR="00A03F82" w:rsidRPr="002A1C17">
        <w:rPr>
          <w:rFonts w:ascii="Times" w:hAnsi="Times"/>
          <w:szCs w:val="24"/>
        </w:rPr>
        <w:t>il ne s</w:t>
      </w:r>
      <w:r w:rsidR="00D72851">
        <w:rPr>
          <w:rFonts w:ascii="Times" w:hAnsi="Times"/>
          <w:szCs w:val="24"/>
        </w:rPr>
        <w:t>’</w:t>
      </w:r>
      <w:r w:rsidR="00A03F82" w:rsidRPr="002A1C17">
        <w:rPr>
          <w:rFonts w:ascii="Times" w:hAnsi="Times"/>
          <w:szCs w:val="24"/>
        </w:rPr>
        <w:t>agissait que de préconisations</w:t>
      </w:r>
      <w:r w:rsidR="00A03F82" w:rsidRPr="002A1C17">
        <w:rPr>
          <w:rStyle w:val="Appelnotedebasdep"/>
          <w:rFonts w:ascii="Times" w:hAnsi="Times"/>
          <w:szCs w:val="24"/>
        </w:rPr>
        <w:footnoteReference w:id="32"/>
      </w:r>
      <w:r w:rsidR="00A03F82" w:rsidRPr="002A1C17">
        <w:rPr>
          <w:rFonts w:ascii="Times" w:hAnsi="Times"/>
          <w:szCs w:val="24"/>
        </w:rPr>
        <w:t>. Sous ces pressions unanimes, l</w:t>
      </w:r>
      <w:r w:rsidR="00D72851">
        <w:rPr>
          <w:rFonts w:ascii="Times" w:hAnsi="Times"/>
          <w:szCs w:val="24"/>
        </w:rPr>
        <w:t>’</w:t>
      </w:r>
      <w:r w:rsidR="00A03F82" w:rsidRPr="002A1C17">
        <w:rPr>
          <w:rFonts w:ascii="Times" w:hAnsi="Times"/>
          <w:szCs w:val="24"/>
        </w:rPr>
        <w:t>IASCF, une nouvelle Constitution</w:t>
      </w:r>
      <w:r w:rsidR="00A62559">
        <w:rPr>
          <w:rFonts w:ascii="Times" w:hAnsi="Times"/>
          <w:szCs w:val="24"/>
        </w:rPr>
        <w:t>,</w:t>
      </w:r>
      <w:r w:rsidR="00A03F82" w:rsidRPr="002A1C17">
        <w:rPr>
          <w:rFonts w:ascii="Times" w:hAnsi="Times"/>
          <w:szCs w:val="24"/>
        </w:rPr>
        <w:t xml:space="preserve"> fut adoptée en 2009</w:t>
      </w:r>
      <w:r w:rsidR="00A03F82" w:rsidRPr="002A1C17">
        <w:rPr>
          <w:rStyle w:val="Appelnotedebasdep"/>
          <w:rFonts w:ascii="Times" w:hAnsi="Times"/>
          <w:szCs w:val="24"/>
        </w:rPr>
        <w:footnoteReference w:id="33"/>
      </w:r>
      <w:r w:rsidR="00A03F82" w:rsidRPr="002A1C17">
        <w:rPr>
          <w:rFonts w:ascii="Times" w:hAnsi="Times"/>
          <w:szCs w:val="24"/>
        </w:rPr>
        <w:t xml:space="preserve">, mettant en place une nouvelle entité, le </w:t>
      </w:r>
      <w:r w:rsidR="00A03F82" w:rsidRPr="002A1C17">
        <w:rPr>
          <w:rFonts w:ascii="Times" w:hAnsi="Times"/>
          <w:i/>
          <w:szCs w:val="24"/>
        </w:rPr>
        <w:t>Monitoring Board</w:t>
      </w:r>
      <w:r w:rsidR="00A03F82" w:rsidRPr="002A1C17">
        <w:rPr>
          <w:rFonts w:ascii="Times" w:hAnsi="Times"/>
          <w:szCs w:val="24"/>
        </w:rPr>
        <w:t xml:space="preserve">. Ce Comité de surveillance, notoirement créé pour </w:t>
      </w:r>
      <w:r w:rsidR="00A62559">
        <w:rPr>
          <w:rFonts w:ascii="Times" w:hAnsi="Times"/>
          <w:szCs w:val="24"/>
        </w:rPr>
        <w:t xml:space="preserve">permettre </w:t>
      </w:r>
      <w:r w:rsidR="00A03F82" w:rsidRPr="002A1C17">
        <w:rPr>
          <w:rFonts w:ascii="Times" w:hAnsi="Times"/>
          <w:szCs w:val="24"/>
        </w:rPr>
        <w:t xml:space="preserve">une meilleure </w:t>
      </w:r>
      <w:r w:rsidR="00A03F82" w:rsidRPr="002A1C17">
        <w:rPr>
          <w:rFonts w:ascii="Times" w:hAnsi="Times"/>
          <w:i/>
          <w:szCs w:val="24"/>
        </w:rPr>
        <w:t>accountability</w:t>
      </w:r>
      <w:r w:rsidR="00A03F82" w:rsidRPr="002A1C17">
        <w:rPr>
          <w:rFonts w:ascii="Times" w:hAnsi="Times"/>
          <w:szCs w:val="24"/>
        </w:rPr>
        <w:t xml:space="preserve"> et composé de représentants de l</w:t>
      </w:r>
      <w:r w:rsidR="00D72851">
        <w:rPr>
          <w:rFonts w:ascii="Times" w:hAnsi="Times"/>
          <w:szCs w:val="24"/>
        </w:rPr>
        <w:t>’</w:t>
      </w:r>
      <w:r w:rsidR="00A03F82" w:rsidRPr="002A1C17">
        <w:rPr>
          <w:rFonts w:ascii="Times" w:hAnsi="Times"/>
          <w:szCs w:val="24"/>
        </w:rPr>
        <w:t>OICV, de la Commission européenne, de la JFSA</w:t>
      </w:r>
      <w:r w:rsidR="00A03F82" w:rsidRPr="002A1C17">
        <w:rPr>
          <w:rStyle w:val="Appelnotedebasdep"/>
          <w:rFonts w:ascii="Times" w:hAnsi="Times"/>
          <w:szCs w:val="24"/>
        </w:rPr>
        <w:footnoteReference w:id="34"/>
      </w:r>
      <w:r w:rsidR="00A03F82" w:rsidRPr="002A1C17">
        <w:rPr>
          <w:rFonts w:ascii="Times" w:hAnsi="Times"/>
          <w:szCs w:val="24"/>
        </w:rPr>
        <w:t xml:space="preserve"> et de la SEC</w:t>
      </w:r>
      <w:r w:rsidR="00A03F82" w:rsidRPr="002A1C17">
        <w:rPr>
          <w:rStyle w:val="Appelnotedebasdep"/>
          <w:rFonts w:ascii="Times" w:hAnsi="Times"/>
          <w:szCs w:val="24"/>
        </w:rPr>
        <w:footnoteReference w:id="35"/>
      </w:r>
      <w:r w:rsidR="00A03F82" w:rsidRPr="002A1C17">
        <w:rPr>
          <w:rFonts w:ascii="Times" w:hAnsi="Times"/>
          <w:szCs w:val="24"/>
        </w:rPr>
        <w:t>,</w:t>
      </w:r>
      <w:r w:rsidR="004C2BB1" w:rsidRPr="002A1C17">
        <w:rPr>
          <w:rFonts w:ascii="Times" w:hAnsi="Times"/>
          <w:szCs w:val="24"/>
        </w:rPr>
        <w:t xml:space="preserve"> est chargé de surveiller la bonne application de la procédure de participation. </w:t>
      </w:r>
      <w:r w:rsidR="00A03F82" w:rsidRPr="002A1C17">
        <w:rPr>
          <w:rFonts w:ascii="Times" w:hAnsi="Times"/>
          <w:szCs w:val="24"/>
        </w:rPr>
        <w:t>Par ailleurs,</w:t>
      </w:r>
      <w:r w:rsidR="004C2BB1" w:rsidRPr="002A1C17">
        <w:rPr>
          <w:rFonts w:ascii="Times" w:hAnsi="Times"/>
          <w:szCs w:val="24"/>
        </w:rPr>
        <w:t xml:space="preserve"> en 2013, l</w:t>
      </w:r>
      <w:r w:rsidR="00D72851">
        <w:rPr>
          <w:rFonts w:ascii="Times" w:hAnsi="Times"/>
          <w:szCs w:val="24"/>
        </w:rPr>
        <w:t>’</w:t>
      </w:r>
      <w:r w:rsidR="004C2BB1" w:rsidRPr="002A1C17">
        <w:rPr>
          <w:rFonts w:ascii="Times" w:hAnsi="Times"/>
          <w:szCs w:val="24"/>
        </w:rPr>
        <w:t xml:space="preserve">IASB a créé un </w:t>
      </w:r>
      <w:r w:rsidR="004C2BB1" w:rsidRPr="002A1C17">
        <w:rPr>
          <w:rFonts w:ascii="Times" w:hAnsi="Times"/>
          <w:i/>
          <w:iCs/>
          <w:szCs w:val="24"/>
        </w:rPr>
        <w:t>Accounting Standards Advisory Forum</w:t>
      </w:r>
      <w:r w:rsidR="004C2BB1" w:rsidRPr="002A1C17">
        <w:rPr>
          <w:rFonts w:ascii="Times" w:hAnsi="Times"/>
          <w:szCs w:val="24"/>
        </w:rPr>
        <w:t xml:space="preserve"> (ASAF), </w:t>
      </w:r>
      <w:r w:rsidR="004C2BB1" w:rsidRPr="002A1C17">
        <w:rPr>
          <w:rFonts w:ascii="Times" w:hAnsi="Times"/>
          <w:i/>
          <w:iCs/>
          <w:szCs w:val="24"/>
        </w:rPr>
        <w:t>forum</w:t>
      </w:r>
      <w:r w:rsidR="004C2BB1" w:rsidRPr="002A1C17">
        <w:rPr>
          <w:rFonts w:ascii="Times" w:hAnsi="Times"/>
          <w:szCs w:val="24"/>
        </w:rPr>
        <w:t xml:space="preserve"> consultatif </w:t>
      </w:r>
      <w:r w:rsidR="00A03F82" w:rsidRPr="002A1C17">
        <w:rPr>
          <w:rFonts w:ascii="Times" w:hAnsi="Times"/>
          <w:szCs w:val="24"/>
        </w:rPr>
        <w:t>servant</w:t>
      </w:r>
      <w:r w:rsidR="004C2BB1" w:rsidRPr="002A1C17">
        <w:rPr>
          <w:rFonts w:ascii="Times" w:hAnsi="Times"/>
          <w:szCs w:val="24"/>
        </w:rPr>
        <w:t xml:space="preserve"> de relais auprès du </w:t>
      </w:r>
      <w:r w:rsidR="004C2BB1" w:rsidRPr="002A1C17">
        <w:rPr>
          <w:rFonts w:ascii="Times" w:hAnsi="Times"/>
          <w:i/>
          <w:iCs/>
          <w:szCs w:val="24"/>
        </w:rPr>
        <w:t>Board</w:t>
      </w:r>
      <w:r w:rsidR="004C2BB1" w:rsidRPr="002A1C17">
        <w:rPr>
          <w:rFonts w:ascii="Times" w:hAnsi="Times"/>
          <w:szCs w:val="24"/>
        </w:rPr>
        <w:t xml:space="preserve"> de l</w:t>
      </w:r>
      <w:r w:rsidR="00D72851">
        <w:rPr>
          <w:rFonts w:ascii="Times" w:hAnsi="Times"/>
          <w:szCs w:val="24"/>
        </w:rPr>
        <w:t>’</w:t>
      </w:r>
      <w:r w:rsidR="004C2BB1" w:rsidRPr="002A1C17">
        <w:rPr>
          <w:rFonts w:ascii="Times" w:hAnsi="Times"/>
          <w:szCs w:val="24"/>
        </w:rPr>
        <w:t xml:space="preserve">IASB. Ce nouvel organisme, créé </w:t>
      </w:r>
      <w:r w:rsidR="00A03F82" w:rsidRPr="002A1C17">
        <w:rPr>
          <w:rFonts w:ascii="Times" w:hAnsi="Times"/>
          <w:szCs w:val="24"/>
        </w:rPr>
        <w:t xml:space="preserve">lui aussi </w:t>
      </w:r>
      <w:r w:rsidR="004C2BB1" w:rsidRPr="002A1C17">
        <w:rPr>
          <w:rFonts w:ascii="Times" w:hAnsi="Times"/>
          <w:szCs w:val="24"/>
        </w:rPr>
        <w:t xml:space="preserve">face à la demande de légitimité résurgente avec les crises économiques de 2008 et 2010, est composé des organisations étatiques ou interétatiques régionales de standardisation comptables. Il a pour </w:t>
      </w:r>
      <w:r w:rsidR="00A03F82" w:rsidRPr="002A1C17">
        <w:rPr>
          <w:rFonts w:ascii="Times" w:hAnsi="Times"/>
          <w:szCs w:val="24"/>
        </w:rPr>
        <w:t>objet</w:t>
      </w:r>
      <w:r w:rsidR="004C2BB1" w:rsidRPr="002A1C17">
        <w:rPr>
          <w:rFonts w:ascii="Times" w:hAnsi="Times"/>
          <w:szCs w:val="24"/>
        </w:rPr>
        <w:t xml:space="preserve"> de participer à l</w:t>
      </w:r>
      <w:r w:rsidR="00D72851">
        <w:rPr>
          <w:rFonts w:ascii="Times" w:hAnsi="Times"/>
          <w:szCs w:val="24"/>
        </w:rPr>
        <w:t>’</w:t>
      </w:r>
      <w:r w:rsidR="004C2BB1" w:rsidRPr="002A1C17">
        <w:rPr>
          <w:rFonts w:ascii="Times" w:hAnsi="Times"/>
          <w:szCs w:val="24"/>
        </w:rPr>
        <w:t xml:space="preserve">élaboration des normes en conseillant le </w:t>
      </w:r>
      <w:r w:rsidR="004C2BB1" w:rsidRPr="002A1C17">
        <w:rPr>
          <w:rFonts w:ascii="Times" w:hAnsi="Times"/>
          <w:i/>
          <w:iCs/>
          <w:szCs w:val="24"/>
        </w:rPr>
        <w:t>Board</w:t>
      </w:r>
      <w:r w:rsidR="004C2BB1" w:rsidRPr="002A1C17">
        <w:rPr>
          <w:rFonts w:ascii="Times" w:hAnsi="Times"/>
          <w:szCs w:val="24"/>
        </w:rPr>
        <w:t xml:space="preserve"> de l</w:t>
      </w:r>
      <w:r w:rsidR="00D72851">
        <w:rPr>
          <w:rFonts w:ascii="Times" w:hAnsi="Times"/>
          <w:szCs w:val="24"/>
        </w:rPr>
        <w:t>’</w:t>
      </w:r>
      <w:r w:rsidR="004C2BB1" w:rsidRPr="002A1C17">
        <w:rPr>
          <w:rFonts w:ascii="Times" w:hAnsi="Times"/>
          <w:szCs w:val="24"/>
        </w:rPr>
        <w:t>IASB.</w:t>
      </w:r>
    </w:p>
    <w:p w14:paraId="44040258" w14:textId="77777777" w:rsidR="004C2BB1" w:rsidRPr="002A1C17" w:rsidRDefault="004C2BB1" w:rsidP="00D11C33">
      <w:pPr>
        <w:spacing w:line="240" w:lineRule="auto"/>
        <w:jc w:val="both"/>
        <w:rPr>
          <w:rFonts w:ascii="Times" w:hAnsi="Times"/>
          <w:szCs w:val="24"/>
        </w:rPr>
      </w:pPr>
    </w:p>
    <w:p w14:paraId="68DACFA5" w14:textId="39B403B7" w:rsidR="004C2BB1" w:rsidRPr="002A1C17" w:rsidRDefault="00456A9B" w:rsidP="00D11C33">
      <w:pPr>
        <w:spacing w:line="240" w:lineRule="auto"/>
        <w:jc w:val="both"/>
        <w:rPr>
          <w:rFonts w:ascii="Times" w:hAnsi="Times"/>
          <w:szCs w:val="24"/>
        </w:rPr>
      </w:pPr>
      <w:r w:rsidRPr="002A1C17">
        <w:rPr>
          <w:rFonts w:ascii="Times" w:hAnsi="Times"/>
          <w:szCs w:val="24"/>
        </w:rPr>
        <w:t xml:space="preserve">Une seconde technique procédurale consiste à créer des </w:t>
      </w:r>
      <w:r w:rsidR="004C2BB1" w:rsidRPr="002A1C17">
        <w:rPr>
          <w:rFonts w:ascii="Times" w:hAnsi="Times"/>
          <w:szCs w:val="24"/>
        </w:rPr>
        <w:t>normes relatives au fonctionnement général de l</w:t>
      </w:r>
      <w:r w:rsidR="00D72851">
        <w:rPr>
          <w:rFonts w:ascii="Times" w:hAnsi="Times"/>
          <w:szCs w:val="24"/>
        </w:rPr>
        <w:t>’</w:t>
      </w:r>
      <w:r w:rsidR="004C2BB1" w:rsidRPr="002A1C17">
        <w:rPr>
          <w:rFonts w:ascii="Times" w:hAnsi="Times"/>
          <w:szCs w:val="24"/>
        </w:rPr>
        <w:t xml:space="preserve">entité globale, </w:t>
      </w:r>
      <w:r w:rsidRPr="002A1C17">
        <w:rPr>
          <w:rFonts w:ascii="Times" w:hAnsi="Times"/>
          <w:szCs w:val="24"/>
        </w:rPr>
        <w:t xml:space="preserve">lesquelles </w:t>
      </w:r>
      <w:r w:rsidR="004C2BB1" w:rsidRPr="002A1C17">
        <w:rPr>
          <w:rFonts w:ascii="Times" w:hAnsi="Times"/>
          <w:szCs w:val="24"/>
        </w:rPr>
        <w:t xml:space="preserve">ne sont donc pas limitées au processus décisionnel lui-même. </w:t>
      </w:r>
      <w:r w:rsidR="006316F2" w:rsidRPr="002A1C17">
        <w:rPr>
          <w:rFonts w:ascii="Times" w:hAnsi="Times"/>
          <w:szCs w:val="24"/>
        </w:rPr>
        <w:t>L</w:t>
      </w:r>
      <w:r w:rsidR="00D72851">
        <w:rPr>
          <w:rFonts w:ascii="Times" w:hAnsi="Times"/>
          <w:szCs w:val="24"/>
        </w:rPr>
        <w:t>’</w:t>
      </w:r>
      <w:r w:rsidR="006316F2" w:rsidRPr="002A1C17">
        <w:rPr>
          <w:rFonts w:ascii="Times" w:hAnsi="Times"/>
          <w:szCs w:val="24"/>
        </w:rPr>
        <w:t>une de ces normes qu</w:t>
      </w:r>
      <w:r w:rsidR="00D72851">
        <w:rPr>
          <w:rFonts w:ascii="Times" w:hAnsi="Times"/>
          <w:szCs w:val="24"/>
        </w:rPr>
        <w:t>’</w:t>
      </w:r>
      <w:r w:rsidR="006316F2" w:rsidRPr="002A1C17">
        <w:rPr>
          <w:rFonts w:ascii="Times" w:hAnsi="Times"/>
          <w:szCs w:val="24"/>
        </w:rPr>
        <w:t>il est possible de déceler dans la plupart, sinon toutes les entités globales, réside dans la</w:t>
      </w:r>
      <w:r w:rsidR="00D72851">
        <w:rPr>
          <w:rFonts w:ascii="Times" w:hAnsi="Times"/>
          <w:szCs w:val="24"/>
        </w:rPr>
        <w:t xml:space="preserve"> promotion de la</w:t>
      </w:r>
      <w:r w:rsidR="006316F2" w:rsidRPr="002A1C17">
        <w:rPr>
          <w:rFonts w:ascii="Times" w:hAnsi="Times"/>
          <w:szCs w:val="24"/>
        </w:rPr>
        <w:t xml:space="preserve"> transparence</w:t>
      </w:r>
      <w:r w:rsidR="006316F2" w:rsidRPr="002A1C17">
        <w:rPr>
          <w:rStyle w:val="Appelnotedebasdep"/>
          <w:rFonts w:ascii="Times" w:hAnsi="Times"/>
          <w:szCs w:val="24"/>
        </w:rPr>
        <w:footnoteReference w:id="36"/>
      </w:r>
      <w:r w:rsidR="006316F2" w:rsidRPr="002A1C17">
        <w:rPr>
          <w:rFonts w:ascii="Times" w:hAnsi="Times"/>
          <w:szCs w:val="24"/>
        </w:rPr>
        <w:t xml:space="preserve">. </w:t>
      </w:r>
      <w:r w:rsidR="004C2BB1" w:rsidRPr="002A1C17">
        <w:rPr>
          <w:rFonts w:ascii="Times" w:hAnsi="Times"/>
          <w:szCs w:val="24"/>
        </w:rPr>
        <w:t>Les organismes de normalisation, comme les autres entités globales, ont</w:t>
      </w:r>
      <w:r w:rsidR="006316F2" w:rsidRPr="002A1C17">
        <w:rPr>
          <w:rFonts w:ascii="Times" w:hAnsi="Times"/>
          <w:szCs w:val="24"/>
        </w:rPr>
        <w:t xml:space="preserve"> ainsi</w:t>
      </w:r>
      <w:r w:rsidR="004C2BB1" w:rsidRPr="002A1C17">
        <w:rPr>
          <w:rFonts w:ascii="Times" w:hAnsi="Times"/>
          <w:szCs w:val="24"/>
        </w:rPr>
        <w:t xml:space="preserve"> développé des obligations, parfois tacites, de transparence : elles établissent des rapports annuels, communiquent sur leur gestion financière pour montrer</w:t>
      </w:r>
      <w:r w:rsidR="006316F2" w:rsidRPr="002A1C17">
        <w:rPr>
          <w:rFonts w:ascii="Times" w:hAnsi="Times"/>
          <w:szCs w:val="24"/>
        </w:rPr>
        <w:t xml:space="preserve"> – par exemple –</w:t>
      </w:r>
      <w:r w:rsidR="004C2BB1" w:rsidRPr="002A1C17">
        <w:rPr>
          <w:rFonts w:ascii="Times" w:hAnsi="Times"/>
          <w:szCs w:val="24"/>
        </w:rPr>
        <w:t xml:space="preserve"> qu</w:t>
      </w:r>
      <w:r w:rsidR="00D72851">
        <w:rPr>
          <w:rFonts w:ascii="Times" w:hAnsi="Times"/>
          <w:szCs w:val="24"/>
        </w:rPr>
        <w:t>’</w:t>
      </w:r>
      <w:r w:rsidR="004C2BB1" w:rsidRPr="002A1C17">
        <w:rPr>
          <w:rFonts w:ascii="Times" w:hAnsi="Times"/>
          <w:szCs w:val="24"/>
        </w:rPr>
        <w:t xml:space="preserve">elle </w:t>
      </w:r>
      <w:r w:rsidR="006316F2" w:rsidRPr="002A1C17">
        <w:rPr>
          <w:rFonts w:ascii="Times" w:hAnsi="Times"/>
          <w:szCs w:val="24"/>
        </w:rPr>
        <w:t>sont</w:t>
      </w:r>
      <w:r w:rsidR="004C2BB1" w:rsidRPr="002A1C17">
        <w:rPr>
          <w:rFonts w:ascii="Times" w:hAnsi="Times"/>
          <w:szCs w:val="24"/>
        </w:rPr>
        <w:t xml:space="preserve"> saine</w:t>
      </w:r>
      <w:r w:rsidR="006316F2" w:rsidRPr="002A1C17">
        <w:rPr>
          <w:rFonts w:ascii="Times" w:hAnsi="Times"/>
          <w:szCs w:val="24"/>
        </w:rPr>
        <w:t>s</w:t>
      </w:r>
      <w:r w:rsidR="004C2BB1" w:rsidRPr="002A1C17">
        <w:rPr>
          <w:rFonts w:ascii="Times" w:hAnsi="Times"/>
          <w:szCs w:val="24"/>
        </w:rPr>
        <w:t xml:space="preserve"> et exempte</w:t>
      </w:r>
      <w:r w:rsidR="006316F2" w:rsidRPr="002A1C17">
        <w:rPr>
          <w:rFonts w:ascii="Times" w:hAnsi="Times"/>
          <w:szCs w:val="24"/>
        </w:rPr>
        <w:t>s</w:t>
      </w:r>
      <w:r w:rsidR="004C2BB1" w:rsidRPr="002A1C17">
        <w:rPr>
          <w:rFonts w:ascii="Times" w:hAnsi="Times"/>
          <w:szCs w:val="24"/>
        </w:rPr>
        <w:t xml:space="preserve"> de corruption</w:t>
      </w:r>
      <w:r w:rsidR="006316F2" w:rsidRPr="002A1C17">
        <w:rPr>
          <w:rFonts w:ascii="Times" w:hAnsi="Times"/>
          <w:szCs w:val="24"/>
        </w:rPr>
        <w:t xml:space="preserve">, </w:t>
      </w:r>
      <w:r w:rsidR="004C2BB1" w:rsidRPr="002A1C17">
        <w:rPr>
          <w:rFonts w:ascii="Times" w:hAnsi="Times"/>
          <w:szCs w:val="24"/>
        </w:rPr>
        <w:t>produisent un grand nombre de documents accessibles au public sur leur activité, communiquent sur la procédure d</w:t>
      </w:r>
      <w:r w:rsidR="00D72851">
        <w:rPr>
          <w:rFonts w:ascii="Times" w:hAnsi="Times"/>
          <w:szCs w:val="24"/>
        </w:rPr>
        <w:t>’</w:t>
      </w:r>
      <w:r w:rsidR="004C2BB1" w:rsidRPr="002A1C17">
        <w:rPr>
          <w:rFonts w:ascii="Times" w:hAnsi="Times"/>
          <w:szCs w:val="24"/>
        </w:rPr>
        <w:t>adoption des normes pour que chacun puisse comprendre le fonctionnement de l</w:t>
      </w:r>
      <w:r w:rsidR="00D72851">
        <w:rPr>
          <w:rFonts w:ascii="Times" w:hAnsi="Times"/>
          <w:szCs w:val="24"/>
        </w:rPr>
        <w:t>’</w:t>
      </w:r>
      <w:r w:rsidR="004C2BB1" w:rsidRPr="002A1C17">
        <w:rPr>
          <w:rFonts w:ascii="Times" w:hAnsi="Times"/>
          <w:szCs w:val="24"/>
        </w:rPr>
        <w:t>entité, et tiennent à jour un site internet coûteux qui permet d</w:t>
      </w:r>
      <w:r w:rsidR="00D72851">
        <w:rPr>
          <w:rFonts w:ascii="Times" w:hAnsi="Times"/>
          <w:szCs w:val="24"/>
        </w:rPr>
        <w:t>’</w:t>
      </w:r>
      <w:r w:rsidR="004C2BB1" w:rsidRPr="002A1C17">
        <w:rPr>
          <w:rFonts w:ascii="Times" w:hAnsi="Times"/>
          <w:szCs w:val="24"/>
        </w:rPr>
        <w:t>accéder à tout</w:t>
      </w:r>
      <w:r w:rsidR="006316F2" w:rsidRPr="002A1C17">
        <w:rPr>
          <w:rFonts w:ascii="Times" w:hAnsi="Times"/>
          <w:szCs w:val="24"/>
        </w:rPr>
        <w:t>es les informations qui précèdent</w:t>
      </w:r>
      <w:r w:rsidR="004C2BB1" w:rsidRPr="002A1C17">
        <w:rPr>
          <w:rFonts w:ascii="Times" w:hAnsi="Times"/>
          <w:szCs w:val="24"/>
        </w:rPr>
        <w:t>. Pour prendre l</w:t>
      </w:r>
      <w:r w:rsidR="00D72851">
        <w:rPr>
          <w:rFonts w:ascii="Times" w:hAnsi="Times"/>
          <w:szCs w:val="24"/>
        </w:rPr>
        <w:t>’</w:t>
      </w:r>
      <w:r w:rsidR="004C2BB1" w:rsidRPr="002A1C17">
        <w:rPr>
          <w:rFonts w:ascii="Times" w:hAnsi="Times"/>
          <w:szCs w:val="24"/>
        </w:rPr>
        <w:t>exemple de l</w:t>
      </w:r>
      <w:r w:rsidR="00D72851">
        <w:rPr>
          <w:rFonts w:ascii="Times" w:hAnsi="Times"/>
          <w:szCs w:val="24"/>
        </w:rPr>
        <w:t>’</w:t>
      </w:r>
      <w:r w:rsidR="004C2BB1" w:rsidRPr="002A1C17">
        <w:rPr>
          <w:rFonts w:ascii="Times" w:hAnsi="Times"/>
          <w:szCs w:val="24"/>
        </w:rPr>
        <w:t>IASB, les pressions exercées par le G20 et l</w:t>
      </w:r>
      <w:r w:rsidR="00D72851">
        <w:rPr>
          <w:rFonts w:ascii="Times" w:hAnsi="Times"/>
          <w:szCs w:val="24"/>
        </w:rPr>
        <w:t>’</w:t>
      </w:r>
      <w:r w:rsidR="004C2BB1" w:rsidRPr="002A1C17">
        <w:rPr>
          <w:rFonts w:ascii="Times" w:hAnsi="Times"/>
          <w:szCs w:val="24"/>
        </w:rPr>
        <w:t>UE coïncident avec la création d</w:t>
      </w:r>
      <w:r w:rsidR="00D72851">
        <w:rPr>
          <w:rFonts w:ascii="Times" w:hAnsi="Times"/>
          <w:szCs w:val="24"/>
        </w:rPr>
        <w:t>’</w:t>
      </w:r>
      <w:r w:rsidR="004C2BB1" w:rsidRPr="002A1C17">
        <w:rPr>
          <w:rFonts w:ascii="Times" w:hAnsi="Times"/>
          <w:szCs w:val="24"/>
        </w:rPr>
        <w:t xml:space="preserve">un page de son site complète sur </w:t>
      </w:r>
      <w:r w:rsidR="004C2BB1" w:rsidRPr="002A1C17">
        <w:rPr>
          <w:rFonts w:ascii="Times" w:hAnsi="Times"/>
          <w:i/>
          <w:iCs/>
          <w:szCs w:val="24"/>
        </w:rPr>
        <w:t>l</w:t>
      </w:r>
      <w:r w:rsidR="00D72851">
        <w:rPr>
          <w:rFonts w:ascii="Times" w:hAnsi="Times"/>
          <w:i/>
          <w:iCs/>
          <w:szCs w:val="24"/>
        </w:rPr>
        <w:t>’</w:t>
      </w:r>
      <w:r w:rsidR="004C2BB1" w:rsidRPr="002A1C17">
        <w:rPr>
          <w:rFonts w:ascii="Times" w:hAnsi="Times"/>
          <w:i/>
          <w:iCs/>
          <w:szCs w:val="24"/>
        </w:rPr>
        <w:t>accountability</w:t>
      </w:r>
      <w:r w:rsidR="004C2BB1" w:rsidRPr="002A1C17">
        <w:rPr>
          <w:rFonts w:ascii="Times" w:hAnsi="Times"/>
          <w:szCs w:val="24"/>
        </w:rPr>
        <w:t xml:space="preserve"> et la bonne gouvernance comportant un nombre </w:t>
      </w:r>
      <w:r w:rsidR="006316F2" w:rsidRPr="002A1C17">
        <w:rPr>
          <w:rFonts w:ascii="Times" w:hAnsi="Times"/>
          <w:szCs w:val="24"/>
        </w:rPr>
        <w:t xml:space="preserve">très significatif </w:t>
      </w:r>
      <w:r w:rsidR="004C2BB1" w:rsidRPr="002A1C17">
        <w:rPr>
          <w:rFonts w:ascii="Times" w:hAnsi="Times"/>
          <w:szCs w:val="24"/>
        </w:rPr>
        <w:t>de rapports sur la transparence</w:t>
      </w:r>
      <w:r w:rsidR="006316F2" w:rsidRPr="002A1C17">
        <w:rPr>
          <w:rStyle w:val="Appelnotedebasdep"/>
          <w:rFonts w:ascii="Times" w:hAnsi="Times"/>
          <w:szCs w:val="24"/>
        </w:rPr>
        <w:footnoteReference w:id="37"/>
      </w:r>
      <w:r w:rsidR="004C2BB1" w:rsidRPr="002A1C17">
        <w:rPr>
          <w:rFonts w:ascii="Times" w:hAnsi="Times"/>
          <w:szCs w:val="24"/>
        </w:rPr>
        <w:t xml:space="preserve">, correspond avec la mise en ligne de tous les « courriers de commentateurs » des normes et de </w:t>
      </w:r>
      <w:r w:rsidR="004C2BB1" w:rsidRPr="002A1C17">
        <w:rPr>
          <w:rFonts w:ascii="Times" w:hAnsi="Times"/>
          <w:i/>
          <w:iCs/>
          <w:szCs w:val="24"/>
        </w:rPr>
        <w:t>l</w:t>
      </w:r>
      <w:r w:rsidR="00D72851">
        <w:rPr>
          <w:rFonts w:ascii="Times" w:hAnsi="Times"/>
          <w:i/>
          <w:iCs/>
          <w:szCs w:val="24"/>
        </w:rPr>
        <w:t>’</w:t>
      </w:r>
      <w:r w:rsidR="004C2BB1" w:rsidRPr="002A1C17">
        <w:rPr>
          <w:rFonts w:ascii="Times" w:hAnsi="Times"/>
          <w:i/>
          <w:iCs/>
          <w:szCs w:val="24"/>
        </w:rPr>
        <w:t>accountability</w:t>
      </w:r>
      <w:r w:rsidR="004C2BB1" w:rsidRPr="002A1C17">
        <w:rPr>
          <w:rFonts w:ascii="Times" w:hAnsi="Times"/>
          <w:szCs w:val="24"/>
        </w:rPr>
        <w:t xml:space="preserve"> de l</w:t>
      </w:r>
      <w:r w:rsidR="00D72851">
        <w:rPr>
          <w:rFonts w:ascii="Times" w:hAnsi="Times"/>
          <w:szCs w:val="24"/>
        </w:rPr>
        <w:t>’</w:t>
      </w:r>
      <w:r w:rsidR="004C2BB1" w:rsidRPr="002A1C17">
        <w:rPr>
          <w:rFonts w:ascii="Times" w:hAnsi="Times"/>
          <w:szCs w:val="24"/>
        </w:rPr>
        <w:t xml:space="preserve">entité, ou encore avec la publication </w:t>
      </w:r>
      <w:r w:rsidR="004C2BB1" w:rsidRPr="002A1C17">
        <w:rPr>
          <w:rFonts w:ascii="Times" w:hAnsi="Times"/>
          <w:szCs w:val="24"/>
        </w:rPr>
        <w:lastRenderedPageBreak/>
        <w:t>et la densification d</w:t>
      </w:r>
      <w:r w:rsidR="00D72851">
        <w:rPr>
          <w:rFonts w:ascii="Times" w:hAnsi="Times"/>
          <w:szCs w:val="24"/>
        </w:rPr>
        <w:t>’</w:t>
      </w:r>
      <w:r w:rsidR="004C2BB1" w:rsidRPr="002A1C17">
        <w:rPr>
          <w:rFonts w:ascii="Times" w:hAnsi="Times"/>
          <w:szCs w:val="24"/>
        </w:rPr>
        <w:t xml:space="preserve">un </w:t>
      </w:r>
      <w:r w:rsidR="004C2BB1" w:rsidRPr="002A1C17">
        <w:rPr>
          <w:rFonts w:ascii="Times" w:hAnsi="Times"/>
          <w:i/>
          <w:iCs/>
          <w:szCs w:val="24"/>
        </w:rPr>
        <w:t>Due Process Handbook</w:t>
      </w:r>
      <w:r w:rsidR="004C2BB1" w:rsidRPr="002A1C17">
        <w:rPr>
          <w:rFonts w:ascii="Times" w:hAnsi="Times"/>
          <w:szCs w:val="24"/>
        </w:rPr>
        <w:t xml:space="preserve"> publié chaque année et dont le volume a doublé </w:t>
      </w:r>
      <w:r w:rsidR="00947360">
        <w:rPr>
          <w:rFonts w:ascii="Times" w:hAnsi="Times"/>
          <w:szCs w:val="24"/>
        </w:rPr>
        <w:t xml:space="preserve">depuis </w:t>
      </w:r>
      <w:r w:rsidR="004C2BB1" w:rsidRPr="002A1C17">
        <w:rPr>
          <w:rFonts w:ascii="Times" w:hAnsi="Times"/>
          <w:szCs w:val="24"/>
        </w:rPr>
        <w:t>l</w:t>
      </w:r>
      <w:r w:rsidR="00D72851">
        <w:rPr>
          <w:rFonts w:ascii="Times" w:hAnsi="Times"/>
          <w:szCs w:val="24"/>
        </w:rPr>
        <w:t>’</w:t>
      </w:r>
      <w:r w:rsidR="004C2BB1" w:rsidRPr="002A1C17">
        <w:rPr>
          <w:rFonts w:ascii="Times" w:hAnsi="Times"/>
          <w:szCs w:val="24"/>
        </w:rPr>
        <w:t>officialisation des pressions, autour de 2009</w:t>
      </w:r>
      <w:r w:rsidR="00D5726C" w:rsidRPr="002A1C17">
        <w:rPr>
          <w:rStyle w:val="Appelnotedebasdep"/>
          <w:rFonts w:ascii="Times" w:hAnsi="Times"/>
          <w:szCs w:val="24"/>
        </w:rPr>
        <w:footnoteReference w:id="38"/>
      </w:r>
      <w:r w:rsidR="004C2BB1" w:rsidRPr="002A1C17">
        <w:rPr>
          <w:rFonts w:ascii="Times" w:hAnsi="Times"/>
          <w:szCs w:val="24"/>
        </w:rPr>
        <w:t>. Du côté de l</w:t>
      </w:r>
      <w:r w:rsidR="00D72851">
        <w:rPr>
          <w:rFonts w:ascii="Times" w:hAnsi="Times"/>
          <w:szCs w:val="24"/>
        </w:rPr>
        <w:t>’</w:t>
      </w:r>
      <w:r w:rsidR="004C2BB1" w:rsidRPr="002A1C17">
        <w:rPr>
          <w:rFonts w:ascii="Times" w:hAnsi="Times"/>
          <w:szCs w:val="24"/>
        </w:rPr>
        <w:t xml:space="preserve">ISO, </w:t>
      </w:r>
      <w:r w:rsidR="00D5726C" w:rsidRPr="002A1C17">
        <w:rPr>
          <w:rFonts w:ascii="Times" w:hAnsi="Times"/>
          <w:szCs w:val="24"/>
        </w:rPr>
        <w:t>les cinq rubriques « Normes », « À propos de l</w:t>
      </w:r>
      <w:r w:rsidR="00D72851">
        <w:rPr>
          <w:rFonts w:ascii="Times" w:hAnsi="Times"/>
          <w:szCs w:val="24"/>
        </w:rPr>
        <w:t>’</w:t>
      </w:r>
      <w:r w:rsidR="00D5726C" w:rsidRPr="002A1C17">
        <w:rPr>
          <w:rFonts w:ascii="Times" w:hAnsi="Times"/>
          <w:szCs w:val="24"/>
        </w:rPr>
        <w:t xml:space="preserve">ISO », « Actualités », « Participer » et « Store » du site internet de </w:t>
      </w:r>
      <w:r w:rsidR="00D5726C" w:rsidRPr="002A1C17">
        <w:rPr>
          <w:rFonts w:ascii="Times" w:hAnsi="Times"/>
          <w:szCs w:val="24"/>
        </w:rPr>
        <w:t>l</w:t>
      </w:r>
      <w:r w:rsidR="00D72851">
        <w:rPr>
          <w:rFonts w:ascii="Times" w:hAnsi="Times"/>
          <w:szCs w:val="24"/>
        </w:rPr>
        <w:t>’</w:t>
      </w:r>
      <w:r w:rsidR="00D5726C" w:rsidRPr="002A1C17">
        <w:rPr>
          <w:rFonts w:ascii="Times" w:hAnsi="Times"/>
          <w:szCs w:val="24"/>
        </w:rPr>
        <w:t>institution permettent d</w:t>
      </w:r>
      <w:r w:rsidR="00D72851">
        <w:rPr>
          <w:rFonts w:ascii="Times" w:hAnsi="Times"/>
          <w:szCs w:val="24"/>
        </w:rPr>
        <w:t>’</w:t>
      </w:r>
      <w:r w:rsidR="00D5726C" w:rsidRPr="002A1C17">
        <w:rPr>
          <w:rFonts w:ascii="Times" w:hAnsi="Times"/>
          <w:szCs w:val="24"/>
        </w:rPr>
        <w:t>accéder aisément à de nombreux</w:t>
      </w:r>
      <w:r w:rsidR="004C2BB1" w:rsidRPr="002A1C17">
        <w:rPr>
          <w:rFonts w:ascii="Times" w:hAnsi="Times"/>
          <w:szCs w:val="24"/>
        </w:rPr>
        <w:t xml:space="preserve"> documents détaillant </w:t>
      </w:r>
      <w:r w:rsidR="00D5726C" w:rsidRPr="002A1C17">
        <w:rPr>
          <w:rFonts w:ascii="Times" w:hAnsi="Times"/>
          <w:szCs w:val="24"/>
        </w:rPr>
        <w:t>avec précision</w:t>
      </w:r>
      <w:r w:rsidR="004C2BB1" w:rsidRPr="002A1C17">
        <w:rPr>
          <w:rFonts w:ascii="Times" w:hAnsi="Times"/>
          <w:szCs w:val="24"/>
        </w:rPr>
        <w:t xml:space="preserve"> les modes d</w:t>
      </w:r>
      <w:r w:rsidR="00D72851">
        <w:rPr>
          <w:rFonts w:ascii="Times" w:hAnsi="Times"/>
          <w:szCs w:val="24"/>
        </w:rPr>
        <w:t>’</w:t>
      </w:r>
      <w:r w:rsidR="004C2BB1" w:rsidRPr="002A1C17">
        <w:rPr>
          <w:rFonts w:ascii="Times" w:hAnsi="Times"/>
          <w:szCs w:val="24"/>
        </w:rPr>
        <w:t>adoption des normes</w:t>
      </w:r>
      <w:r w:rsidR="00D5726C" w:rsidRPr="002A1C17">
        <w:rPr>
          <w:rStyle w:val="Appelnotedebasdep"/>
          <w:rFonts w:ascii="Times" w:hAnsi="Times"/>
          <w:szCs w:val="24"/>
        </w:rPr>
        <w:footnoteReference w:id="39"/>
      </w:r>
      <w:r w:rsidR="00D5726C" w:rsidRPr="002A1C17">
        <w:rPr>
          <w:rFonts w:ascii="Times" w:hAnsi="Times"/>
          <w:szCs w:val="24"/>
        </w:rPr>
        <w:t>, l</w:t>
      </w:r>
      <w:r w:rsidR="004C2BB1" w:rsidRPr="002A1C17">
        <w:rPr>
          <w:rFonts w:ascii="Times" w:hAnsi="Times"/>
          <w:szCs w:val="24"/>
        </w:rPr>
        <w:t>a rubrique « participer » étant particulièrement précise</w:t>
      </w:r>
      <w:r w:rsidR="00D5726C" w:rsidRPr="002A1C17">
        <w:rPr>
          <w:rStyle w:val="Appelnotedebasdep"/>
          <w:rFonts w:ascii="Times" w:hAnsi="Times"/>
          <w:szCs w:val="24"/>
        </w:rPr>
        <w:footnoteReference w:id="40"/>
      </w:r>
      <w:r w:rsidR="00C85592" w:rsidRPr="002A1C17">
        <w:rPr>
          <w:rFonts w:ascii="Times" w:hAnsi="Times"/>
          <w:szCs w:val="24"/>
        </w:rPr>
        <w:t xml:space="preserve"> et transparente.</w:t>
      </w:r>
    </w:p>
    <w:p w14:paraId="2D5CD970" w14:textId="77777777" w:rsidR="004C2BB1" w:rsidRPr="002A1C17" w:rsidRDefault="004C2BB1" w:rsidP="00D11C33">
      <w:pPr>
        <w:spacing w:line="240" w:lineRule="auto"/>
        <w:jc w:val="both"/>
        <w:rPr>
          <w:rFonts w:ascii="Times" w:hAnsi="Times"/>
          <w:szCs w:val="24"/>
        </w:rPr>
      </w:pPr>
    </w:p>
    <w:p w14:paraId="5E0E7820" w14:textId="0C1D552A" w:rsidR="004C2BB1" w:rsidRPr="002A1C17" w:rsidRDefault="00D82D37" w:rsidP="00D11C33">
      <w:pPr>
        <w:spacing w:line="240" w:lineRule="auto"/>
        <w:jc w:val="both"/>
        <w:rPr>
          <w:rFonts w:ascii="Times" w:hAnsi="Times"/>
          <w:szCs w:val="24"/>
        </w:rPr>
      </w:pPr>
      <w:r w:rsidRPr="002A1C17">
        <w:rPr>
          <w:rFonts w:ascii="Times" w:hAnsi="Times"/>
          <w:szCs w:val="24"/>
        </w:rPr>
        <w:t>Ces procédures, qui passent principalement par la mise à disposition – voire la profusion – de documents d</w:t>
      </w:r>
      <w:r w:rsidR="00D72851">
        <w:rPr>
          <w:rFonts w:ascii="Times" w:hAnsi="Times"/>
          <w:szCs w:val="24"/>
        </w:rPr>
        <w:t>’</w:t>
      </w:r>
      <w:r w:rsidRPr="002A1C17">
        <w:rPr>
          <w:rFonts w:ascii="Times" w:hAnsi="Times"/>
          <w:szCs w:val="24"/>
        </w:rPr>
        <w:t>information, consolident un discours institutionnel fondant souvent la légitimité de l</w:t>
      </w:r>
      <w:r w:rsidR="00D72851">
        <w:rPr>
          <w:rFonts w:ascii="Times" w:hAnsi="Times"/>
          <w:szCs w:val="24"/>
        </w:rPr>
        <w:t>’</w:t>
      </w:r>
      <w:r w:rsidRPr="002A1C17">
        <w:rPr>
          <w:rFonts w:ascii="Times" w:hAnsi="Times"/>
          <w:szCs w:val="24"/>
        </w:rPr>
        <w:t>organisation sur l</w:t>
      </w:r>
      <w:r w:rsidR="00295FBA">
        <w:rPr>
          <w:rFonts w:ascii="Times" w:hAnsi="Times"/>
          <w:szCs w:val="24"/>
        </w:rPr>
        <w:t>e</w:t>
      </w:r>
      <w:r w:rsidRPr="002A1C17">
        <w:rPr>
          <w:rFonts w:ascii="Times" w:hAnsi="Times"/>
          <w:szCs w:val="24"/>
        </w:rPr>
        <w:t xml:space="preserve"> seul</w:t>
      </w:r>
      <w:r w:rsidR="00295FBA">
        <w:rPr>
          <w:rFonts w:ascii="Times" w:hAnsi="Times"/>
          <w:szCs w:val="24"/>
        </w:rPr>
        <w:t xml:space="preserve"> renforcement de sa</w:t>
      </w:r>
      <w:r w:rsidRPr="002A1C17">
        <w:rPr>
          <w:rFonts w:ascii="Times" w:hAnsi="Times"/>
          <w:szCs w:val="24"/>
        </w:rPr>
        <w:t xml:space="preserve"> </w:t>
      </w:r>
      <w:r w:rsidRPr="00D72851">
        <w:rPr>
          <w:rFonts w:ascii="Times" w:hAnsi="Times"/>
          <w:szCs w:val="24"/>
        </w:rPr>
        <w:t>transparence,</w:t>
      </w:r>
      <w:r w:rsidRPr="002A1C17">
        <w:rPr>
          <w:rFonts w:ascii="Times" w:hAnsi="Times"/>
          <w:szCs w:val="24"/>
        </w:rPr>
        <w:t xml:space="preserve"> alliée ou confondue avec une </w:t>
      </w:r>
      <w:r w:rsidRPr="002A1C17">
        <w:rPr>
          <w:rFonts w:ascii="Times" w:hAnsi="Times"/>
          <w:i/>
          <w:iCs/>
          <w:szCs w:val="24"/>
        </w:rPr>
        <w:t>accountability</w:t>
      </w:r>
      <w:r w:rsidR="004C2BB1" w:rsidRPr="002A1C17">
        <w:rPr>
          <w:rFonts w:ascii="Times" w:hAnsi="Times"/>
          <w:szCs w:val="24"/>
        </w:rPr>
        <w:t xml:space="preserve"> </w:t>
      </w:r>
      <w:r w:rsidRPr="002A1C17">
        <w:rPr>
          <w:rFonts w:ascii="Times" w:hAnsi="Times"/>
          <w:szCs w:val="24"/>
        </w:rPr>
        <w:t>parfois postulée</w:t>
      </w:r>
      <w:r w:rsidR="002D2CB8" w:rsidRPr="002A1C17">
        <w:rPr>
          <w:rFonts w:ascii="Times" w:hAnsi="Times"/>
          <w:szCs w:val="24"/>
        </w:rPr>
        <w:t>. Ce déplacement du champ de la légitimité n</w:t>
      </w:r>
      <w:r w:rsidR="00D72851">
        <w:rPr>
          <w:rFonts w:ascii="Times" w:hAnsi="Times"/>
          <w:szCs w:val="24"/>
        </w:rPr>
        <w:t>’</w:t>
      </w:r>
      <w:r w:rsidR="002D2CB8" w:rsidRPr="002A1C17">
        <w:rPr>
          <w:rFonts w:ascii="Times" w:hAnsi="Times"/>
          <w:szCs w:val="24"/>
        </w:rPr>
        <w:t>est</w:t>
      </w:r>
      <w:r w:rsidR="00DC217E" w:rsidRPr="002A1C17">
        <w:rPr>
          <w:rFonts w:ascii="Times" w:hAnsi="Times"/>
          <w:szCs w:val="24"/>
        </w:rPr>
        <w:t xml:space="preserve"> </w:t>
      </w:r>
      <w:r w:rsidR="002D2CB8" w:rsidRPr="002A1C17">
        <w:rPr>
          <w:rFonts w:ascii="Times" w:hAnsi="Times"/>
          <w:szCs w:val="24"/>
        </w:rPr>
        <w:t>pas involontaire. Si la doctrine peut considérer qu</w:t>
      </w:r>
      <w:r w:rsidR="00D72851">
        <w:rPr>
          <w:rFonts w:ascii="Times" w:hAnsi="Times"/>
          <w:szCs w:val="24"/>
        </w:rPr>
        <w:t>’</w:t>
      </w:r>
      <w:r w:rsidR="002D2CB8" w:rsidRPr="002A1C17">
        <w:rPr>
          <w:rFonts w:ascii="Times" w:hAnsi="Times"/>
          <w:szCs w:val="24"/>
        </w:rPr>
        <w:t>« [u]ne norme est légitime si les destinataires de la norme ont pu participer à son élaboration et si la procédure d</w:t>
      </w:r>
      <w:r w:rsidR="00D72851">
        <w:rPr>
          <w:rFonts w:ascii="Times" w:hAnsi="Times"/>
          <w:szCs w:val="24"/>
        </w:rPr>
        <w:t>’</w:t>
      </w:r>
      <w:r w:rsidR="002D2CB8" w:rsidRPr="002A1C17">
        <w:rPr>
          <w:rFonts w:ascii="Times" w:hAnsi="Times"/>
          <w:szCs w:val="24"/>
        </w:rPr>
        <w:t>élaboration est impartiale »</w:t>
      </w:r>
      <w:r w:rsidRPr="002A1C17">
        <w:rPr>
          <w:rStyle w:val="Appelnotedebasdep"/>
          <w:rFonts w:ascii="Times" w:hAnsi="Times"/>
          <w:szCs w:val="24"/>
        </w:rPr>
        <w:footnoteReference w:id="41"/>
      </w:r>
      <w:r w:rsidR="002D2CB8" w:rsidRPr="002A1C17">
        <w:rPr>
          <w:rFonts w:ascii="Times" w:hAnsi="Times"/>
          <w:szCs w:val="24"/>
        </w:rPr>
        <w:t xml:space="preserve">, il paraît intéressant, du </w:t>
      </w:r>
      <w:r w:rsidR="002D2CB8" w:rsidRPr="002A1C17">
        <w:rPr>
          <w:rFonts w:ascii="Times" w:hAnsi="Times"/>
          <w:szCs w:val="24"/>
        </w:rPr>
        <w:t>point de vue de l</w:t>
      </w:r>
      <w:r w:rsidR="00D72851">
        <w:rPr>
          <w:rFonts w:ascii="Times" w:hAnsi="Times"/>
          <w:szCs w:val="24"/>
        </w:rPr>
        <w:t>’</w:t>
      </w:r>
      <w:r w:rsidR="002D2CB8" w:rsidRPr="002A1C17">
        <w:rPr>
          <w:rFonts w:ascii="Times" w:hAnsi="Times"/>
          <w:szCs w:val="24"/>
        </w:rPr>
        <w:t>entité globale, d</w:t>
      </w:r>
      <w:r w:rsidR="00D72851">
        <w:rPr>
          <w:rFonts w:ascii="Times" w:hAnsi="Times"/>
          <w:szCs w:val="24"/>
        </w:rPr>
        <w:t>’</w:t>
      </w:r>
      <w:r w:rsidR="002D2CB8" w:rsidRPr="002A1C17">
        <w:rPr>
          <w:rFonts w:ascii="Times" w:hAnsi="Times"/>
          <w:szCs w:val="24"/>
        </w:rPr>
        <w:t>attirer l</w:t>
      </w:r>
      <w:r w:rsidR="00D72851">
        <w:rPr>
          <w:rFonts w:ascii="Times" w:hAnsi="Times"/>
          <w:szCs w:val="24"/>
        </w:rPr>
        <w:t>’</w:t>
      </w:r>
      <w:r w:rsidR="002D2CB8" w:rsidRPr="002A1C17">
        <w:rPr>
          <w:rFonts w:ascii="Times" w:hAnsi="Times"/>
          <w:szCs w:val="24"/>
        </w:rPr>
        <w:t>attention du public concerné vers la transparence de l</w:t>
      </w:r>
      <w:r w:rsidR="00D72851">
        <w:rPr>
          <w:rFonts w:ascii="Times" w:hAnsi="Times"/>
          <w:szCs w:val="24"/>
        </w:rPr>
        <w:t>’</w:t>
      </w:r>
      <w:r w:rsidR="002D2CB8" w:rsidRPr="002A1C17">
        <w:rPr>
          <w:rFonts w:ascii="Times" w:hAnsi="Times"/>
          <w:szCs w:val="24"/>
        </w:rPr>
        <w:t xml:space="preserve">organisation au détriment des autres éléments fondant la légitimité. La transparence peut en effet faire </w:t>
      </w:r>
      <w:r w:rsidR="00DC217E" w:rsidRPr="002A1C17">
        <w:rPr>
          <w:rFonts w:ascii="Times" w:hAnsi="Times"/>
          <w:szCs w:val="24"/>
        </w:rPr>
        <w:t xml:space="preserve">aisément </w:t>
      </w:r>
      <w:r w:rsidR="002D2CB8" w:rsidRPr="002A1C17">
        <w:rPr>
          <w:rFonts w:ascii="Times" w:hAnsi="Times"/>
          <w:szCs w:val="24"/>
        </w:rPr>
        <w:t>l</w:t>
      </w:r>
      <w:r w:rsidR="00D72851">
        <w:rPr>
          <w:rFonts w:ascii="Times" w:hAnsi="Times"/>
          <w:szCs w:val="24"/>
        </w:rPr>
        <w:t>’</w:t>
      </w:r>
      <w:r w:rsidR="002D2CB8" w:rsidRPr="002A1C17">
        <w:rPr>
          <w:rFonts w:ascii="Times" w:hAnsi="Times"/>
          <w:szCs w:val="24"/>
        </w:rPr>
        <w:t>objet d</w:t>
      </w:r>
      <w:r w:rsidR="00D72851">
        <w:rPr>
          <w:rFonts w:ascii="Times" w:hAnsi="Times"/>
          <w:szCs w:val="24"/>
        </w:rPr>
        <w:t>’</w:t>
      </w:r>
      <w:r w:rsidR="002D2CB8" w:rsidRPr="002A1C17">
        <w:rPr>
          <w:rFonts w:ascii="Times" w:hAnsi="Times"/>
          <w:szCs w:val="24"/>
        </w:rPr>
        <w:t>une politique quantitative visant à « inonder » le public d</w:t>
      </w:r>
      <w:r w:rsidR="00D72851">
        <w:rPr>
          <w:rFonts w:ascii="Times" w:hAnsi="Times"/>
          <w:szCs w:val="24"/>
        </w:rPr>
        <w:t>’</w:t>
      </w:r>
      <w:r w:rsidR="002D2CB8" w:rsidRPr="002A1C17">
        <w:rPr>
          <w:rFonts w:ascii="Times" w:hAnsi="Times"/>
          <w:szCs w:val="24"/>
        </w:rPr>
        <w:t>informations destinées à donner une image positive de l</w:t>
      </w:r>
      <w:r w:rsidR="00D72851">
        <w:rPr>
          <w:rFonts w:ascii="Times" w:hAnsi="Times"/>
          <w:szCs w:val="24"/>
        </w:rPr>
        <w:t>’</w:t>
      </w:r>
      <w:r w:rsidR="002D2CB8" w:rsidRPr="002A1C17">
        <w:rPr>
          <w:rFonts w:ascii="Times" w:hAnsi="Times"/>
          <w:szCs w:val="24"/>
        </w:rPr>
        <w:t>institution, tandis que les procédures de participation et de garantie d</w:t>
      </w:r>
      <w:r w:rsidR="00D72851">
        <w:rPr>
          <w:rFonts w:ascii="Times" w:hAnsi="Times"/>
          <w:szCs w:val="24"/>
        </w:rPr>
        <w:t>’</w:t>
      </w:r>
      <w:r w:rsidR="002D2CB8" w:rsidRPr="002A1C17">
        <w:rPr>
          <w:rFonts w:ascii="Times" w:hAnsi="Times"/>
          <w:szCs w:val="24"/>
        </w:rPr>
        <w:t>impartialité ne peuvent que difficilement être instrumentalisées de la sorte.</w:t>
      </w:r>
      <w:r w:rsidR="00D43FF8" w:rsidRPr="002A1C17">
        <w:rPr>
          <w:rFonts w:ascii="Times" w:hAnsi="Times"/>
          <w:szCs w:val="24"/>
        </w:rPr>
        <w:t xml:space="preserve"> Il découle de ce qui précède qu</w:t>
      </w:r>
      <w:r w:rsidR="00D72851">
        <w:rPr>
          <w:rFonts w:ascii="Times" w:hAnsi="Times"/>
          <w:szCs w:val="24"/>
        </w:rPr>
        <w:t>’</w:t>
      </w:r>
      <w:r w:rsidR="00D43FF8" w:rsidRPr="002A1C17">
        <w:rPr>
          <w:rFonts w:ascii="Times" w:hAnsi="Times"/>
          <w:szCs w:val="24"/>
        </w:rPr>
        <w:t>outre ses vertus intrinsèques de contribution à la légitimation de l</w:t>
      </w:r>
      <w:r w:rsidR="00D72851">
        <w:rPr>
          <w:rFonts w:ascii="Times" w:hAnsi="Times"/>
          <w:szCs w:val="24"/>
        </w:rPr>
        <w:t>’</w:t>
      </w:r>
      <w:r w:rsidR="00D43FF8" w:rsidRPr="002A1C17">
        <w:rPr>
          <w:rFonts w:ascii="Times" w:hAnsi="Times"/>
          <w:szCs w:val="24"/>
        </w:rPr>
        <w:t>institution qui les adopte, les procédures de renforcement de la transparence</w:t>
      </w:r>
      <w:r w:rsidR="00DC217E" w:rsidRPr="002A1C17">
        <w:rPr>
          <w:rFonts w:ascii="Times" w:hAnsi="Times"/>
          <w:szCs w:val="24"/>
        </w:rPr>
        <w:t xml:space="preserve"> peuvent être considérées comme</w:t>
      </w:r>
      <w:r w:rsidR="00D43FF8" w:rsidRPr="002A1C17">
        <w:rPr>
          <w:rFonts w:ascii="Times" w:hAnsi="Times"/>
          <w:szCs w:val="24"/>
        </w:rPr>
        <w:t xml:space="preserve"> vis</w:t>
      </w:r>
      <w:r w:rsidR="00DC217E" w:rsidRPr="002A1C17">
        <w:rPr>
          <w:rFonts w:ascii="Times" w:hAnsi="Times"/>
          <w:szCs w:val="24"/>
        </w:rPr>
        <w:t>a</w:t>
      </w:r>
      <w:r w:rsidR="00D43FF8" w:rsidRPr="002A1C17">
        <w:rPr>
          <w:rFonts w:ascii="Times" w:hAnsi="Times"/>
          <w:szCs w:val="24"/>
        </w:rPr>
        <w:t>nt également à donner l</w:t>
      </w:r>
      <w:r w:rsidR="00D72851">
        <w:rPr>
          <w:rFonts w:ascii="Times" w:hAnsi="Times"/>
          <w:szCs w:val="24"/>
        </w:rPr>
        <w:t>’</w:t>
      </w:r>
      <w:r w:rsidR="00D43FF8" w:rsidRPr="002A1C17">
        <w:rPr>
          <w:rFonts w:ascii="Times" w:hAnsi="Times"/>
          <w:szCs w:val="24"/>
        </w:rPr>
        <w:t>apparence d</w:t>
      </w:r>
      <w:r w:rsidR="00D72851">
        <w:rPr>
          <w:rFonts w:ascii="Times" w:hAnsi="Times"/>
          <w:szCs w:val="24"/>
        </w:rPr>
        <w:t>’</w:t>
      </w:r>
      <w:r w:rsidR="00D43FF8" w:rsidRPr="002A1C17">
        <w:rPr>
          <w:rFonts w:ascii="Times" w:hAnsi="Times"/>
          <w:szCs w:val="24"/>
        </w:rPr>
        <w:t>une plus grande légitimité – et l</w:t>
      </w:r>
      <w:r w:rsidR="00D72851">
        <w:rPr>
          <w:rFonts w:ascii="Times" w:hAnsi="Times"/>
          <w:szCs w:val="24"/>
        </w:rPr>
        <w:t>’</w:t>
      </w:r>
      <w:r w:rsidR="00D43FF8" w:rsidRPr="002A1C17">
        <w:rPr>
          <w:rFonts w:ascii="Times" w:hAnsi="Times"/>
          <w:szCs w:val="24"/>
        </w:rPr>
        <w:t xml:space="preserve">on se rapproche </w:t>
      </w:r>
      <w:r w:rsidR="00DC217E" w:rsidRPr="002A1C17">
        <w:rPr>
          <w:rFonts w:ascii="Times" w:hAnsi="Times"/>
          <w:szCs w:val="24"/>
        </w:rPr>
        <w:t xml:space="preserve">ici </w:t>
      </w:r>
      <w:r w:rsidR="00D43FF8" w:rsidRPr="002A1C17">
        <w:rPr>
          <w:rFonts w:ascii="Times" w:hAnsi="Times"/>
          <w:szCs w:val="24"/>
        </w:rPr>
        <w:t>de l</w:t>
      </w:r>
      <w:r w:rsidR="00D72851">
        <w:rPr>
          <w:rFonts w:ascii="Times" w:hAnsi="Times"/>
          <w:szCs w:val="24"/>
        </w:rPr>
        <w:t>’</w:t>
      </w:r>
      <w:r w:rsidR="00D43FF8" w:rsidRPr="002A1C17">
        <w:rPr>
          <w:rFonts w:ascii="Times" w:hAnsi="Times"/>
          <w:szCs w:val="24"/>
        </w:rPr>
        <w:t xml:space="preserve">idée de </w:t>
      </w:r>
      <w:r w:rsidR="004C2BB1" w:rsidRPr="002A1C17">
        <w:rPr>
          <w:rFonts w:ascii="Times" w:hAnsi="Times"/>
          <w:szCs w:val="24"/>
        </w:rPr>
        <w:t>« légitimation par la procédure »</w:t>
      </w:r>
      <w:r w:rsidR="00A71F58" w:rsidRPr="002A1C17">
        <w:rPr>
          <w:rStyle w:val="Appelnotedebasdep"/>
          <w:rFonts w:ascii="Times" w:hAnsi="Times"/>
          <w:szCs w:val="24"/>
        </w:rPr>
        <w:footnoteReference w:id="42"/>
      </w:r>
      <w:r w:rsidR="00D43FF8" w:rsidRPr="002A1C17">
        <w:rPr>
          <w:rFonts w:ascii="Times" w:hAnsi="Times"/>
          <w:szCs w:val="24"/>
        </w:rPr>
        <w:t xml:space="preserve"> chère à Luhmann.</w:t>
      </w:r>
    </w:p>
    <w:p w14:paraId="6C2346AE" w14:textId="77777777" w:rsidR="00D11C33" w:rsidRDefault="00D11C33" w:rsidP="00D11C33">
      <w:pPr>
        <w:spacing w:line="240" w:lineRule="auto"/>
        <w:jc w:val="both"/>
        <w:rPr>
          <w:rFonts w:ascii="Times" w:hAnsi="Times"/>
          <w:szCs w:val="24"/>
        </w:rPr>
      </w:pPr>
    </w:p>
    <w:p w14:paraId="205B5FFF" w14:textId="77777777" w:rsidR="004C2BB1" w:rsidRPr="002A1C17" w:rsidRDefault="004C2BB1" w:rsidP="00D11C33">
      <w:pPr>
        <w:spacing w:line="240" w:lineRule="auto"/>
        <w:jc w:val="center"/>
        <w:rPr>
          <w:rFonts w:ascii="Times" w:hAnsi="Times"/>
          <w:b/>
          <w:bCs/>
          <w:szCs w:val="24"/>
        </w:rPr>
      </w:pPr>
      <w:r w:rsidRPr="002A1C17">
        <w:rPr>
          <w:rFonts w:ascii="Times" w:hAnsi="Times"/>
          <w:b/>
          <w:bCs/>
          <w:szCs w:val="24"/>
        </w:rPr>
        <w:t>B. La légitimation de la normalisation privée par la revalorisation du rôle étatique</w:t>
      </w:r>
    </w:p>
    <w:p w14:paraId="6C7E8AEE" w14:textId="77777777" w:rsidR="004C2BB1" w:rsidRPr="002A1C17" w:rsidRDefault="004C2BB1" w:rsidP="00D11C33">
      <w:pPr>
        <w:spacing w:line="240" w:lineRule="auto"/>
        <w:jc w:val="both"/>
        <w:rPr>
          <w:rFonts w:ascii="Times" w:hAnsi="Times"/>
          <w:szCs w:val="24"/>
        </w:rPr>
      </w:pPr>
    </w:p>
    <w:p w14:paraId="4DA4CFBC" w14:textId="05A5BCF5" w:rsidR="00FB20FE" w:rsidRPr="002A1C17" w:rsidRDefault="00DC217E" w:rsidP="00D11C33">
      <w:pPr>
        <w:spacing w:line="240" w:lineRule="auto"/>
        <w:jc w:val="both"/>
        <w:rPr>
          <w:rFonts w:ascii="Times" w:hAnsi="Times"/>
          <w:szCs w:val="24"/>
        </w:rPr>
      </w:pPr>
      <w:r w:rsidRPr="002A1C17">
        <w:rPr>
          <w:rFonts w:ascii="Times" w:hAnsi="Times"/>
          <w:szCs w:val="24"/>
        </w:rPr>
        <w:t>Au-delà du développement plus ou moins spontané de « procédures » au sens où elles ont été définies, un élément apparaît</w:t>
      </w:r>
      <w:r w:rsidR="004C2BB1" w:rsidRPr="002A1C17">
        <w:rPr>
          <w:rFonts w:ascii="Times" w:hAnsi="Times"/>
          <w:szCs w:val="24"/>
        </w:rPr>
        <w:t xml:space="preserve"> central </w:t>
      </w:r>
      <w:r w:rsidRPr="002A1C17">
        <w:rPr>
          <w:rFonts w:ascii="Times" w:hAnsi="Times"/>
          <w:szCs w:val="24"/>
        </w:rPr>
        <w:t xml:space="preserve">dans leur </w:t>
      </w:r>
      <w:r w:rsidR="004C2BB1" w:rsidRPr="002A1C17">
        <w:rPr>
          <w:rFonts w:ascii="Times" w:hAnsi="Times"/>
          <w:szCs w:val="24"/>
        </w:rPr>
        <w:t>développement</w:t>
      </w:r>
      <w:r w:rsidRPr="002A1C17">
        <w:rPr>
          <w:rFonts w:ascii="Times" w:hAnsi="Times"/>
          <w:szCs w:val="24"/>
        </w:rPr>
        <w:t xml:space="preserve"> : </w:t>
      </w:r>
      <w:r w:rsidR="004C2BB1" w:rsidRPr="002A1C17">
        <w:rPr>
          <w:rFonts w:ascii="Times" w:hAnsi="Times"/>
          <w:szCs w:val="24"/>
        </w:rPr>
        <w:t>le rôle moteur de l</w:t>
      </w:r>
      <w:r w:rsidR="00D72851">
        <w:rPr>
          <w:rFonts w:ascii="Times" w:hAnsi="Times"/>
          <w:szCs w:val="24"/>
        </w:rPr>
        <w:t>’</w:t>
      </w:r>
      <w:r w:rsidR="004C2BB1" w:rsidRPr="002A1C17">
        <w:rPr>
          <w:rFonts w:ascii="Times" w:hAnsi="Times"/>
          <w:szCs w:val="24"/>
        </w:rPr>
        <w:t>État, individuellement ou collectivement par la voie des organisations internationales</w:t>
      </w:r>
      <w:r w:rsidRPr="002A1C17">
        <w:rPr>
          <w:rFonts w:ascii="Times" w:hAnsi="Times"/>
          <w:szCs w:val="24"/>
        </w:rPr>
        <w:t xml:space="preserve">, dans leur génération. La doctrine </w:t>
      </w:r>
      <w:r w:rsidR="004C2BB1" w:rsidRPr="002A1C17">
        <w:rPr>
          <w:rFonts w:ascii="Times" w:hAnsi="Times"/>
          <w:szCs w:val="24"/>
        </w:rPr>
        <w:t xml:space="preserve">du </w:t>
      </w:r>
      <w:r w:rsidR="004C2BB1" w:rsidRPr="002A1C17">
        <w:rPr>
          <w:rFonts w:ascii="Times" w:hAnsi="Times"/>
          <w:i/>
          <w:iCs/>
          <w:szCs w:val="24"/>
        </w:rPr>
        <w:t>GAL</w:t>
      </w:r>
      <w:r w:rsidR="004C2BB1" w:rsidRPr="002A1C17">
        <w:rPr>
          <w:rFonts w:ascii="Times" w:hAnsi="Times"/>
          <w:szCs w:val="24"/>
        </w:rPr>
        <w:t xml:space="preserve"> </w:t>
      </w:r>
      <w:r w:rsidRPr="002A1C17">
        <w:rPr>
          <w:rFonts w:ascii="Times" w:hAnsi="Times"/>
          <w:szCs w:val="24"/>
        </w:rPr>
        <w:t>s</w:t>
      </w:r>
      <w:r w:rsidR="00D72851">
        <w:rPr>
          <w:rFonts w:ascii="Times" w:hAnsi="Times"/>
          <w:szCs w:val="24"/>
        </w:rPr>
        <w:t>’</w:t>
      </w:r>
      <w:r w:rsidRPr="002A1C17">
        <w:rPr>
          <w:rFonts w:ascii="Times" w:hAnsi="Times"/>
          <w:szCs w:val="24"/>
        </w:rPr>
        <w:t xml:space="preserve">est </w:t>
      </w:r>
      <w:r w:rsidR="00FB20FE" w:rsidRPr="002A1C17">
        <w:rPr>
          <w:rFonts w:ascii="Times" w:hAnsi="Times"/>
          <w:szCs w:val="24"/>
        </w:rPr>
        <w:t>relativement peu intéressée à</w:t>
      </w:r>
      <w:r w:rsidRPr="002A1C17">
        <w:rPr>
          <w:rFonts w:ascii="Times" w:hAnsi="Times"/>
          <w:szCs w:val="24"/>
        </w:rPr>
        <w:t xml:space="preserve"> cette question, dans la </w:t>
      </w:r>
      <w:r w:rsidRPr="002A1C17">
        <w:rPr>
          <w:rFonts w:ascii="Times" w:hAnsi="Times"/>
          <w:szCs w:val="24"/>
        </w:rPr>
        <w:lastRenderedPageBreak/>
        <w:t xml:space="preserve">mesure où </w:t>
      </w:r>
      <w:r w:rsidR="00FB20FE" w:rsidRPr="002A1C17">
        <w:rPr>
          <w:rFonts w:ascii="Times" w:hAnsi="Times"/>
          <w:szCs w:val="24"/>
        </w:rPr>
        <w:t>l</w:t>
      </w:r>
      <w:r w:rsidRPr="002A1C17">
        <w:rPr>
          <w:rFonts w:ascii="Times" w:hAnsi="Times"/>
          <w:szCs w:val="24"/>
        </w:rPr>
        <w:t>e constat</w:t>
      </w:r>
      <w:r w:rsidR="00FB20FE" w:rsidRPr="002A1C17">
        <w:rPr>
          <w:rFonts w:ascii="Times" w:hAnsi="Times"/>
          <w:szCs w:val="24"/>
        </w:rPr>
        <w:t xml:space="preserve"> proposé</w:t>
      </w:r>
      <w:r w:rsidRPr="002A1C17">
        <w:rPr>
          <w:rFonts w:ascii="Times" w:hAnsi="Times"/>
          <w:szCs w:val="24"/>
        </w:rPr>
        <w:t xml:space="preserve"> semble en contradiction avec</w:t>
      </w:r>
      <w:r w:rsidR="004C2BB1" w:rsidRPr="002A1C17">
        <w:rPr>
          <w:rFonts w:ascii="Times" w:hAnsi="Times"/>
          <w:szCs w:val="24"/>
        </w:rPr>
        <w:t xml:space="preserve"> </w:t>
      </w:r>
      <w:r w:rsidRPr="002A1C17">
        <w:rPr>
          <w:rFonts w:ascii="Times" w:hAnsi="Times"/>
          <w:szCs w:val="24"/>
        </w:rPr>
        <w:t>l</w:t>
      </w:r>
      <w:r w:rsidR="00D72851">
        <w:rPr>
          <w:rFonts w:ascii="Times" w:hAnsi="Times"/>
          <w:szCs w:val="24"/>
        </w:rPr>
        <w:t>’</w:t>
      </w:r>
      <w:r w:rsidRPr="002A1C17">
        <w:rPr>
          <w:rFonts w:ascii="Times" w:hAnsi="Times"/>
          <w:szCs w:val="24"/>
        </w:rPr>
        <w:t xml:space="preserve">une des prémisses du projet, </w:t>
      </w:r>
      <w:r w:rsidR="004C2BB1" w:rsidRPr="002A1C17">
        <w:rPr>
          <w:rFonts w:ascii="Times" w:hAnsi="Times"/>
          <w:szCs w:val="24"/>
        </w:rPr>
        <w:t xml:space="preserve">selon laquelle le prisme étatique </w:t>
      </w:r>
      <w:r w:rsidRPr="002A1C17">
        <w:rPr>
          <w:rFonts w:ascii="Times" w:hAnsi="Times"/>
          <w:szCs w:val="24"/>
        </w:rPr>
        <w:t xml:space="preserve">– </w:t>
      </w:r>
      <w:r w:rsidR="004C2BB1" w:rsidRPr="002A1C17">
        <w:rPr>
          <w:rFonts w:ascii="Times" w:hAnsi="Times"/>
          <w:szCs w:val="24"/>
        </w:rPr>
        <w:t>comme</w:t>
      </w:r>
      <w:r w:rsidR="00FB20FE" w:rsidRPr="002A1C17">
        <w:rPr>
          <w:rFonts w:ascii="Times" w:hAnsi="Times"/>
          <w:szCs w:val="24"/>
        </w:rPr>
        <w:t xml:space="preserve"> strictement</w:t>
      </w:r>
      <w:r w:rsidR="004C2BB1" w:rsidRPr="002A1C17">
        <w:rPr>
          <w:rFonts w:ascii="Times" w:hAnsi="Times"/>
          <w:szCs w:val="24"/>
        </w:rPr>
        <w:t xml:space="preserve"> interétatique</w:t>
      </w:r>
      <w:r w:rsidRPr="002A1C17">
        <w:rPr>
          <w:rFonts w:ascii="Times" w:hAnsi="Times"/>
          <w:szCs w:val="24"/>
        </w:rPr>
        <w:t xml:space="preserve"> –</w:t>
      </w:r>
      <w:r w:rsidR="004C2BB1" w:rsidRPr="002A1C17">
        <w:rPr>
          <w:rFonts w:ascii="Times" w:hAnsi="Times"/>
          <w:szCs w:val="24"/>
        </w:rPr>
        <w:t xml:space="preserve"> </w:t>
      </w:r>
      <w:r w:rsidR="00FB20FE" w:rsidRPr="002A1C17">
        <w:rPr>
          <w:rFonts w:ascii="Times" w:hAnsi="Times"/>
          <w:szCs w:val="24"/>
        </w:rPr>
        <w:t>serait</w:t>
      </w:r>
      <w:r w:rsidR="004C2BB1" w:rsidRPr="002A1C17">
        <w:rPr>
          <w:rFonts w:ascii="Times" w:hAnsi="Times"/>
          <w:szCs w:val="24"/>
        </w:rPr>
        <w:t xml:space="preserve"> dépassé par la globalisation</w:t>
      </w:r>
      <w:r w:rsidRPr="002A1C17">
        <w:rPr>
          <w:rStyle w:val="Appelnotedebasdep"/>
          <w:rFonts w:ascii="Times" w:hAnsi="Times"/>
          <w:szCs w:val="24"/>
        </w:rPr>
        <w:footnoteReference w:id="43"/>
      </w:r>
      <w:r w:rsidR="004C2BB1" w:rsidRPr="002A1C17">
        <w:rPr>
          <w:rFonts w:ascii="Times" w:hAnsi="Times"/>
          <w:szCs w:val="24"/>
        </w:rPr>
        <w:t>.</w:t>
      </w:r>
      <w:r w:rsidR="00FB20FE" w:rsidRPr="002A1C17">
        <w:rPr>
          <w:rFonts w:ascii="Times" w:hAnsi="Times"/>
          <w:szCs w:val="24"/>
        </w:rPr>
        <w:t xml:space="preserve"> Pourtant, la figure étatique apparaît en filigrane dans le développement de toutes les normes citées et considérées comme relevant du droit administratif global.</w:t>
      </w:r>
    </w:p>
    <w:p w14:paraId="46C24221" w14:textId="77777777" w:rsidR="00C85592" w:rsidRPr="002A1C17" w:rsidRDefault="004C2BB1" w:rsidP="00D11C33">
      <w:pPr>
        <w:spacing w:line="240" w:lineRule="auto"/>
        <w:jc w:val="both"/>
        <w:rPr>
          <w:rFonts w:ascii="Times" w:hAnsi="Times"/>
          <w:szCs w:val="24"/>
        </w:rPr>
      </w:pPr>
      <w:r w:rsidRPr="002A1C17">
        <w:rPr>
          <w:rFonts w:ascii="Times" w:hAnsi="Times"/>
          <w:szCs w:val="24"/>
        </w:rPr>
        <w:t xml:space="preserve"> </w:t>
      </w:r>
    </w:p>
    <w:p w14:paraId="256FB5DF" w14:textId="6092B453" w:rsidR="00C85592" w:rsidRPr="002A1C17" w:rsidRDefault="00FB20FE" w:rsidP="00D11C33">
      <w:pPr>
        <w:spacing w:line="240" w:lineRule="auto"/>
        <w:jc w:val="both"/>
        <w:rPr>
          <w:rFonts w:ascii="Times" w:hAnsi="Times"/>
          <w:szCs w:val="24"/>
        </w:rPr>
      </w:pPr>
      <w:r w:rsidRPr="002A1C17">
        <w:rPr>
          <w:rFonts w:ascii="Times" w:hAnsi="Times"/>
          <w:szCs w:val="24"/>
        </w:rPr>
        <w:t xml:space="preserve">Il a en effet été précisé que </w:t>
      </w:r>
      <w:r w:rsidR="00C85592" w:rsidRPr="002A1C17">
        <w:rPr>
          <w:rFonts w:ascii="Times" w:hAnsi="Times"/>
          <w:szCs w:val="24"/>
        </w:rPr>
        <w:t>la mise en œuvre d</w:t>
      </w:r>
      <w:r w:rsidRPr="002A1C17">
        <w:rPr>
          <w:rFonts w:ascii="Times" w:hAnsi="Times"/>
          <w:szCs w:val="24"/>
        </w:rPr>
        <w:t>es</w:t>
      </w:r>
      <w:r w:rsidR="00C85592" w:rsidRPr="002A1C17">
        <w:rPr>
          <w:rFonts w:ascii="Times" w:hAnsi="Times"/>
          <w:szCs w:val="24"/>
        </w:rPr>
        <w:t xml:space="preserve"> nor</w:t>
      </w:r>
      <w:r w:rsidRPr="002A1C17">
        <w:rPr>
          <w:rFonts w:ascii="Times" w:hAnsi="Times"/>
          <w:szCs w:val="24"/>
        </w:rPr>
        <w:t>m</w:t>
      </w:r>
      <w:r w:rsidR="00C85592" w:rsidRPr="002A1C17">
        <w:rPr>
          <w:rFonts w:ascii="Times" w:hAnsi="Times"/>
          <w:szCs w:val="24"/>
        </w:rPr>
        <w:t>e</w:t>
      </w:r>
      <w:r w:rsidRPr="002A1C17">
        <w:rPr>
          <w:rFonts w:ascii="Times" w:hAnsi="Times"/>
          <w:szCs w:val="24"/>
        </w:rPr>
        <w:t>s</w:t>
      </w:r>
      <w:r w:rsidR="00C85592" w:rsidRPr="002A1C17">
        <w:rPr>
          <w:rFonts w:ascii="Times" w:hAnsi="Times"/>
          <w:szCs w:val="24"/>
        </w:rPr>
        <w:t xml:space="preserve"> de transparence, </w:t>
      </w:r>
      <w:r w:rsidRPr="002A1C17">
        <w:rPr>
          <w:rFonts w:ascii="Times" w:hAnsi="Times"/>
          <w:szCs w:val="24"/>
        </w:rPr>
        <w:t>bien qu</w:t>
      </w:r>
      <w:r w:rsidR="00D72851">
        <w:rPr>
          <w:rFonts w:ascii="Times" w:hAnsi="Times"/>
          <w:szCs w:val="24"/>
        </w:rPr>
        <w:t>’</w:t>
      </w:r>
      <w:r w:rsidR="00C85592" w:rsidRPr="002A1C17">
        <w:rPr>
          <w:rFonts w:ascii="Times" w:hAnsi="Times"/>
          <w:szCs w:val="24"/>
        </w:rPr>
        <w:t xml:space="preserve">interne aux organisations, </w:t>
      </w:r>
      <w:r w:rsidRPr="002A1C17">
        <w:rPr>
          <w:rFonts w:ascii="Times" w:hAnsi="Times"/>
          <w:szCs w:val="24"/>
        </w:rPr>
        <w:t xml:space="preserve">était souvent – sinon systématiquement – </w:t>
      </w:r>
      <w:r w:rsidR="00C85592" w:rsidRPr="002A1C17">
        <w:rPr>
          <w:rFonts w:ascii="Times" w:hAnsi="Times"/>
          <w:szCs w:val="24"/>
        </w:rPr>
        <w:t>influencée par des pressions juridiques externes. D</w:t>
      </w:r>
      <w:r w:rsidR="00D72851">
        <w:rPr>
          <w:rFonts w:ascii="Times" w:hAnsi="Times"/>
          <w:szCs w:val="24"/>
        </w:rPr>
        <w:t>’</w:t>
      </w:r>
      <w:r w:rsidR="00C85592" w:rsidRPr="002A1C17">
        <w:rPr>
          <w:rFonts w:ascii="Times" w:hAnsi="Times"/>
          <w:szCs w:val="24"/>
        </w:rPr>
        <w:t>un point de vue formel, les décisions de recourir à ces pratiques de transparence sont des résolutions et autres actes unilatéraux relevant de l</w:t>
      </w:r>
      <w:r w:rsidR="00D72851">
        <w:rPr>
          <w:rFonts w:ascii="Times" w:hAnsi="Times"/>
          <w:szCs w:val="24"/>
        </w:rPr>
        <w:t>’</w:t>
      </w:r>
      <w:r w:rsidR="00C85592" w:rsidRPr="002A1C17">
        <w:rPr>
          <w:rFonts w:ascii="Times" w:hAnsi="Times"/>
          <w:szCs w:val="24"/>
        </w:rPr>
        <w:t>ordre juridique interne de l</w:t>
      </w:r>
      <w:r w:rsidR="00D72851">
        <w:rPr>
          <w:rFonts w:ascii="Times" w:hAnsi="Times"/>
          <w:szCs w:val="24"/>
        </w:rPr>
        <w:t>’</w:t>
      </w:r>
      <w:r w:rsidR="00C85592" w:rsidRPr="002A1C17">
        <w:rPr>
          <w:rFonts w:ascii="Times" w:hAnsi="Times"/>
          <w:szCs w:val="24"/>
        </w:rPr>
        <w:t>entité globale</w:t>
      </w:r>
      <w:r w:rsidRPr="002A1C17">
        <w:rPr>
          <w:rStyle w:val="Appelnotedebasdep"/>
          <w:rFonts w:ascii="Times" w:hAnsi="Times"/>
          <w:szCs w:val="24"/>
        </w:rPr>
        <w:footnoteReference w:id="44"/>
      </w:r>
      <w:r w:rsidRPr="002A1C17">
        <w:rPr>
          <w:rFonts w:ascii="Times" w:hAnsi="Times"/>
          <w:szCs w:val="24"/>
        </w:rPr>
        <w:t xml:space="preserve">. Cependant, elles </w:t>
      </w:r>
      <w:r w:rsidR="00C85592" w:rsidRPr="002A1C17">
        <w:rPr>
          <w:rFonts w:ascii="Times" w:hAnsi="Times"/>
          <w:szCs w:val="24"/>
        </w:rPr>
        <w:t xml:space="preserve">constituent </w:t>
      </w:r>
      <w:r w:rsidR="00C8558E" w:rsidRPr="002A1C17">
        <w:rPr>
          <w:rFonts w:ascii="Times" w:hAnsi="Times"/>
          <w:szCs w:val="24"/>
        </w:rPr>
        <w:t xml:space="preserve">généralement </w:t>
      </w:r>
      <w:r w:rsidR="00C85592" w:rsidRPr="002A1C17">
        <w:rPr>
          <w:rFonts w:ascii="Times" w:hAnsi="Times"/>
          <w:szCs w:val="24"/>
        </w:rPr>
        <w:t>la réception matérielle de prétentions juridiques externes, formulées par des acteurs qui ne disposent</w:t>
      </w:r>
      <w:r w:rsidRPr="002A1C17">
        <w:rPr>
          <w:rFonts w:ascii="Times" w:hAnsi="Times"/>
          <w:szCs w:val="24"/>
        </w:rPr>
        <w:t>,</w:t>
      </w:r>
      <w:r w:rsidR="00C85592" w:rsidRPr="002A1C17">
        <w:rPr>
          <w:rFonts w:ascii="Times" w:hAnsi="Times"/>
          <w:szCs w:val="24"/>
        </w:rPr>
        <w:t xml:space="preserve"> juridiquement</w:t>
      </w:r>
      <w:r w:rsidRPr="002A1C17">
        <w:rPr>
          <w:rFonts w:ascii="Times" w:hAnsi="Times"/>
          <w:szCs w:val="24"/>
        </w:rPr>
        <w:t>,</w:t>
      </w:r>
      <w:r w:rsidR="00C85592" w:rsidRPr="002A1C17">
        <w:rPr>
          <w:rFonts w:ascii="Times" w:hAnsi="Times"/>
          <w:szCs w:val="24"/>
        </w:rPr>
        <w:t xml:space="preserve"> pas </w:t>
      </w:r>
      <w:r w:rsidR="00C8558E" w:rsidRPr="002A1C17">
        <w:rPr>
          <w:rFonts w:ascii="Times" w:hAnsi="Times"/>
          <w:szCs w:val="24"/>
        </w:rPr>
        <w:t>toujours</w:t>
      </w:r>
      <w:r w:rsidR="00C85592" w:rsidRPr="002A1C17">
        <w:rPr>
          <w:rFonts w:ascii="Times" w:hAnsi="Times"/>
          <w:szCs w:val="24"/>
        </w:rPr>
        <w:t xml:space="preserve"> de la compétence de contraindre l</w:t>
      </w:r>
      <w:r w:rsidR="00D72851">
        <w:rPr>
          <w:rFonts w:ascii="Times" w:hAnsi="Times"/>
          <w:szCs w:val="24"/>
        </w:rPr>
        <w:t>’</w:t>
      </w:r>
      <w:r w:rsidR="00C85592" w:rsidRPr="002A1C17">
        <w:rPr>
          <w:rFonts w:ascii="Times" w:hAnsi="Times"/>
          <w:szCs w:val="24"/>
        </w:rPr>
        <w:t>organisme de normalisation</w:t>
      </w:r>
      <w:r w:rsidR="00C8558E" w:rsidRPr="002A1C17">
        <w:rPr>
          <w:rFonts w:ascii="Times" w:hAnsi="Times"/>
          <w:szCs w:val="24"/>
        </w:rPr>
        <w:t>. Ainsi, les pressions sont parfois « diplomatiques », avec toutes les réserves s</w:t>
      </w:r>
      <w:r w:rsidR="00D72851">
        <w:rPr>
          <w:rFonts w:ascii="Times" w:hAnsi="Times"/>
          <w:szCs w:val="24"/>
        </w:rPr>
        <w:t>’</w:t>
      </w:r>
      <w:r w:rsidR="00C8558E" w:rsidRPr="002A1C17">
        <w:rPr>
          <w:rFonts w:ascii="Times" w:hAnsi="Times"/>
          <w:szCs w:val="24"/>
        </w:rPr>
        <w:t>imposant à l</w:t>
      </w:r>
      <w:r w:rsidR="00D72851">
        <w:rPr>
          <w:rFonts w:ascii="Times" w:hAnsi="Times"/>
          <w:szCs w:val="24"/>
        </w:rPr>
        <w:t>’</w:t>
      </w:r>
      <w:r w:rsidR="00C8558E" w:rsidRPr="002A1C17">
        <w:rPr>
          <w:rFonts w:ascii="Times" w:hAnsi="Times"/>
          <w:szCs w:val="24"/>
        </w:rPr>
        <w:t>emploi de ce terme pour qualifier des relations entre des États ou organisations internationales et des organismes privés.</w:t>
      </w:r>
    </w:p>
    <w:p w14:paraId="49A0E33C" w14:textId="77777777" w:rsidR="004C2BB1" w:rsidRPr="002A1C17" w:rsidRDefault="004C2BB1" w:rsidP="00D11C33">
      <w:pPr>
        <w:spacing w:line="240" w:lineRule="auto"/>
        <w:jc w:val="both"/>
        <w:rPr>
          <w:rFonts w:ascii="Times" w:hAnsi="Times"/>
          <w:szCs w:val="24"/>
        </w:rPr>
      </w:pPr>
    </w:p>
    <w:p w14:paraId="3C3A499E" w14:textId="76E505C1" w:rsidR="004C2BB1" w:rsidRPr="002A1C17" w:rsidRDefault="00C8558E" w:rsidP="00D11C33">
      <w:pPr>
        <w:spacing w:line="240" w:lineRule="auto"/>
        <w:jc w:val="both"/>
        <w:rPr>
          <w:rFonts w:ascii="Times" w:hAnsi="Times"/>
          <w:szCs w:val="24"/>
        </w:rPr>
      </w:pPr>
      <w:r w:rsidRPr="002A1C17">
        <w:rPr>
          <w:rFonts w:ascii="Times" w:hAnsi="Times"/>
          <w:szCs w:val="24"/>
        </w:rPr>
        <w:t>En ce qui concerne l</w:t>
      </w:r>
      <w:r w:rsidR="00D72851">
        <w:rPr>
          <w:rFonts w:ascii="Times" w:hAnsi="Times"/>
          <w:szCs w:val="24"/>
        </w:rPr>
        <w:t>’</w:t>
      </w:r>
      <w:r w:rsidRPr="002A1C17">
        <w:rPr>
          <w:rFonts w:ascii="Times" w:hAnsi="Times"/>
          <w:szCs w:val="24"/>
        </w:rPr>
        <w:t>ISO,</w:t>
      </w:r>
      <w:r w:rsidR="004C2BB1" w:rsidRPr="002A1C17">
        <w:rPr>
          <w:rFonts w:ascii="Times" w:hAnsi="Times"/>
          <w:szCs w:val="24"/>
        </w:rPr>
        <w:t xml:space="preserve"> </w:t>
      </w:r>
      <w:r w:rsidR="00B507FC" w:rsidRPr="002A1C17">
        <w:rPr>
          <w:rFonts w:ascii="Times" w:hAnsi="Times"/>
          <w:szCs w:val="24"/>
        </w:rPr>
        <w:t>l</w:t>
      </w:r>
      <w:r w:rsidR="00D72851">
        <w:rPr>
          <w:rFonts w:ascii="Times" w:hAnsi="Times"/>
          <w:szCs w:val="24"/>
        </w:rPr>
        <w:t>’</w:t>
      </w:r>
      <w:r w:rsidR="00B507FC" w:rsidRPr="002A1C17">
        <w:rPr>
          <w:rFonts w:ascii="Times" w:hAnsi="Times"/>
          <w:szCs w:val="24"/>
        </w:rPr>
        <w:t>on peut simplement rappeler qu</w:t>
      </w:r>
      <w:r w:rsidR="00D72851">
        <w:rPr>
          <w:rFonts w:ascii="Times" w:hAnsi="Times"/>
          <w:szCs w:val="24"/>
        </w:rPr>
        <w:t>’</w:t>
      </w:r>
      <w:r w:rsidR="004C2BB1" w:rsidRPr="002A1C17">
        <w:rPr>
          <w:rFonts w:ascii="Times" w:hAnsi="Times"/>
          <w:szCs w:val="24"/>
        </w:rPr>
        <w:t>il existe</w:t>
      </w:r>
      <w:r w:rsidR="0092496B" w:rsidRPr="002A1C17">
        <w:rPr>
          <w:rFonts w:ascii="Times" w:hAnsi="Times"/>
          <w:szCs w:val="24"/>
        </w:rPr>
        <w:t xml:space="preserve"> en France</w:t>
      </w:r>
      <w:r w:rsidR="004C2BB1" w:rsidRPr="002A1C17">
        <w:rPr>
          <w:rFonts w:ascii="Times" w:hAnsi="Times"/>
          <w:szCs w:val="24"/>
        </w:rPr>
        <w:t xml:space="preserve"> une procédure d</w:t>
      </w:r>
      <w:r w:rsidR="00D72851">
        <w:rPr>
          <w:rFonts w:ascii="Times" w:hAnsi="Times"/>
          <w:szCs w:val="24"/>
        </w:rPr>
        <w:t>’</w:t>
      </w:r>
      <w:r w:rsidR="004C2BB1" w:rsidRPr="002A1C17">
        <w:rPr>
          <w:rFonts w:ascii="Times" w:hAnsi="Times"/>
          <w:szCs w:val="24"/>
        </w:rPr>
        <w:t>homologation</w:t>
      </w:r>
      <w:r w:rsidR="0092496B" w:rsidRPr="002A1C17">
        <w:rPr>
          <w:rStyle w:val="Appelnotedebasdep"/>
          <w:rFonts w:ascii="Times" w:hAnsi="Times"/>
          <w:szCs w:val="24"/>
        </w:rPr>
        <w:footnoteReference w:id="45"/>
      </w:r>
      <w:r w:rsidR="004C2BB1" w:rsidRPr="002A1C17">
        <w:rPr>
          <w:rFonts w:ascii="Times" w:hAnsi="Times"/>
          <w:szCs w:val="24"/>
        </w:rPr>
        <w:t xml:space="preserve">, </w:t>
      </w:r>
      <w:r w:rsidR="0092496B" w:rsidRPr="002A1C17">
        <w:rPr>
          <w:rFonts w:ascii="Times" w:hAnsi="Times"/>
          <w:szCs w:val="24"/>
        </w:rPr>
        <w:t>laquelle</w:t>
      </w:r>
      <w:r w:rsidR="004C2BB1" w:rsidRPr="002A1C17">
        <w:rPr>
          <w:rFonts w:ascii="Times" w:hAnsi="Times"/>
          <w:szCs w:val="24"/>
        </w:rPr>
        <w:t xml:space="preserve"> implique un contrôle étatique</w:t>
      </w:r>
      <w:r w:rsidR="0092496B" w:rsidRPr="002A1C17">
        <w:rPr>
          <w:rFonts w:ascii="Times" w:hAnsi="Times"/>
          <w:szCs w:val="24"/>
        </w:rPr>
        <w:t xml:space="preserve"> et entraîne des conséquences – notamment la mise en ligne à titre gratuit des normes ISO rendues d</w:t>
      </w:r>
      <w:r w:rsidR="00D72851">
        <w:rPr>
          <w:rFonts w:ascii="Times" w:hAnsi="Times"/>
          <w:szCs w:val="24"/>
        </w:rPr>
        <w:t>’</w:t>
      </w:r>
      <w:r w:rsidR="0092496B" w:rsidRPr="002A1C17">
        <w:rPr>
          <w:rFonts w:ascii="Times" w:hAnsi="Times"/>
          <w:szCs w:val="24"/>
        </w:rPr>
        <w:t>application obligatoire</w:t>
      </w:r>
      <w:r w:rsidR="0092496B" w:rsidRPr="002A1C17">
        <w:rPr>
          <w:rStyle w:val="Appelnotedebasdep"/>
          <w:rFonts w:ascii="Times" w:hAnsi="Times"/>
          <w:szCs w:val="24"/>
        </w:rPr>
        <w:footnoteReference w:id="46"/>
      </w:r>
      <w:r w:rsidR="0092496B" w:rsidRPr="002A1C17">
        <w:rPr>
          <w:rFonts w:ascii="Times" w:hAnsi="Times"/>
          <w:szCs w:val="24"/>
        </w:rPr>
        <w:t>.</w:t>
      </w:r>
      <w:r w:rsidR="00253D42" w:rsidRPr="002A1C17">
        <w:rPr>
          <w:rFonts w:ascii="Times" w:hAnsi="Times"/>
          <w:szCs w:val="24"/>
        </w:rPr>
        <w:t xml:space="preserve"> </w:t>
      </w:r>
      <w:r w:rsidR="00253D42" w:rsidRPr="002A1C17">
        <w:rPr>
          <w:rFonts w:ascii="Times" w:hAnsi="Times"/>
          <w:szCs w:val="24"/>
        </w:rPr>
        <w:t>S</w:t>
      </w:r>
      <w:r w:rsidR="00D72851">
        <w:rPr>
          <w:rFonts w:ascii="Times" w:hAnsi="Times"/>
          <w:szCs w:val="24"/>
        </w:rPr>
        <w:t>’</w:t>
      </w:r>
      <w:r w:rsidR="00253D42" w:rsidRPr="002A1C17">
        <w:rPr>
          <w:rFonts w:ascii="Times" w:hAnsi="Times"/>
          <w:szCs w:val="24"/>
        </w:rPr>
        <w:t>agissant de l</w:t>
      </w:r>
      <w:r w:rsidR="00D72851">
        <w:rPr>
          <w:rFonts w:ascii="Times" w:hAnsi="Times"/>
          <w:szCs w:val="24"/>
        </w:rPr>
        <w:t>’</w:t>
      </w:r>
      <w:r w:rsidR="00253D42" w:rsidRPr="002A1C17">
        <w:rPr>
          <w:rFonts w:ascii="Times" w:hAnsi="Times"/>
          <w:szCs w:val="24"/>
        </w:rPr>
        <w:t>IASB,</w:t>
      </w:r>
      <w:r w:rsidR="004C2BB1" w:rsidRPr="002A1C17">
        <w:rPr>
          <w:rFonts w:ascii="Times" w:hAnsi="Times"/>
          <w:szCs w:val="24"/>
        </w:rPr>
        <w:t xml:space="preserve"> </w:t>
      </w:r>
      <w:r w:rsidR="002A1C17">
        <w:rPr>
          <w:rFonts w:ascii="Times" w:hAnsi="Times"/>
          <w:szCs w:val="24"/>
        </w:rPr>
        <w:t>une homologation est assurée par l</w:t>
      </w:r>
      <w:r w:rsidR="00D72851">
        <w:rPr>
          <w:rFonts w:ascii="Times" w:hAnsi="Times"/>
          <w:szCs w:val="24"/>
        </w:rPr>
        <w:t>’</w:t>
      </w:r>
      <w:r w:rsidR="002A1C17">
        <w:rPr>
          <w:rFonts w:ascii="Times" w:hAnsi="Times"/>
          <w:szCs w:val="24"/>
        </w:rPr>
        <w:t xml:space="preserve">Union européenne – le rôle étatique étant alors </w:t>
      </w:r>
      <w:r w:rsidR="008F5593">
        <w:rPr>
          <w:rFonts w:ascii="Times" w:hAnsi="Times"/>
          <w:szCs w:val="24"/>
        </w:rPr>
        <w:t xml:space="preserve">assumé de façon </w:t>
      </w:r>
      <w:r w:rsidR="002A1C17">
        <w:rPr>
          <w:rFonts w:ascii="Times" w:hAnsi="Times"/>
          <w:szCs w:val="24"/>
        </w:rPr>
        <w:t>collecti</w:t>
      </w:r>
      <w:r w:rsidR="008F5593">
        <w:rPr>
          <w:rFonts w:ascii="Times" w:hAnsi="Times"/>
          <w:szCs w:val="24"/>
        </w:rPr>
        <w:t>ve</w:t>
      </w:r>
      <w:r w:rsidR="002A1C17">
        <w:rPr>
          <w:rFonts w:ascii="Times" w:hAnsi="Times"/>
          <w:szCs w:val="24"/>
        </w:rPr>
        <w:t>. Conformément à cette procédure spécifique, t</w:t>
      </w:r>
      <w:r w:rsidR="007135AA" w:rsidRPr="002A1C17">
        <w:rPr>
          <w:rFonts w:ascii="Times" w:hAnsi="Times"/>
          <w:szCs w:val="24"/>
        </w:rPr>
        <w:t>oute norme comptable susceptible d</w:t>
      </w:r>
      <w:r w:rsidR="00D72851">
        <w:rPr>
          <w:rFonts w:ascii="Times" w:hAnsi="Times"/>
          <w:szCs w:val="24"/>
        </w:rPr>
        <w:t>’</w:t>
      </w:r>
      <w:r w:rsidR="007135AA" w:rsidRPr="002A1C17">
        <w:rPr>
          <w:rFonts w:ascii="Times" w:hAnsi="Times"/>
          <w:szCs w:val="24"/>
        </w:rPr>
        <w:t>être intégrée dans le droit de l</w:t>
      </w:r>
      <w:r w:rsidR="00D72851">
        <w:rPr>
          <w:rFonts w:ascii="Times" w:hAnsi="Times"/>
          <w:szCs w:val="24"/>
        </w:rPr>
        <w:t>’</w:t>
      </w:r>
      <w:r w:rsidR="007135AA" w:rsidRPr="002A1C17">
        <w:rPr>
          <w:rFonts w:ascii="Times" w:hAnsi="Times"/>
          <w:szCs w:val="24"/>
        </w:rPr>
        <w:t>Union européenne fait l</w:t>
      </w:r>
      <w:r w:rsidR="00D72851">
        <w:rPr>
          <w:rFonts w:ascii="Times" w:hAnsi="Times"/>
          <w:szCs w:val="24"/>
        </w:rPr>
        <w:t>’</w:t>
      </w:r>
      <w:r w:rsidR="007135AA" w:rsidRPr="002A1C17">
        <w:rPr>
          <w:rFonts w:ascii="Times" w:hAnsi="Times"/>
          <w:szCs w:val="24"/>
        </w:rPr>
        <w:t>objet d</w:t>
      </w:r>
      <w:r w:rsidR="00D72851">
        <w:rPr>
          <w:rFonts w:ascii="Times" w:hAnsi="Times"/>
          <w:szCs w:val="24"/>
        </w:rPr>
        <w:t>’</w:t>
      </w:r>
      <w:r w:rsidR="007135AA" w:rsidRPr="002A1C17">
        <w:rPr>
          <w:rFonts w:ascii="Times" w:hAnsi="Times"/>
          <w:szCs w:val="24"/>
        </w:rPr>
        <w:t>un avis de l</w:t>
      </w:r>
      <w:r w:rsidR="00D72851">
        <w:rPr>
          <w:rFonts w:ascii="Times" w:hAnsi="Times"/>
          <w:szCs w:val="24"/>
        </w:rPr>
        <w:t>’</w:t>
      </w:r>
      <w:r w:rsidR="004C2BB1" w:rsidRPr="002A1C17">
        <w:rPr>
          <w:rFonts w:ascii="Times" w:hAnsi="Times"/>
          <w:i/>
          <w:iCs/>
          <w:szCs w:val="24"/>
        </w:rPr>
        <w:t xml:space="preserve">European Financial Reporting Advisory Group </w:t>
      </w:r>
      <w:r w:rsidR="004C2BB1" w:rsidRPr="002A1C17">
        <w:rPr>
          <w:rFonts w:ascii="Times" w:hAnsi="Times"/>
          <w:szCs w:val="24"/>
        </w:rPr>
        <w:t xml:space="preserve">(EFRAG), créé </w:t>
      </w:r>
      <w:r w:rsidR="00253D42" w:rsidRPr="002A1C17">
        <w:rPr>
          <w:rFonts w:ascii="Times" w:hAnsi="Times"/>
          <w:szCs w:val="24"/>
        </w:rPr>
        <w:t>dès 2001. Conseiller</w:t>
      </w:r>
      <w:r w:rsidR="004C2BB1" w:rsidRPr="002A1C17">
        <w:rPr>
          <w:rFonts w:ascii="Times" w:hAnsi="Times"/>
          <w:szCs w:val="24"/>
        </w:rPr>
        <w:t xml:space="preserve"> technique auprès de la Commission européenne pour la validation des normes de l</w:t>
      </w:r>
      <w:r w:rsidR="00D72851">
        <w:rPr>
          <w:rFonts w:ascii="Times" w:hAnsi="Times"/>
          <w:szCs w:val="24"/>
        </w:rPr>
        <w:t>’</w:t>
      </w:r>
      <w:r w:rsidR="004C2BB1" w:rsidRPr="002A1C17">
        <w:rPr>
          <w:rFonts w:ascii="Times" w:hAnsi="Times"/>
          <w:szCs w:val="24"/>
        </w:rPr>
        <w:t>IASB par l</w:t>
      </w:r>
      <w:r w:rsidR="00D72851">
        <w:rPr>
          <w:rFonts w:ascii="Times" w:hAnsi="Times"/>
          <w:szCs w:val="24"/>
        </w:rPr>
        <w:t>’</w:t>
      </w:r>
      <w:r w:rsidR="00253D42" w:rsidRPr="002A1C17">
        <w:rPr>
          <w:rFonts w:ascii="Times" w:hAnsi="Times"/>
          <w:szCs w:val="24"/>
        </w:rPr>
        <w:t>Union européenne,</w:t>
      </w:r>
      <w:r w:rsidR="004C2BB1" w:rsidRPr="002A1C17">
        <w:rPr>
          <w:rFonts w:ascii="Times" w:hAnsi="Times"/>
          <w:szCs w:val="24"/>
        </w:rPr>
        <w:t xml:space="preserve"> </w:t>
      </w:r>
      <w:r w:rsidR="00253D42" w:rsidRPr="002A1C17">
        <w:rPr>
          <w:rFonts w:ascii="Times" w:hAnsi="Times"/>
          <w:szCs w:val="24"/>
        </w:rPr>
        <w:t>l</w:t>
      </w:r>
      <w:r w:rsidR="00D72851">
        <w:rPr>
          <w:rFonts w:ascii="Times" w:hAnsi="Times"/>
          <w:szCs w:val="24"/>
        </w:rPr>
        <w:t>’</w:t>
      </w:r>
      <w:r w:rsidR="004C2BB1" w:rsidRPr="002A1C17">
        <w:rPr>
          <w:rFonts w:ascii="Times" w:hAnsi="Times"/>
          <w:szCs w:val="24"/>
        </w:rPr>
        <w:t>EFRAG n</w:t>
      </w:r>
      <w:r w:rsidR="00D72851">
        <w:rPr>
          <w:rFonts w:ascii="Times" w:hAnsi="Times"/>
          <w:szCs w:val="24"/>
        </w:rPr>
        <w:t>’</w:t>
      </w:r>
      <w:r w:rsidR="004C2BB1" w:rsidRPr="002A1C17">
        <w:rPr>
          <w:rFonts w:ascii="Times" w:hAnsi="Times"/>
          <w:szCs w:val="24"/>
        </w:rPr>
        <w:t>a</w:t>
      </w:r>
      <w:r w:rsidR="00723265">
        <w:rPr>
          <w:rFonts w:ascii="Times" w:hAnsi="Times"/>
          <w:szCs w:val="24"/>
        </w:rPr>
        <w:t xml:space="preserve"> </w:t>
      </w:r>
      <w:r w:rsidR="004C2BB1" w:rsidRPr="002A1C17">
        <w:rPr>
          <w:rFonts w:ascii="Times" w:hAnsi="Times"/>
          <w:szCs w:val="24"/>
        </w:rPr>
        <w:t xml:space="preserve">été institué </w:t>
      </w:r>
      <w:r w:rsidR="00723265">
        <w:rPr>
          <w:rFonts w:ascii="Times" w:hAnsi="Times"/>
          <w:szCs w:val="24"/>
        </w:rPr>
        <w:t xml:space="preserve">ni </w:t>
      </w:r>
      <w:r w:rsidR="004C2BB1" w:rsidRPr="002A1C17">
        <w:rPr>
          <w:rFonts w:ascii="Times" w:hAnsi="Times"/>
          <w:szCs w:val="24"/>
        </w:rPr>
        <w:t>par l</w:t>
      </w:r>
      <w:r w:rsidR="00D72851">
        <w:rPr>
          <w:rFonts w:ascii="Times" w:hAnsi="Times"/>
          <w:szCs w:val="24"/>
        </w:rPr>
        <w:t>’</w:t>
      </w:r>
      <w:r w:rsidR="004C2BB1" w:rsidRPr="002A1C17">
        <w:rPr>
          <w:rFonts w:ascii="Times" w:hAnsi="Times"/>
          <w:szCs w:val="24"/>
        </w:rPr>
        <w:t>IASB </w:t>
      </w:r>
      <w:r w:rsidR="00723265">
        <w:rPr>
          <w:rFonts w:ascii="Times" w:hAnsi="Times"/>
          <w:szCs w:val="24"/>
        </w:rPr>
        <w:t>ni par l</w:t>
      </w:r>
      <w:r w:rsidR="00D72851">
        <w:rPr>
          <w:rFonts w:ascii="Times" w:hAnsi="Times"/>
          <w:szCs w:val="24"/>
        </w:rPr>
        <w:t>’</w:t>
      </w:r>
      <w:r w:rsidR="00723265">
        <w:rPr>
          <w:rFonts w:ascii="Times" w:hAnsi="Times"/>
          <w:szCs w:val="24"/>
        </w:rPr>
        <w:t xml:space="preserve">Union européenne </w:t>
      </w:r>
      <w:r w:rsidR="004C2BB1" w:rsidRPr="002A1C17">
        <w:rPr>
          <w:rFonts w:ascii="Times" w:hAnsi="Times"/>
          <w:szCs w:val="24"/>
        </w:rPr>
        <w:t xml:space="preserve">: </w:t>
      </w:r>
      <w:r w:rsidR="00253D42" w:rsidRPr="002A1C17">
        <w:rPr>
          <w:rFonts w:ascii="Times" w:hAnsi="Times"/>
          <w:szCs w:val="24"/>
        </w:rPr>
        <w:t>il s</w:t>
      </w:r>
      <w:r w:rsidR="00D72851">
        <w:rPr>
          <w:rFonts w:ascii="Times" w:hAnsi="Times"/>
          <w:szCs w:val="24"/>
        </w:rPr>
        <w:t>’</w:t>
      </w:r>
      <w:r w:rsidR="00253D42" w:rsidRPr="002A1C17">
        <w:rPr>
          <w:rFonts w:ascii="Times" w:hAnsi="Times"/>
          <w:szCs w:val="24"/>
        </w:rPr>
        <w:t>agit</w:t>
      </w:r>
      <w:r w:rsidR="004C2BB1" w:rsidRPr="002A1C17">
        <w:rPr>
          <w:rFonts w:ascii="Times" w:hAnsi="Times"/>
          <w:szCs w:val="24"/>
        </w:rPr>
        <w:t xml:space="preserve"> une association indépendante de </w:t>
      </w:r>
      <w:r w:rsidR="004C2BB1" w:rsidRPr="002A1C17">
        <w:rPr>
          <w:rFonts w:ascii="Times" w:hAnsi="Times"/>
          <w:szCs w:val="24"/>
        </w:rPr>
        <w:t>droit belge</w:t>
      </w:r>
      <w:r w:rsidR="00253D42" w:rsidRPr="002A1C17">
        <w:rPr>
          <w:rFonts w:ascii="Times" w:hAnsi="Times"/>
          <w:szCs w:val="24"/>
        </w:rPr>
        <w:t>,</w:t>
      </w:r>
      <w:r w:rsidR="004C2BB1" w:rsidRPr="002A1C17">
        <w:rPr>
          <w:rFonts w:ascii="Times" w:hAnsi="Times"/>
          <w:szCs w:val="24"/>
        </w:rPr>
        <w:t xml:space="preserve"> dont la création a été très fortement encouragée par la Commission européenne</w:t>
      </w:r>
      <w:r w:rsidR="000230D3">
        <w:rPr>
          <w:rFonts w:ascii="Times" w:hAnsi="Times"/>
          <w:szCs w:val="24"/>
        </w:rPr>
        <w:t xml:space="preserve"> – qui le finance</w:t>
      </w:r>
      <w:r w:rsidR="004C2BB1" w:rsidRPr="002A1C17">
        <w:rPr>
          <w:rFonts w:ascii="Times" w:hAnsi="Times"/>
          <w:szCs w:val="24"/>
        </w:rPr>
        <w:t xml:space="preserve">. Ce Groupe consultatif </w:t>
      </w:r>
      <w:r w:rsidR="004C2BB1" w:rsidRPr="002A1C17">
        <w:rPr>
          <w:rFonts w:ascii="Times" w:hAnsi="Times"/>
          <w:szCs w:val="24"/>
        </w:rPr>
        <w:lastRenderedPageBreak/>
        <w:t>européen sur l</w:t>
      </w:r>
      <w:r w:rsidR="00D72851">
        <w:rPr>
          <w:rFonts w:ascii="Times" w:hAnsi="Times"/>
          <w:szCs w:val="24"/>
        </w:rPr>
        <w:t>’</w:t>
      </w:r>
      <w:r w:rsidR="004C2BB1" w:rsidRPr="002A1C17">
        <w:rPr>
          <w:rFonts w:ascii="Times" w:hAnsi="Times"/>
          <w:szCs w:val="24"/>
        </w:rPr>
        <w:t xml:space="preserve">information financière comprend les diverses autorités étatiques relatives à la normalisation comptable </w:t>
      </w:r>
      <w:r w:rsidR="00253D42" w:rsidRPr="002A1C17">
        <w:rPr>
          <w:rFonts w:ascii="Times" w:hAnsi="Times"/>
          <w:szCs w:val="24"/>
        </w:rPr>
        <w:t>ainsi que</w:t>
      </w:r>
      <w:r w:rsidR="004C2BB1" w:rsidRPr="002A1C17">
        <w:rPr>
          <w:rFonts w:ascii="Times" w:hAnsi="Times"/>
          <w:szCs w:val="24"/>
        </w:rPr>
        <w:t xml:space="preserve"> des </w:t>
      </w:r>
      <w:r w:rsidR="004C2BB1" w:rsidRPr="002A1C17">
        <w:rPr>
          <w:rFonts w:ascii="Times" w:hAnsi="Times"/>
          <w:i/>
          <w:iCs/>
          <w:szCs w:val="24"/>
        </w:rPr>
        <w:t>stakeholder</w:t>
      </w:r>
      <w:r w:rsidR="008F5593">
        <w:rPr>
          <w:rFonts w:ascii="Times" w:hAnsi="Times"/>
          <w:i/>
          <w:iCs/>
          <w:szCs w:val="24"/>
        </w:rPr>
        <w:t>s</w:t>
      </w:r>
      <w:r w:rsidR="004C2BB1" w:rsidRPr="002A1C17">
        <w:rPr>
          <w:rFonts w:ascii="Times" w:hAnsi="Times"/>
          <w:szCs w:val="24"/>
        </w:rPr>
        <w:t xml:space="preserve"> européens, et siège au sein de l</w:t>
      </w:r>
      <w:r w:rsidR="00D72851">
        <w:rPr>
          <w:rFonts w:ascii="Times" w:hAnsi="Times"/>
          <w:szCs w:val="24"/>
        </w:rPr>
        <w:t>’</w:t>
      </w:r>
      <w:r w:rsidR="004C2BB1" w:rsidRPr="002A1C17">
        <w:rPr>
          <w:rFonts w:ascii="Times" w:hAnsi="Times"/>
          <w:szCs w:val="24"/>
        </w:rPr>
        <w:t xml:space="preserve">ASAF, le </w:t>
      </w:r>
      <w:r w:rsidR="004C2BB1" w:rsidRPr="002A1C17">
        <w:rPr>
          <w:rFonts w:ascii="Times" w:hAnsi="Times"/>
          <w:i/>
          <w:iCs/>
          <w:szCs w:val="24"/>
        </w:rPr>
        <w:t>forum</w:t>
      </w:r>
      <w:r w:rsidR="004C2BB1" w:rsidRPr="002A1C17">
        <w:rPr>
          <w:rFonts w:ascii="Times" w:hAnsi="Times"/>
          <w:szCs w:val="24"/>
        </w:rPr>
        <w:t xml:space="preserve"> consultatif relais auprès du </w:t>
      </w:r>
      <w:r w:rsidR="004C2BB1" w:rsidRPr="002A1C17">
        <w:rPr>
          <w:rFonts w:ascii="Times" w:hAnsi="Times"/>
          <w:i/>
          <w:iCs/>
          <w:szCs w:val="24"/>
        </w:rPr>
        <w:t>Board</w:t>
      </w:r>
      <w:r w:rsidR="004C2BB1" w:rsidRPr="002A1C17">
        <w:rPr>
          <w:rFonts w:ascii="Times" w:hAnsi="Times"/>
          <w:szCs w:val="24"/>
        </w:rPr>
        <w:t xml:space="preserve"> de l</w:t>
      </w:r>
      <w:r w:rsidR="00D72851">
        <w:rPr>
          <w:rFonts w:ascii="Times" w:hAnsi="Times"/>
          <w:szCs w:val="24"/>
        </w:rPr>
        <w:t>’</w:t>
      </w:r>
      <w:r w:rsidR="004C2BB1" w:rsidRPr="002A1C17">
        <w:rPr>
          <w:rFonts w:ascii="Times" w:hAnsi="Times"/>
          <w:szCs w:val="24"/>
        </w:rPr>
        <w:t>IASB.</w:t>
      </w:r>
      <w:r w:rsidR="00253D42" w:rsidRPr="002A1C17">
        <w:rPr>
          <w:rFonts w:ascii="Times" w:hAnsi="Times"/>
          <w:szCs w:val="24"/>
        </w:rPr>
        <w:t xml:space="preserve"> Néanmoins</w:t>
      </w:r>
      <w:r w:rsidR="00642F05" w:rsidRPr="002A1C17">
        <w:rPr>
          <w:rFonts w:ascii="Times" w:hAnsi="Times"/>
          <w:szCs w:val="24"/>
        </w:rPr>
        <w:t>, quand bien même des entités publiques y siègent et bien qu</w:t>
      </w:r>
      <w:r w:rsidR="00D72851">
        <w:rPr>
          <w:rFonts w:ascii="Times" w:hAnsi="Times"/>
          <w:szCs w:val="24"/>
        </w:rPr>
        <w:t>’</w:t>
      </w:r>
      <w:r w:rsidR="00642F05" w:rsidRPr="002A1C17">
        <w:rPr>
          <w:rFonts w:ascii="Times" w:hAnsi="Times"/>
          <w:szCs w:val="24"/>
        </w:rPr>
        <w:t>il se positionne sur la question de savoir si l</w:t>
      </w:r>
      <w:r w:rsidR="00D72851">
        <w:rPr>
          <w:rFonts w:ascii="Times" w:hAnsi="Times"/>
          <w:szCs w:val="24"/>
        </w:rPr>
        <w:t>’</w:t>
      </w:r>
      <w:r w:rsidR="00642F05" w:rsidRPr="002A1C17">
        <w:rPr>
          <w:rFonts w:ascii="Times" w:hAnsi="Times"/>
          <w:szCs w:val="24"/>
        </w:rPr>
        <w:t>introduction de la norme étudiée dans le droit de l</w:t>
      </w:r>
      <w:r w:rsidR="00D72851">
        <w:rPr>
          <w:rFonts w:ascii="Times" w:hAnsi="Times"/>
          <w:szCs w:val="24"/>
        </w:rPr>
        <w:t>’</w:t>
      </w:r>
      <w:r w:rsidR="00642F05" w:rsidRPr="002A1C17">
        <w:rPr>
          <w:rFonts w:ascii="Times" w:hAnsi="Times"/>
          <w:szCs w:val="24"/>
        </w:rPr>
        <w:t>Union, y compris en vérifiant que l</w:t>
      </w:r>
      <w:r w:rsidR="00D72851">
        <w:rPr>
          <w:rFonts w:ascii="Times" w:hAnsi="Times"/>
          <w:szCs w:val="24"/>
        </w:rPr>
        <w:t>’</w:t>
      </w:r>
      <w:r w:rsidR="00642F05" w:rsidRPr="002A1C17">
        <w:rPr>
          <w:rFonts w:ascii="Times" w:hAnsi="Times"/>
          <w:szCs w:val="24"/>
        </w:rPr>
        <w:t>intégration de la norme s</w:t>
      </w:r>
      <w:r w:rsidR="00D72851">
        <w:rPr>
          <w:rFonts w:ascii="Times" w:hAnsi="Times"/>
          <w:szCs w:val="24"/>
        </w:rPr>
        <w:t>’</w:t>
      </w:r>
      <w:r w:rsidR="00642F05" w:rsidRPr="002A1C17">
        <w:rPr>
          <w:rFonts w:ascii="Times" w:hAnsi="Times"/>
          <w:szCs w:val="24"/>
        </w:rPr>
        <w:t>inscrit dans l</w:t>
      </w:r>
      <w:r w:rsidR="00D72851">
        <w:rPr>
          <w:rFonts w:ascii="Times" w:hAnsi="Times"/>
          <w:szCs w:val="24"/>
        </w:rPr>
        <w:t>’</w:t>
      </w:r>
      <w:r w:rsidR="00642F05" w:rsidRPr="002A1C17">
        <w:rPr>
          <w:rFonts w:ascii="Times" w:hAnsi="Times"/>
          <w:szCs w:val="24"/>
        </w:rPr>
        <w:t>intérêt général européen</w:t>
      </w:r>
      <w:r w:rsidR="00253D42" w:rsidRPr="002A1C17">
        <w:rPr>
          <w:rFonts w:ascii="Times" w:hAnsi="Times"/>
          <w:szCs w:val="24"/>
        </w:rPr>
        <w:t>,</w:t>
      </w:r>
      <w:r w:rsidR="004C2BB1" w:rsidRPr="002A1C17">
        <w:rPr>
          <w:rFonts w:ascii="Times" w:hAnsi="Times"/>
          <w:szCs w:val="24"/>
        </w:rPr>
        <w:t xml:space="preserve"> l</w:t>
      </w:r>
      <w:r w:rsidR="00D72851">
        <w:rPr>
          <w:rFonts w:ascii="Times" w:hAnsi="Times"/>
          <w:szCs w:val="24"/>
        </w:rPr>
        <w:t>’</w:t>
      </w:r>
      <w:r w:rsidR="004C2BB1" w:rsidRPr="002A1C17">
        <w:rPr>
          <w:rFonts w:ascii="Times" w:hAnsi="Times"/>
          <w:szCs w:val="24"/>
        </w:rPr>
        <w:t xml:space="preserve">EFRAG </w:t>
      </w:r>
      <w:r w:rsidR="00253D42" w:rsidRPr="002A1C17">
        <w:rPr>
          <w:rFonts w:ascii="Times" w:hAnsi="Times"/>
          <w:szCs w:val="24"/>
        </w:rPr>
        <w:t>demeure</w:t>
      </w:r>
      <w:r w:rsidR="004C2BB1" w:rsidRPr="002A1C17">
        <w:rPr>
          <w:rFonts w:ascii="Times" w:hAnsi="Times"/>
          <w:szCs w:val="24"/>
        </w:rPr>
        <w:t xml:space="preserve"> un organisme privé. </w:t>
      </w:r>
      <w:r w:rsidR="00253D42" w:rsidRPr="002A1C17">
        <w:rPr>
          <w:rFonts w:ascii="Times" w:hAnsi="Times"/>
          <w:szCs w:val="24"/>
        </w:rPr>
        <w:t>Afin de résoudre cette nouvelle difficulté,</w:t>
      </w:r>
      <w:r w:rsidR="004C2BB1" w:rsidRPr="002A1C17">
        <w:rPr>
          <w:rFonts w:ascii="Times" w:hAnsi="Times"/>
          <w:szCs w:val="24"/>
        </w:rPr>
        <w:t xml:space="preserve"> l</w:t>
      </w:r>
      <w:r w:rsidR="00D72851">
        <w:rPr>
          <w:rFonts w:ascii="Times" w:hAnsi="Times"/>
          <w:szCs w:val="24"/>
        </w:rPr>
        <w:t>’</w:t>
      </w:r>
      <w:r w:rsidR="004C2BB1" w:rsidRPr="002A1C17">
        <w:rPr>
          <w:rFonts w:ascii="Times" w:hAnsi="Times"/>
          <w:szCs w:val="24"/>
        </w:rPr>
        <w:t>Union</w:t>
      </w:r>
      <w:r w:rsidR="00253D42" w:rsidRPr="002A1C17">
        <w:rPr>
          <w:rFonts w:ascii="Times" w:hAnsi="Times"/>
          <w:szCs w:val="24"/>
        </w:rPr>
        <w:t xml:space="preserve"> européenne</w:t>
      </w:r>
      <w:r w:rsidR="004C2BB1" w:rsidRPr="002A1C17">
        <w:rPr>
          <w:rFonts w:ascii="Times" w:hAnsi="Times"/>
          <w:szCs w:val="24"/>
        </w:rPr>
        <w:t xml:space="preserve"> a créé</w:t>
      </w:r>
      <w:r w:rsidR="008B5549" w:rsidRPr="002A1C17">
        <w:rPr>
          <w:rFonts w:ascii="Times" w:hAnsi="Times"/>
          <w:szCs w:val="24"/>
        </w:rPr>
        <w:t xml:space="preserve"> en 2006</w:t>
      </w:r>
      <w:r w:rsidR="004C2BB1" w:rsidRPr="002A1C17">
        <w:rPr>
          <w:rFonts w:ascii="Times" w:hAnsi="Times"/>
          <w:szCs w:val="24"/>
        </w:rPr>
        <w:t xml:space="preserve"> le SARG (</w:t>
      </w:r>
      <w:r w:rsidR="004C2BB1" w:rsidRPr="002A1C17">
        <w:rPr>
          <w:rFonts w:ascii="Times" w:hAnsi="Times"/>
          <w:i/>
          <w:iCs/>
          <w:szCs w:val="24"/>
        </w:rPr>
        <w:t>Standard Advice Review Groupe</w:t>
      </w:r>
      <w:r w:rsidR="004C2BB1" w:rsidRPr="002A1C17">
        <w:rPr>
          <w:rFonts w:ascii="Times" w:hAnsi="Times"/>
          <w:szCs w:val="24"/>
        </w:rPr>
        <w:t>), un groupe d</w:t>
      </w:r>
      <w:r w:rsidR="00D72851">
        <w:rPr>
          <w:rFonts w:ascii="Times" w:hAnsi="Times"/>
          <w:szCs w:val="24"/>
        </w:rPr>
        <w:t>’</w:t>
      </w:r>
      <w:r w:rsidR="004C2BB1" w:rsidRPr="002A1C17">
        <w:rPr>
          <w:rFonts w:ascii="Times" w:hAnsi="Times"/>
          <w:szCs w:val="24"/>
        </w:rPr>
        <w:t>experts-comptables directement nommés par la Commission</w:t>
      </w:r>
      <w:r w:rsidR="00253D42" w:rsidRPr="002A1C17">
        <w:rPr>
          <w:rFonts w:ascii="Times" w:hAnsi="Times"/>
          <w:szCs w:val="24"/>
        </w:rPr>
        <w:t xml:space="preserve"> et investis de la mission </w:t>
      </w:r>
      <w:r w:rsidR="004C2BB1" w:rsidRPr="002A1C17">
        <w:rPr>
          <w:rFonts w:ascii="Times" w:hAnsi="Times"/>
          <w:szCs w:val="24"/>
        </w:rPr>
        <w:t xml:space="preserve">de </w:t>
      </w:r>
      <w:r w:rsidR="00253D42" w:rsidRPr="002A1C17">
        <w:rPr>
          <w:rFonts w:ascii="Times" w:hAnsi="Times"/>
          <w:szCs w:val="24"/>
        </w:rPr>
        <w:t>rendre</w:t>
      </w:r>
      <w:r w:rsidR="004C2BB1" w:rsidRPr="002A1C17">
        <w:rPr>
          <w:rFonts w:ascii="Times" w:hAnsi="Times"/>
          <w:szCs w:val="24"/>
        </w:rPr>
        <w:t xml:space="preserve"> un avis sur l</w:t>
      </w:r>
      <w:r w:rsidR="00D72851">
        <w:rPr>
          <w:rFonts w:ascii="Times" w:hAnsi="Times"/>
          <w:szCs w:val="24"/>
        </w:rPr>
        <w:t>’</w:t>
      </w:r>
      <w:r w:rsidR="004C2BB1" w:rsidRPr="002A1C17">
        <w:rPr>
          <w:rFonts w:ascii="Times" w:hAnsi="Times"/>
          <w:szCs w:val="24"/>
        </w:rPr>
        <w:t>avis</w:t>
      </w:r>
      <w:r w:rsidR="00253D42" w:rsidRPr="002A1C17">
        <w:rPr>
          <w:rFonts w:ascii="Times" w:hAnsi="Times"/>
          <w:szCs w:val="24"/>
        </w:rPr>
        <w:t>,</w:t>
      </w:r>
      <w:r w:rsidR="004C2BB1" w:rsidRPr="002A1C17">
        <w:rPr>
          <w:rFonts w:ascii="Times" w:hAnsi="Times"/>
          <w:szCs w:val="24"/>
        </w:rPr>
        <w:t xml:space="preserve"> rendu par l</w:t>
      </w:r>
      <w:r w:rsidR="00D72851">
        <w:rPr>
          <w:rFonts w:ascii="Times" w:hAnsi="Times"/>
          <w:szCs w:val="24"/>
        </w:rPr>
        <w:t>’</w:t>
      </w:r>
      <w:r w:rsidR="004C2BB1" w:rsidRPr="002A1C17">
        <w:rPr>
          <w:rFonts w:ascii="Times" w:hAnsi="Times"/>
          <w:szCs w:val="24"/>
        </w:rPr>
        <w:t>EFRAG</w:t>
      </w:r>
      <w:r w:rsidR="00253D42" w:rsidRPr="002A1C17">
        <w:rPr>
          <w:rFonts w:ascii="Times" w:hAnsi="Times"/>
          <w:szCs w:val="24"/>
        </w:rPr>
        <w:t>,</w:t>
      </w:r>
      <w:r w:rsidR="004C2BB1" w:rsidRPr="002A1C17">
        <w:rPr>
          <w:rFonts w:ascii="Times" w:hAnsi="Times"/>
          <w:szCs w:val="24"/>
        </w:rPr>
        <w:t xml:space="preserve"> </w:t>
      </w:r>
      <w:r w:rsidR="00253D42" w:rsidRPr="002A1C17">
        <w:rPr>
          <w:rFonts w:ascii="Times" w:hAnsi="Times"/>
          <w:szCs w:val="24"/>
        </w:rPr>
        <w:t>relatif</w:t>
      </w:r>
      <w:r w:rsidR="004C2BB1" w:rsidRPr="002A1C17">
        <w:rPr>
          <w:rFonts w:ascii="Times" w:hAnsi="Times"/>
          <w:szCs w:val="24"/>
        </w:rPr>
        <w:t xml:space="preserve"> </w:t>
      </w:r>
      <w:r w:rsidR="00253D42" w:rsidRPr="002A1C17">
        <w:rPr>
          <w:rFonts w:ascii="Times" w:hAnsi="Times"/>
          <w:szCs w:val="24"/>
        </w:rPr>
        <w:t xml:space="preserve">aux </w:t>
      </w:r>
      <w:r w:rsidR="004C2BB1" w:rsidRPr="002A1C17">
        <w:rPr>
          <w:rFonts w:ascii="Times" w:hAnsi="Times"/>
          <w:szCs w:val="24"/>
        </w:rPr>
        <w:t>normes comptables créées par l</w:t>
      </w:r>
      <w:r w:rsidR="00D72851">
        <w:rPr>
          <w:rFonts w:ascii="Times" w:hAnsi="Times"/>
          <w:szCs w:val="24"/>
        </w:rPr>
        <w:t>’</w:t>
      </w:r>
      <w:r w:rsidR="004C2BB1" w:rsidRPr="002A1C17">
        <w:rPr>
          <w:rFonts w:ascii="Times" w:hAnsi="Times"/>
          <w:szCs w:val="24"/>
        </w:rPr>
        <w:t>IASB avant intégration dans le droit de l</w:t>
      </w:r>
      <w:r w:rsidR="00D72851">
        <w:rPr>
          <w:rFonts w:ascii="Times" w:hAnsi="Times"/>
          <w:szCs w:val="24"/>
        </w:rPr>
        <w:t>’</w:t>
      </w:r>
      <w:r w:rsidR="004C2BB1" w:rsidRPr="002A1C17">
        <w:rPr>
          <w:rFonts w:ascii="Times" w:hAnsi="Times"/>
          <w:szCs w:val="24"/>
        </w:rPr>
        <w:t>Union</w:t>
      </w:r>
      <w:r w:rsidR="008B5549" w:rsidRPr="002A1C17">
        <w:rPr>
          <w:rStyle w:val="Appelnotedebasdep"/>
          <w:rFonts w:ascii="Times" w:hAnsi="Times"/>
          <w:szCs w:val="24"/>
        </w:rPr>
        <w:footnoteReference w:id="47"/>
      </w:r>
      <w:r w:rsidR="004C2BB1" w:rsidRPr="002A1C17">
        <w:rPr>
          <w:rFonts w:ascii="Times" w:hAnsi="Times"/>
          <w:szCs w:val="24"/>
        </w:rPr>
        <w:t xml:space="preserve">. </w:t>
      </w:r>
      <w:r w:rsidR="00392D28" w:rsidRPr="002A1C17">
        <w:rPr>
          <w:rFonts w:ascii="Times" w:hAnsi="Times"/>
          <w:szCs w:val="24"/>
        </w:rPr>
        <w:t>Q</w:t>
      </w:r>
      <w:r w:rsidR="004C2BB1" w:rsidRPr="002A1C17">
        <w:rPr>
          <w:rFonts w:ascii="Times" w:hAnsi="Times"/>
          <w:szCs w:val="24"/>
        </w:rPr>
        <w:t>ualifié par la presse et certains chercheurs de « chambre d</w:t>
      </w:r>
      <w:r w:rsidR="00D72851">
        <w:rPr>
          <w:rFonts w:ascii="Times" w:hAnsi="Times"/>
          <w:szCs w:val="24"/>
        </w:rPr>
        <w:t>’</w:t>
      </w:r>
      <w:r w:rsidR="004C2BB1" w:rsidRPr="002A1C17">
        <w:rPr>
          <w:rFonts w:ascii="Times" w:hAnsi="Times"/>
          <w:szCs w:val="24"/>
        </w:rPr>
        <w:t>enregistrement des normes de l</w:t>
      </w:r>
      <w:r w:rsidR="00D72851">
        <w:rPr>
          <w:rFonts w:ascii="Times" w:hAnsi="Times"/>
          <w:szCs w:val="24"/>
        </w:rPr>
        <w:t>’</w:t>
      </w:r>
      <w:r w:rsidR="004C2BB1" w:rsidRPr="002A1C17">
        <w:rPr>
          <w:rFonts w:ascii="Times" w:hAnsi="Times"/>
          <w:szCs w:val="24"/>
        </w:rPr>
        <w:t>IASB, qui sont ensuite adoptées par les institutions politiques estimant que le filtre de l</w:t>
      </w:r>
      <w:r w:rsidR="00D72851">
        <w:rPr>
          <w:rFonts w:ascii="Times" w:hAnsi="Times"/>
          <w:szCs w:val="24"/>
        </w:rPr>
        <w:t>’</w:t>
      </w:r>
      <w:r w:rsidR="004C2BB1" w:rsidRPr="002A1C17">
        <w:rPr>
          <w:rFonts w:ascii="Times" w:hAnsi="Times"/>
          <w:szCs w:val="24"/>
        </w:rPr>
        <w:t>organe compétent a fait son travail </w:t>
      </w:r>
      <w:r w:rsidR="004C2BB1" w:rsidRPr="002A1C17">
        <w:rPr>
          <w:rFonts w:ascii="Times" w:hAnsi="Times"/>
          <w:szCs w:val="24"/>
        </w:rPr>
        <w:t>»</w:t>
      </w:r>
      <w:r w:rsidR="00392D28" w:rsidRPr="002A1C17">
        <w:rPr>
          <w:rStyle w:val="Appelnotedebasdep"/>
          <w:rFonts w:ascii="Times" w:hAnsi="Times"/>
          <w:szCs w:val="24"/>
        </w:rPr>
        <w:footnoteReference w:id="48"/>
      </w:r>
      <w:r w:rsidR="00392D28" w:rsidRPr="002A1C17">
        <w:rPr>
          <w:rFonts w:ascii="Times" w:hAnsi="Times"/>
          <w:szCs w:val="24"/>
        </w:rPr>
        <w:t>, l</w:t>
      </w:r>
      <w:r w:rsidR="00D72851">
        <w:rPr>
          <w:rFonts w:ascii="Times" w:hAnsi="Times"/>
          <w:szCs w:val="24"/>
        </w:rPr>
        <w:t>’</w:t>
      </w:r>
      <w:r w:rsidR="00392D28" w:rsidRPr="002A1C17">
        <w:rPr>
          <w:rFonts w:ascii="Times" w:hAnsi="Times"/>
          <w:szCs w:val="24"/>
        </w:rPr>
        <w:t>EFRAG est fortement contesté</w:t>
      </w:r>
      <w:r w:rsidR="004C2BB1" w:rsidRPr="002A1C17">
        <w:rPr>
          <w:rFonts w:ascii="Times" w:hAnsi="Times"/>
          <w:szCs w:val="24"/>
        </w:rPr>
        <w:t xml:space="preserve">. La réalité est </w:t>
      </w:r>
      <w:r w:rsidR="00A266FB" w:rsidRPr="002A1C17">
        <w:rPr>
          <w:rFonts w:ascii="Times" w:hAnsi="Times"/>
          <w:szCs w:val="24"/>
        </w:rPr>
        <w:t xml:space="preserve">cependant </w:t>
      </w:r>
      <w:r w:rsidR="004C2BB1" w:rsidRPr="002A1C17">
        <w:rPr>
          <w:rFonts w:ascii="Times" w:hAnsi="Times"/>
          <w:szCs w:val="24"/>
        </w:rPr>
        <w:t xml:space="preserve">plus nuancée, et </w:t>
      </w:r>
      <w:r w:rsidR="00A266FB" w:rsidRPr="002A1C17">
        <w:rPr>
          <w:rFonts w:ascii="Times" w:hAnsi="Times"/>
          <w:szCs w:val="24"/>
        </w:rPr>
        <w:t>l</w:t>
      </w:r>
      <w:r w:rsidR="00D72851">
        <w:rPr>
          <w:rFonts w:ascii="Times" w:hAnsi="Times"/>
          <w:szCs w:val="24"/>
        </w:rPr>
        <w:t>’</w:t>
      </w:r>
      <w:r w:rsidR="00A266FB" w:rsidRPr="002A1C17">
        <w:rPr>
          <w:rFonts w:ascii="Times" w:hAnsi="Times"/>
          <w:szCs w:val="24"/>
        </w:rPr>
        <w:t>on peut relever</w:t>
      </w:r>
      <w:r w:rsidR="00182B7D" w:rsidRPr="002A1C17">
        <w:rPr>
          <w:rFonts w:ascii="Times" w:hAnsi="Times"/>
          <w:szCs w:val="24"/>
        </w:rPr>
        <w:t xml:space="preserve"> </w:t>
      </w:r>
      <w:r w:rsidR="00A266FB" w:rsidRPr="002A1C17">
        <w:rPr>
          <w:rFonts w:ascii="Times" w:hAnsi="Times"/>
          <w:szCs w:val="24"/>
        </w:rPr>
        <w:t>des</w:t>
      </w:r>
      <w:r w:rsidR="004C2BB1" w:rsidRPr="002A1C17">
        <w:rPr>
          <w:rFonts w:ascii="Times" w:hAnsi="Times"/>
          <w:szCs w:val="24"/>
        </w:rPr>
        <w:t xml:space="preserve"> </w:t>
      </w:r>
      <w:r w:rsidR="00A266FB" w:rsidRPr="002A1C17">
        <w:rPr>
          <w:rFonts w:ascii="Times" w:hAnsi="Times"/>
          <w:szCs w:val="24"/>
        </w:rPr>
        <w:t>éléments démontrant que</w:t>
      </w:r>
      <w:r w:rsidR="004C2BB1" w:rsidRPr="002A1C17">
        <w:rPr>
          <w:rFonts w:ascii="Times" w:hAnsi="Times"/>
          <w:szCs w:val="24"/>
        </w:rPr>
        <w:t xml:space="preserve"> les demandes européennes</w:t>
      </w:r>
      <w:r w:rsidR="00A266FB" w:rsidRPr="002A1C17">
        <w:rPr>
          <w:rFonts w:ascii="Times" w:hAnsi="Times"/>
          <w:szCs w:val="24"/>
        </w:rPr>
        <w:t xml:space="preserve"> ont</w:t>
      </w:r>
      <w:r w:rsidR="004C2BB1" w:rsidRPr="002A1C17">
        <w:rPr>
          <w:rFonts w:ascii="Times" w:hAnsi="Times"/>
          <w:szCs w:val="24"/>
        </w:rPr>
        <w:t xml:space="preserve"> permis d</w:t>
      </w:r>
      <w:r w:rsidR="00D72851">
        <w:rPr>
          <w:rFonts w:ascii="Times" w:hAnsi="Times"/>
          <w:szCs w:val="24"/>
        </w:rPr>
        <w:t>’</w:t>
      </w:r>
      <w:r w:rsidR="004C2BB1" w:rsidRPr="002A1C17">
        <w:rPr>
          <w:rFonts w:ascii="Times" w:hAnsi="Times"/>
          <w:szCs w:val="24"/>
        </w:rPr>
        <w:t>influencer la procédure d</w:t>
      </w:r>
      <w:r w:rsidR="00D72851">
        <w:rPr>
          <w:rFonts w:ascii="Times" w:hAnsi="Times"/>
          <w:szCs w:val="24"/>
        </w:rPr>
        <w:t>’</w:t>
      </w:r>
      <w:r w:rsidR="004C2BB1" w:rsidRPr="002A1C17">
        <w:rPr>
          <w:rFonts w:ascii="Times" w:hAnsi="Times"/>
          <w:szCs w:val="24"/>
        </w:rPr>
        <w:t>élaboration des IFRS par l</w:t>
      </w:r>
      <w:r w:rsidR="00D72851">
        <w:rPr>
          <w:rFonts w:ascii="Times" w:hAnsi="Times"/>
          <w:szCs w:val="24"/>
        </w:rPr>
        <w:t>’</w:t>
      </w:r>
      <w:r w:rsidR="004C2BB1" w:rsidRPr="002A1C17">
        <w:rPr>
          <w:rFonts w:ascii="Times" w:hAnsi="Times"/>
          <w:szCs w:val="24"/>
        </w:rPr>
        <w:t>IASB</w:t>
      </w:r>
      <w:r w:rsidR="00BF3B17" w:rsidRPr="002A1C17">
        <w:rPr>
          <w:rStyle w:val="Appelnotedebasdep"/>
          <w:rFonts w:ascii="Times" w:hAnsi="Times"/>
          <w:szCs w:val="24"/>
        </w:rPr>
        <w:footnoteReference w:id="49"/>
      </w:r>
      <w:r w:rsidR="004C2BB1" w:rsidRPr="002A1C17">
        <w:rPr>
          <w:rFonts w:ascii="Times" w:hAnsi="Times"/>
          <w:szCs w:val="24"/>
        </w:rPr>
        <w:t xml:space="preserve">. En particulier, la pression des États européens </w:t>
      </w:r>
      <w:r w:rsidR="00A266FB" w:rsidRPr="002A1C17">
        <w:rPr>
          <w:rFonts w:ascii="Times" w:hAnsi="Times"/>
          <w:szCs w:val="24"/>
        </w:rPr>
        <w:t xml:space="preserve">a permis </w:t>
      </w:r>
      <w:r w:rsidR="007E33D1" w:rsidRPr="002A1C17">
        <w:rPr>
          <w:rFonts w:ascii="Times" w:hAnsi="Times"/>
          <w:szCs w:val="24"/>
        </w:rPr>
        <w:t>l</w:t>
      </w:r>
      <w:r w:rsidR="00D72851">
        <w:rPr>
          <w:rFonts w:ascii="Times" w:hAnsi="Times"/>
          <w:szCs w:val="24"/>
        </w:rPr>
        <w:t>’</w:t>
      </w:r>
      <w:r w:rsidR="007E33D1" w:rsidRPr="002A1C17">
        <w:rPr>
          <w:rFonts w:ascii="Times" w:hAnsi="Times"/>
          <w:szCs w:val="24"/>
        </w:rPr>
        <w:t>émergence</w:t>
      </w:r>
      <w:r w:rsidR="00A266FB" w:rsidRPr="002A1C17">
        <w:rPr>
          <w:rFonts w:ascii="Times" w:hAnsi="Times"/>
          <w:szCs w:val="24"/>
        </w:rPr>
        <w:t xml:space="preserve"> de la pratique selon laquelle</w:t>
      </w:r>
      <w:r w:rsidR="004C2BB1" w:rsidRPr="002A1C17">
        <w:rPr>
          <w:rFonts w:ascii="Times" w:hAnsi="Times"/>
          <w:szCs w:val="24"/>
        </w:rPr>
        <w:t xml:space="preserve"> les normes comptables </w:t>
      </w:r>
      <w:r w:rsidR="007E33D1" w:rsidRPr="002A1C17">
        <w:rPr>
          <w:rFonts w:ascii="Times" w:hAnsi="Times"/>
          <w:szCs w:val="24"/>
        </w:rPr>
        <w:t>devraient</w:t>
      </w:r>
      <w:r w:rsidR="004C2BB1" w:rsidRPr="002A1C17">
        <w:rPr>
          <w:rFonts w:ascii="Times" w:hAnsi="Times"/>
          <w:szCs w:val="24"/>
        </w:rPr>
        <w:t xml:space="preserve"> dorénavant </w:t>
      </w:r>
      <w:r w:rsidR="007E33D1" w:rsidRPr="002A1C17">
        <w:rPr>
          <w:rFonts w:ascii="Times" w:hAnsi="Times"/>
          <w:szCs w:val="24"/>
        </w:rPr>
        <w:t>être</w:t>
      </w:r>
      <w:r w:rsidR="004C2BB1" w:rsidRPr="002A1C17">
        <w:rPr>
          <w:rFonts w:ascii="Times" w:hAnsi="Times"/>
          <w:szCs w:val="24"/>
        </w:rPr>
        <w:t xml:space="preserve"> accompagnées d</w:t>
      </w:r>
      <w:r w:rsidR="00D72851">
        <w:rPr>
          <w:rFonts w:ascii="Times" w:hAnsi="Times"/>
          <w:szCs w:val="24"/>
        </w:rPr>
        <w:t>’</w:t>
      </w:r>
      <w:r w:rsidR="004C2BB1" w:rsidRPr="002A1C17">
        <w:rPr>
          <w:rFonts w:ascii="Times" w:hAnsi="Times"/>
          <w:szCs w:val="24"/>
        </w:rPr>
        <w:t>une étude d</w:t>
      </w:r>
      <w:r w:rsidR="00D72851">
        <w:rPr>
          <w:rFonts w:ascii="Times" w:hAnsi="Times"/>
          <w:szCs w:val="24"/>
        </w:rPr>
        <w:t>’</w:t>
      </w:r>
      <w:r w:rsidR="004C2BB1" w:rsidRPr="002A1C17">
        <w:rPr>
          <w:rFonts w:ascii="Times" w:hAnsi="Times"/>
          <w:szCs w:val="24"/>
        </w:rPr>
        <w:t>impact, au stade de leur création ou de leur modification</w:t>
      </w:r>
      <w:r w:rsidR="007E33D1" w:rsidRPr="002A1C17">
        <w:rPr>
          <w:rStyle w:val="Appelnotedebasdep"/>
          <w:rFonts w:ascii="Times" w:hAnsi="Times"/>
          <w:szCs w:val="24"/>
        </w:rPr>
        <w:footnoteReference w:id="50"/>
      </w:r>
      <w:r w:rsidR="007E33D1" w:rsidRPr="002A1C17">
        <w:rPr>
          <w:rFonts w:ascii="Times" w:hAnsi="Times"/>
          <w:szCs w:val="24"/>
        </w:rPr>
        <w:t xml:space="preserve"> – bien que la nouvelle version du </w:t>
      </w:r>
      <w:r w:rsidR="007E33D1" w:rsidRPr="002A1C17">
        <w:rPr>
          <w:rFonts w:ascii="Times" w:hAnsi="Times"/>
          <w:i/>
          <w:iCs/>
          <w:szCs w:val="24"/>
        </w:rPr>
        <w:t>Due Process Handbook</w:t>
      </w:r>
      <w:r w:rsidR="007E33D1" w:rsidRPr="002A1C17">
        <w:rPr>
          <w:rFonts w:ascii="Times" w:hAnsi="Times"/>
          <w:szCs w:val="24"/>
        </w:rPr>
        <w:t xml:space="preserve"> ne consacre pa</w:t>
      </w:r>
      <w:r w:rsidR="00561995">
        <w:rPr>
          <w:rFonts w:ascii="Times" w:hAnsi="Times"/>
          <w:szCs w:val="24"/>
        </w:rPr>
        <w:t>s</w:t>
      </w:r>
      <w:r w:rsidR="007E33D1" w:rsidRPr="002A1C17">
        <w:rPr>
          <w:rFonts w:ascii="Times" w:hAnsi="Times"/>
          <w:szCs w:val="24"/>
        </w:rPr>
        <w:t xml:space="preserve"> cette pratique comme une obligation générale</w:t>
      </w:r>
      <w:r w:rsidR="00803EC5" w:rsidRPr="002A1C17">
        <w:rPr>
          <w:rFonts w:ascii="Times" w:hAnsi="Times"/>
          <w:szCs w:val="24"/>
        </w:rPr>
        <w:t>, malgré les vœux de la Commission européenne en ce sens.</w:t>
      </w:r>
      <w:r w:rsidR="00182B7D" w:rsidRPr="002A1C17">
        <w:rPr>
          <w:rFonts w:ascii="Times" w:hAnsi="Times"/>
          <w:szCs w:val="24"/>
        </w:rPr>
        <w:t xml:space="preserve"> </w:t>
      </w:r>
    </w:p>
    <w:p w14:paraId="2326FD8E" w14:textId="77777777" w:rsidR="00803EC5" w:rsidRPr="002A1C17" w:rsidRDefault="00803EC5" w:rsidP="00D11C33">
      <w:pPr>
        <w:spacing w:line="240" w:lineRule="auto"/>
        <w:jc w:val="both"/>
        <w:rPr>
          <w:rFonts w:ascii="Times" w:hAnsi="Times"/>
          <w:szCs w:val="24"/>
        </w:rPr>
      </w:pPr>
    </w:p>
    <w:p w14:paraId="29D9EB2E" w14:textId="56B80883" w:rsidR="00803EC5" w:rsidRDefault="00803EC5" w:rsidP="00D11C33">
      <w:pPr>
        <w:spacing w:line="240" w:lineRule="auto"/>
        <w:jc w:val="both"/>
        <w:rPr>
          <w:rFonts w:ascii="Times" w:hAnsi="Times"/>
          <w:szCs w:val="24"/>
        </w:rPr>
      </w:pPr>
      <w:r w:rsidRPr="002A1C17">
        <w:rPr>
          <w:rFonts w:ascii="Times" w:hAnsi="Times"/>
          <w:szCs w:val="24"/>
        </w:rPr>
        <w:t xml:space="preserve">Ces quelques illustrations, qui pourraient être </w:t>
      </w:r>
      <w:r w:rsidR="00D72851">
        <w:rPr>
          <w:rFonts w:ascii="Times" w:hAnsi="Times"/>
          <w:szCs w:val="24"/>
        </w:rPr>
        <w:t>déclinées</w:t>
      </w:r>
      <w:r w:rsidRPr="002A1C17">
        <w:rPr>
          <w:rFonts w:ascii="Times" w:hAnsi="Times"/>
          <w:szCs w:val="24"/>
        </w:rPr>
        <w:t>, démontrent que l</w:t>
      </w:r>
      <w:r w:rsidR="00D72851">
        <w:rPr>
          <w:rFonts w:ascii="Times" w:hAnsi="Times"/>
          <w:szCs w:val="24"/>
        </w:rPr>
        <w:t>’</w:t>
      </w:r>
      <w:r w:rsidRPr="002A1C17">
        <w:rPr>
          <w:rFonts w:ascii="Times" w:hAnsi="Times"/>
          <w:szCs w:val="24"/>
        </w:rPr>
        <w:t>État n</w:t>
      </w:r>
      <w:r w:rsidR="00D72851">
        <w:rPr>
          <w:rFonts w:ascii="Times" w:hAnsi="Times"/>
          <w:szCs w:val="24"/>
        </w:rPr>
        <w:t>’</w:t>
      </w:r>
      <w:r w:rsidRPr="002A1C17">
        <w:rPr>
          <w:rFonts w:ascii="Times" w:hAnsi="Times"/>
          <w:szCs w:val="24"/>
        </w:rPr>
        <w:t>est sans doute pas si dépassé qu</w:t>
      </w:r>
      <w:r w:rsidR="00D72851">
        <w:rPr>
          <w:rFonts w:ascii="Times" w:hAnsi="Times"/>
          <w:szCs w:val="24"/>
        </w:rPr>
        <w:t>’</w:t>
      </w:r>
      <w:r w:rsidRPr="002A1C17">
        <w:rPr>
          <w:rFonts w:ascii="Times" w:hAnsi="Times"/>
          <w:szCs w:val="24"/>
        </w:rPr>
        <w:t>il paraît l</w:t>
      </w:r>
      <w:r w:rsidR="00D72851">
        <w:rPr>
          <w:rFonts w:ascii="Times" w:hAnsi="Times"/>
          <w:szCs w:val="24"/>
        </w:rPr>
        <w:t>’</w:t>
      </w:r>
      <w:r w:rsidRPr="002A1C17">
        <w:rPr>
          <w:rFonts w:ascii="Times" w:hAnsi="Times"/>
          <w:szCs w:val="24"/>
        </w:rPr>
        <w:t>être face à la normalisation technique privée. Il faut sans doute se garder de déduire trop hâtivement de son apparente absence que l</w:t>
      </w:r>
      <w:r w:rsidR="00D72851">
        <w:rPr>
          <w:rFonts w:ascii="Times" w:hAnsi="Times"/>
          <w:szCs w:val="24"/>
        </w:rPr>
        <w:t>’</w:t>
      </w:r>
      <w:r w:rsidRPr="002A1C17">
        <w:rPr>
          <w:rFonts w:ascii="Times" w:hAnsi="Times"/>
          <w:szCs w:val="24"/>
        </w:rPr>
        <w:t>État serait impuissant face à ces phénomènes. Sans exercer souvent la plénitude de ses compétences, il est toujours présent à un stade ou à un autre de l</w:t>
      </w:r>
      <w:r w:rsidR="00D72851">
        <w:rPr>
          <w:rFonts w:ascii="Times" w:hAnsi="Times"/>
          <w:szCs w:val="24"/>
        </w:rPr>
        <w:t>’</w:t>
      </w:r>
      <w:r w:rsidRPr="002A1C17">
        <w:rPr>
          <w:rFonts w:ascii="Times" w:hAnsi="Times"/>
          <w:szCs w:val="24"/>
        </w:rPr>
        <w:t>élaboration ou de l</w:t>
      </w:r>
      <w:r w:rsidR="00D72851">
        <w:rPr>
          <w:rFonts w:ascii="Times" w:hAnsi="Times"/>
          <w:szCs w:val="24"/>
        </w:rPr>
        <w:t>’</w:t>
      </w:r>
      <w:r w:rsidRPr="002A1C17">
        <w:rPr>
          <w:rFonts w:ascii="Times" w:hAnsi="Times"/>
          <w:szCs w:val="24"/>
        </w:rPr>
        <w:t xml:space="preserve">application de la norme. Il valide ainsi, par sa participation, par son contrôle </w:t>
      </w:r>
      <w:r w:rsidRPr="002A1C17">
        <w:rPr>
          <w:rFonts w:ascii="Times" w:hAnsi="Times"/>
          <w:i/>
          <w:iCs/>
          <w:szCs w:val="24"/>
        </w:rPr>
        <w:t>via</w:t>
      </w:r>
      <w:r w:rsidRPr="002A1C17">
        <w:rPr>
          <w:rFonts w:ascii="Times" w:hAnsi="Times"/>
          <w:szCs w:val="24"/>
        </w:rPr>
        <w:t xml:space="preserve"> les réseaux informels comme le G20 ou le Conseil de la stabilité financière, et parfois par son abstention, le principe et l</w:t>
      </w:r>
      <w:r w:rsidR="00D72851">
        <w:rPr>
          <w:rFonts w:ascii="Times" w:hAnsi="Times"/>
          <w:szCs w:val="24"/>
        </w:rPr>
        <w:t>’</w:t>
      </w:r>
      <w:r w:rsidRPr="002A1C17">
        <w:rPr>
          <w:rFonts w:ascii="Times" w:hAnsi="Times"/>
          <w:szCs w:val="24"/>
        </w:rPr>
        <w:t>existence de la normalisation technique privée, contribuant à l</w:t>
      </w:r>
      <w:r w:rsidR="00D72851">
        <w:rPr>
          <w:rFonts w:ascii="Times" w:hAnsi="Times"/>
          <w:szCs w:val="24"/>
        </w:rPr>
        <w:t>’</w:t>
      </w:r>
      <w:r w:rsidRPr="002A1C17">
        <w:rPr>
          <w:rFonts w:ascii="Times" w:hAnsi="Times"/>
          <w:szCs w:val="24"/>
        </w:rPr>
        <w:t>émergence d</w:t>
      </w:r>
      <w:r w:rsidR="00D72851">
        <w:rPr>
          <w:rFonts w:ascii="Times" w:hAnsi="Times"/>
          <w:szCs w:val="24"/>
        </w:rPr>
        <w:t>’</w:t>
      </w:r>
      <w:r w:rsidRPr="002A1C17">
        <w:rPr>
          <w:rFonts w:ascii="Times" w:hAnsi="Times"/>
          <w:szCs w:val="24"/>
        </w:rPr>
        <w:t xml:space="preserve">une régulation internationale de la normalisation. Il exerce sa souveraineté, en choisissant de déléguer certaines compétences au secteur privé et en déterminant le degré exact de contrôle politique </w:t>
      </w:r>
      <w:r w:rsidRPr="002A1C17">
        <w:rPr>
          <w:rFonts w:ascii="Times" w:hAnsi="Times"/>
          <w:szCs w:val="24"/>
        </w:rPr>
        <w:lastRenderedPageBreak/>
        <w:t>et juridique qu</w:t>
      </w:r>
      <w:r w:rsidR="00D72851">
        <w:rPr>
          <w:rFonts w:ascii="Times" w:hAnsi="Times"/>
          <w:szCs w:val="24"/>
        </w:rPr>
        <w:t>’</w:t>
      </w:r>
      <w:r w:rsidRPr="002A1C17">
        <w:rPr>
          <w:rFonts w:ascii="Times" w:hAnsi="Times"/>
          <w:szCs w:val="24"/>
        </w:rPr>
        <w:t>il souhaite exercer. Les États ont toujours le choix de publiciser</w:t>
      </w:r>
      <w:r w:rsidR="00D72851">
        <w:rPr>
          <w:rStyle w:val="Appelnotedebasdep"/>
          <w:rFonts w:ascii="Times" w:hAnsi="Times"/>
          <w:szCs w:val="24"/>
        </w:rPr>
        <w:footnoteReference w:id="51"/>
      </w:r>
      <w:r w:rsidRPr="002A1C17">
        <w:rPr>
          <w:rFonts w:ascii="Times" w:hAnsi="Times"/>
          <w:szCs w:val="24"/>
        </w:rPr>
        <w:t xml:space="preserve"> pour légitimer, de réguler ou de ne pas agir, de sorte qu</w:t>
      </w:r>
      <w:r w:rsidR="00D72851">
        <w:rPr>
          <w:rFonts w:ascii="Times" w:hAnsi="Times"/>
          <w:szCs w:val="24"/>
        </w:rPr>
        <w:t>’</w:t>
      </w:r>
      <w:r w:rsidRPr="002A1C17">
        <w:rPr>
          <w:rFonts w:ascii="Times" w:hAnsi="Times"/>
          <w:szCs w:val="24"/>
        </w:rPr>
        <w:t>il peut être soutenu que l</w:t>
      </w:r>
      <w:r w:rsidR="00D72851">
        <w:rPr>
          <w:rFonts w:ascii="Times" w:hAnsi="Times"/>
          <w:szCs w:val="24"/>
        </w:rPr>
        <w:t>’</w:t>
      </w:r>
      <w:r w:rsidRPr="002A1C17">
        <w:rPr>
          <w:rFonts w:ascii="Times" w:hAnsi="Times"/>
          <w:szCs w:val="24"/>
        </w:rPr>
        <w:t>État constitue – encore ? – un moteur de la régulation des phénomènes qui sont censés lui échapper.</w:t>
      </w:r>
    </w:p>
    <w:p w14:paraId="28201F33" w14:textId="77777777" w:rsidR="00AE5639" w:rsidRDefault="00AE5639" w:rsidP="00D11C33">
      <w:pPr>
        <w:spacing w:line="240" w:lineRule="auto"/>
        <w:jc w:val="both"/>
        <w:rPr>
          <w:rFonts w:ascii="Times" w:hAnsi="Times"/>
          <w:szCs w:val="24"/>
        </w:rPr>
      </w:pPr>
    </w:p>
    <w:p w14:paraId="7359B90C" w14:textId="77777777" w:rsidR="00AE5639" w:rsidRDefault="00AE5639" w:rsidP="00D11C33">
      <w:pPr>
        <w:spacing w:line="240" w:lineRule="auto"/>
        <w:jc w:val="center"/>
        <w:rPr>
          <w:rFonts w:ascii="Times" w:hAnsi="Times"/>
          <w:szCs w:val="24"/>
        </w:rPr>
      </w:pPr>
      <w:r>
        <w:rPr>
          <w:rFonts w:ascii="Times" w:hAnsi="Times"/>
          <w:szCs w:val="24"/>
        </w:rPr>
        <w:t>***</w:t>
      </w:r>
    </w:p>
    <w:p w14:paraId="541CF32D" w14:textId="77777777" w:rsidR="000B4CF4" w:rsidRDefault="000B4CF4" w:rsidP="00D11C33">
      <w:pPr>
        <w:spacing w:line="240" w:lineRule="auto"/>
        <w:jc w:val="both"/>
        <w:rPr>
          <w:rFonts w:ascii="Times" w:hAnsi="Times"/>
          <w:szCs w:val="24"/>
        </w:rPr>
      </w:pPr>
    </w:p>
    <w:p w14:paraId="75A9DBE3" w14:textId="35C2F6ED" w:rsidR="00676D0B" w:rsidRDefault="00AE5639" w:rsidP="00D11C33">
      <w:pPr>
        <w:spacing w:line="240" w:lineRule="auto"/>
        <w:jc w:val="both"/>
        <w:rPr>
          <w:rFonts w:ascii="Times" w:hAnsi="Times"/>
          <w:szCs w:val="24"/>
        </w:rPr>
      </w:pPr>
      <w:r>
        <w:rPr>
          <w:rFonts w:ascii="Times" w:hAnsi="Times"/>
          <w:szCs w:val="24"/>
        </w:rPr>
        <w:t>Le</w:t>
      </w:r>
      <w:r w:rsidR="000B4CF4">
        <w:rPr>
          <w:rFonts w:ascii="Times" w:hAnsi="Times"/>
          <w:szCs w:val="24"/>
        </w:rPr>
        <w:t xml:space="preserve"> droit administratif global, tel qu</w:t>
      </w:r>
      <w:r w:rsidR="00D72851">
        <w:rPr>
          <w:rFonts w:ascii="Times" w:hAnsi="Times"/>
          <w:szCs w:val="24"/>
        </w:rPr>
        <w:t>’</w:t>
      </w:r>
      <w:r w:rsidR="000B4CF4">
        <w:rPr>
          <w:rFonts w:ascii="Times" w:hAnsi="Times"/>
          <w:szCs w:val="24"/>
        </w:rPr>
        <w:t>il a été présenté dans cette contribution, apporte des clés de lecture de la régulation des entités globales que sont les organismes de normalisation technique privée</w:t>
      </w:r>
      <w:r>
        <w:rPr>
          <w:rFonts w:ascii="Times" w:hAnsi="Times"/>
          <w:szCs w:val="24"/>
        </w:rPr>
        <w:t xml:space="preserve">. Ces derniers répondent à un schéma au demeurant bien identifié par les auteurs du </w:t>
      </w:r>
      <w:r>
        <w:rPr>
          <w:rFonts w:ascii="Times" w:hAnsi="Times"/>
          <w:i/>
          <w:iCs/>
          <w:szCs w:val="24"/>
        </w:rPr>
        <w:t>GAL</w:t>
      </w:r>
      <w:r>
        <w:rPr>
          <w:rFonts w:ascii="Times" w:hAnsi="Times"/>
          <w:szCs w:val="24"/>
        </w:rPr>
        <w:t> : les normalisateurs techniques privés constituent des entités dont les décisions revêtent des impacts globaux</w:t>
      </w:r>
      <w:r w:rsidR="00F8735B">
        <w:rPr>
          <w:rFonts w:ascii="Times" w:hAnsi="Times"/>
          <w:szCs w:val="24"/>
        </w:rPr>
        <w:t>, et</w:t>
      </w:r>
      <w:r>
        <w:rPr>
          <w:rFonts w:ascii="Times" w:hAnsi="Times"/>
          <w:szCs w:val="24"/>
        </w:rPr>
        <w:t xml:space="preserve"> dont la légitimité est contestée. Ils développent dès lors</w:t>
      </w:r>
      <w:r w:rsidR="00F8735B">
        <w:rPr>
          <w:rFonts w:ascii="Times" w:hAnsi="Times"/>
          <w:szCs w:val="24"/>
        </w:rPr>
        <w:t xml:space="preserve">, </w:t>
      </w:r>
      <w:r w:rsidR="0058080A">
        <w:rPr>
          <w:rFonts w:ascii="Times" w:hAnsi="Times"/>
          <w:szCs w:val="24"/>
        </w:rPr>
        <w:t>de manière étonnamment similaire,</w:t>
      </w:r>
      <w:r>
        <w:rPr>
          <w:rFonts w:ascii="Times" w:hAnsi="Times"/>
          <w:szCs w:val="24"/>
        </w:rPr>
        <w:t xml:space="preserve"> des procédures visant à légitimer leur fonctionnement et leurs actions, lesquelles peuvent être qualifiées de droit administratif global en ce qu</w:t>
      </w:r>
      <w:r w:rsidR="00D72851">
        <w:rPr>
          <w:rFonts w:ascii="Times" w:hAnsi="Times"/>
          <w:szCs w:val="24"/>
        </w:rPr>
        <w:t>’</w:t>
      </w:r>
      <w:r>
        <w:rPr>
          <w:rFonts w:ascii="Times" w:hAnsi="Times"/>
          <w:szCs w:val="24"/>
        </w:rPr>
        <w:t>elles encadrent le</w:t>
      </w:r>
      <w:r w:rsidR="00077F7E">
        <w:rPr>
          <w:rFonts w:ascii="Times" w:hAnsi="Times"/>
          <w:szCs w:val="24"/>
        </w:rPr>
        <w:t>ur</w:t>
      </w:r>
      <w:r>
        <w:rPr>
          <w:rFonts w:ascii="Times" w:hAnsi="Times"/>
          <w:szCs w:val="24"/>
        </w:rPr>
        <w:t xml:space="preserve">s processus décisionnels. </w:t>
      </w:r>
      <w:r w:rsidR="0058080A">
        <w:rPr>
          <w:rFonts w:ascii="Times" w:hAnsi="Times"/>
          <w:szCs w:val="24"/>
        </w:rPr>
        <w:t>Les</w:t>
      </w:r>
      <w:r w:rsidR="00710975">
        <w:rPr>
          <w:rFonts w:ascii="Times" w:hAnsi="Times"/>
          <w:szCs w:val="24"/>
        </w:rPr>
        <w:t xml:space="preserve"> portes ouvertes par ces développements, qui placent à tous </w:t>
      </w:r>
      <w:r w:rsidR="0058080A">
        <w:rPr>
          <w:rFonts w:ascii="Times" w:hAnsi="Times"/>
          <w:szCs w:val="24"/>
        </w:rPr>
        <w:t xml:space="preserve">les </w:t>
      </w:r>
      <w:r w:rsidR="00710975">
        <w:rPr>
          <w:rFonts w:ascii="Times" w:hAnsi="Times"/>
          <w:szCs w:val="24"/>
        </w:rPr>
        <w:t>égards l</w:t>
      </w:r>
      <w:r w:rsidR="00D72851">
        <w:rPr>
          <w:rFonts w:ascii="Times" w:hAnsi="Times"/>
          <w:szCs w:val="24"/>
        </w:rPr>
        <w:t>’</w:t>
      </w:r>
      <w:r w:rsidR="00710975">
        <w:rPr>
          <w:rFonts w:ascii="Times" w:hAnsi="Times"/>
          <w:szCs w:val="24"/>
        </w:rPr>
        <w:t>État en gardien des clés,</w:t>
      </w:r>
      <w:r w:rsidR="000B4CF4">
        <w:rPr>
          <w:rFonts w:ascii="Times" w:hAnsi="Times"/>
          <w:szCs w:val="24"/>
        </w:rPr>
        <w:t xml:space="preserve"> ne </w:t>
      </w:r>
      <w:r w:rsidR="00710975">
        <w:rPr>
          <w:rFonts w:ascii="Times" w:hAnsi="Times"/>
          <w:szCs w:val="24"/>
        </w:rPr>
        <w:t xml:space="preserve">sont </w:t>
      </w:r>
      <w:r w:rsidR="0058080A">
        <w:rPr>
          <w:rFonts w:ascii="Times" w:hAnsi="Times"/>
          <w:szCs w:val="24"/>
        </w:rPr>
        <w:t xml:space="preserve">cependant </w:t>
      </w:r>
      <w:r w:rsidR="00710975">
        <w:rPr>
          <w:rFonts w:ascii="Times" w:hAnsi="Times"/>
          <w:szCs w:val="24"/>
        </w:rPr>
        <w:t>peut-être pas de celles qui apparaissent les plus aisément</w:t>
      </w:r>
      <w:r>
        <w:rPr>
          <w:rFonts w:ascii="Times" w:hAnsi="Times"/>
          <w:szCs w:val="24"/>
        </w:rPr>
        <w:t xml:space="preserve"> à la pensée juridique, notamment de la doctrine du </w:t>
      </w:r>
      <w:r>
        <w:rPr>
          <w:rFonts w:ascii="Times" w:hAnsi="Times"/>
          <w:i/>
          <w:iCs/>
          <w:szCs w:val="24"/>
        </w:rPr>
        <w:t>GAL</w:t>
      </w:r>
      <w:r>
        <w:rPr>
          <w:rFonts w:ascii="Times" w:hAnsi="Times"/>
          <w:szCs w:val="24"/>
        </w:rPr>
        <w:t xml:space="preserve"> parfois prompte à postuler ou repérer un supposé effacement de la puissance souveraine sous l</w:t>
      </w:r>
      <w:r w:rsidR="00D72851">
        <w:rPr>
          <w:rFonts w:ascii="Times" w:hAnsi="Times"/>
          <w:szCs w:val="24"/>
        </w:rPr>
        <w:t>’</w:t>
      </w:r>
      <w:r>
        <w:rPr>
          <w:rFonts w:ascii="Times" w:hAnsi="Times"/>
          <w:szCs w:val="24"/>
        </w:rPr>
        <w:t>effet de la globalisation</w:t>
      </w:r>
      <w:r w:rsidR="00710975">
        <w:rPr>
          <w:rFonts w:ascii="Times" w:hAnsi="Times"/>
          <w:szCs w:val="24"/>
        </w:rPr>
        <w:t xml:space="preserve">. </w:t>
      </w:r>
      <w:r>
        <w:rPr>
          <w:rFonts w:ascii="Times" w:hAnsi="Times"/>
          <w:szCs w:val="24"/>
        </w:rPr>
        <w:t>Pourtant,</w:t>
      </w:r>
      <w:r w:rsidR="00710975">
        <w:rPr>
          <w:rFonts w:ascii="Times" w:hAnsi="Times"/>
          <w:szCs w:val="24"/>
        </w:rPr>
        <w:t xml:space="preserve"> l</w:t>
      </w:r>
      <w:r w:rsidR="00D72851">
        <w:rPr>
          <w:rFonts w:ascii="Times" w:hAnsi="Times"/>
          <w:szCs w:val="24"/>
        </w:rPr>
        <w:t>’</w:t>
      </w:r>
      <w:r w:rsidR="00710975">
        <w:rPr>
          <w:rFonts w:ascii="Times" w:hAnsi="Times"/>
          <w:szCs w:val="24"/>
        </w:rPr>
        <w:t xml:space="preserve">État, en influençant ces entités globales, </w:t>
      </w:r>
      <w:r>
        <w:rPr>
          <w:rFonts w:ascii="Times" w:hAnsi="Times"/>
          <w:szCs w:val="24"/>
        </w:rPr>
        <w:t xml:space="preserve">en homologuant ou non leurs productions, en </w:t>
      </w:r>
      <w:r w:rsidR="00710975">
        <w:rPr>
          <w:rFonts w:ascii="Times" w:hAnsi="Times"/>
          <w:szCs w:val="24"/>
        </w:rPr>
        <w:t>exerçant des pressions juridiques</w:t>
      </w:r>
      <w:r>
        <w:rPr>
          <w:rFonts w:ascii="Times" w:hAnsi="Times"/>
          <w:szCs w:val="24"/>
        </w:rPr>
        <w:t xml:space="preserve"> et politiques </w:t>
      </w:r>
      <w:r w:rsidR="00710975">
        <w:rPr>
          <w:rFonts w:ascii="Times" w:hAnsi="Times"/>
          <w:szCs w:val="24"/>
        </w:rPr>
        <w:t>en vue de l</w:t>
      </w:r>
      <w:r w:rsidR="00D72851">
        <w:rPr>
          <w:rFonts w:ascii="Times" w:hAnsi="Times"/>
          <w:szCs w:val="24"/>
        </w:rPr>
        <w:t>’</w:t>
      </w:r>
      <w:r w:rsidR="00710975">
        <w:rPr>
          <w:rFonts w:ascii="Times" w:hAnsi="Times"/>
          <w:szCs w:val="24"/>
        </w:rPr>
        <w:t>adoption de procédures</w:t>
      </w:r>
      <w:r w:rsidR="0058080A">
        <w:rPr>
          <w:rFonts w:ascii="Times" w:hAnsi="Times"/>
          <w:szCs w:val="24"/>
        </w:rPr>
        <w:t>,</w:t>
      </w:r>
      <w:r w:rsidR="00710975">
        <w:rPr>
          <w:rFonts w:ascii="Times" w:hAnsi="Times"/>
          <w:szCs w:val="24"/>
        </w:rPr>
        <w:t xml:space="preserve"> </w:t>
      </w:r>
      <w:r>
        <w:rPr>
          <w:rFonts w:ascii="Times" w:hAnsi="Times"/>
          <w:szCs w:val="24"/>
        </w:rPr>
        <w:t>ou encore en choisissant délibérément de n</w:t>
      </w:r>
      <w:r w:rsidR="00D72851">
        <w:rPr>
          <w:rFonts w:ascii="Times" w:hAnsi="Times"/>
          <w:szCs w:val="24"/>
        </w:rPr>
        <w:t>’</w:t>
      </w:r>
      <w:r>
        <w:rPr>
          <w:rFonts w:ascii="Times" w:hAnsi="Times"/>
          <w:szCs w:val="24"/>
        </w:rPr>
        <w:t>intervenir qu</w:t>
      </w:r>
      <w:r w:rsidR="00D72851">
        <w:rPr>
          <w:rFonts w:ascii="Times" w:hAnsi="Times"/>
          <w:szCs w:val="24"/>
        </w:rPr>
        <w:t>’</w:t>
      </w:r>
      <w:r>
        <w:rPr>
          <w:rFonts w:ascii="Times" w:hAnsi="Times"/>
          <w:szCs w:val="24"/>
        </w:rPr>
        <w:t>en cas de faille majeure de légitim</w:t>
      </w:r>
      <w:r w:rsidR="0058080A">
        <w:rPr>
          <w:rFonts w:ascii="Times" w:hAnsi="Times"/>
          <w:szCs w:val="24"/>
        </w:rPr>
        <w:t>ité</w:t>
      </w:r>
      <w:r>
        <w:rPr>
          <w:rFonts w:ascii="Times" w:hAnsi="Times"/>
          <w:szCs w:val="24"/>
        </w:rPr>
        <w:t xml:space="preserve">, constitue </w:t>
      </w:r>
      <w:r w:rsidR="003F1744">
        <w:rPr>
          <w:rFonts w:ascii="Times" w:hAnsi="Times"/>
          <w:szCs w:val="24"/>
        </w:rPr>
        <w:t xml:space="preserve">et continue de constituer </w:t>
      </w:r>
      <w:r>
        <w:rPr>
          <w:rFonts w:ascii="Times" w:hAnsi="Times"/>
          <w:szCs w:val="24"/>
        </w:rPr>
        <w:t xml:space="preserve">un acteur incontournable de la régulation de la normalisation technique privée, et ainsi de la </w:t>
      </w:r>
      <w:r w:rsidR="004C3FF6">
        <w:rPr>
          <w:rFonts w:ascii="Times" w:hAnsi="Times"/>
          <w:szCs w:val="24"/>
        </w:rPr>
        <w:t>formation</w:t>
      </w:r>
      <w:r>
        <w:rPr>
          <w:rFonts w:ascii="Times" w:hAnsi="Times"/>
          <w:szCs w:val="24"/>
        </w:rPr>
        <w:t xml:space="preserve"> de normes de droit administratif global.</w:t>
      </w:r>
    </w:p>
    <w:p w14:paraId="10658BCE" w14:textId="77777777" w:rsidR="00EA5372" w:rsidRDefault="00EA5372" w:rsidP="00D11C33">
      <w:pPr>
        <w:spacing w:line="240" w:lineRule="auto"/>
        <w:jc w:val="both"/>
        <w:rPr>
          <w:rFonts w:ascii="Times" w:hAnsi="Times"/>
          <w:szCs w:val="24"/>
        </w:rPr>
      </w:pPr>
    </w:p>
    <w:sectPr w:rsidR="00EA5372" w:rsidSect="00E836B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C566" w14:textId="77777777" w:rsidR="00B06E1E" w:rsidRDefault="00B06E1E" w:rsidP="00CE4849">
      <w:pPr>
        <w:spacing w:line="240" w:lineRule="auto"/>
      </w:pPr>
      <w:r>
        <w:separator/>
      </w:r>
    </w:p>
  </w:endnote>
  <w:endnote w:type="continuationSeparator" w:id="0">
    <w:p w14:paraId="201A939F" w14:textId="77777777" w:rsidR="00B06E1E" w:rsidRDefault="00B06E1E" w:rsidP="00CE4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5809965"/>
      <w:docPartObj>
        <w:docPartGallery w:val="Page Numbers (Bottom of Page)"/>
        <w:docPartUnique/>
      </w:docPartObj>
    </w:sdtPr>
    <w:sdtEndPr>
      <w:rPr>
        <w:rStyle w:val="Numrodepage"/>
      </w:rPr>
    </w:sdtEndPr>
    <w:sdtContent>
      <w:p w14:paraId="4136F335" w14:textId="77777777" w:rsidR="000B4CF4" w:rsidRDefault="000B4CF4" w:rsidP="0004039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1D1370" w14:textId="77777777" w:rsidR="000B4CF4" w:rsidRDefault="000B4C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53883446"/>
      <w:docPartObj>
        <w:docPartGallery w:val="Page Numbers (Bottom of Page)"/>
        <w:docPartUnique/>
      </w:docPartObj>
    </w:sdtPr>
    <w:sdtEndPr>
      <w:rPr>
        <w:rStyle w:val="Numrodepage"/>
      </w:rPr>
    </w:sdtEndPr>
    <w:sdtContent>
      <w:p w14:paraId="2FDEEBC0" w14:textId="77777777" w:rsidR="000B4CF4" w:rsidRDefault="000B4CF4" w:rsidP="0004039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E62855">
          <w:rPr>
            <w:rStyle w:val="Numrodepage"/>
            <w:noProof/>
          </w:rPr>
          <w:t>12</w:t>
        </w:r>
        <w:r>
          <w:rPr>
            <w:rStyle w:val="Numrodepage"/>
          </w:rPr>
          <w:fldChar w:fldCharType="end"/>
        </w:r>
      </w:p>
    </w:sdtContent>
  </w:sdt>
  <w:p w14:paraId="1606F9B9" w14:textId="77777777" w:rsidR="000B4CF4" w:rsidRDefault="000B4C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42B5F" w14:textId="77777777" w:rsidR="00B06E1E" w:rsidRDefault="00B06E1E" w:rsidP="00CE4849">
      <w:pPr>
        <w:spacing w:line="240" w:lineRule="auto"/>
      </w:pPr>
      <w:r>
        <w:separator/>
      </w:r>
    </w:p>
  </w:footnote>
  <w:footnote w:type="continuationSeparator" w:id="0">
    <w:p w14:paraId="5EE4F15D" w14:textId="77777777" w:rsidR="00B06E1E" w:rsidRDefault="00B06E1E" w:rsidP="00CE4849">
      <w:pPr>
        <w:spacing w:line="240" w:lineRule="auto"/>
      </w:pPr>
      <w:r>
        <w:continuationSeparator/>
      </w:r>
    </w:p>
  </w:footnote>
  <w:footnote w:id="1">
    <w:p w14:paraId="4F4ACF5E" w14:textId="48A77DEC" w:rsidR="000B4CF4" w:rsidRPr="00BE1489" w:rsidRDefault="000B4CF4" w:rsidP="00BE1489">
      <w:pPr>
        <w:pStyle w:val="Notedebasdepage"/>
      </w:pPr>
      <w:r w:rsidRPr="00BE1489">
        <w:rPr>
          <w:rStyle w:val="Appelnotedebasdep"/>
        </w:rPr>
        <w:footnoteRef/>
      </w:r>
      <w:r w:rsidRPr="00BE1489">
        <w:t xml:space="preserve"> Maître de conférences en droit public à l</w:t>
      </w:r>
      <w:r w:rsidR="00D72851">
        <w:t>’</w:t>
      </w:r>
      <w:r w:rsidRPr="00BE1489">
        <w:t>Université de Bourgogne, CREDIMI (EA 7532) et CEDIN (EA 382).</w:t>
      </w:r>
      <w:r w:rsidR="00703D99">
        <w:t xml:space="preserve"> </w:t>
      </w:r>
      <w:r w:rsidR="0023436B">
        <w:t>L</w:t>
      </w:r>
      <w:r w:rsidR="00D72851">
        <w:t>’</w:t>
      </w:r>
      <w:r w:rsidR="0023436B">
        <w:t xml:space="preserve">auteur remercie chaleureusement V. </w:t>
      </w:r>
      <w:r w:rsidR="0023436B" w:rsidRPr="0023436B">
        <w:rPr>
          <w:smallCaps/>
        </w:rPr>
        <w:t>Ndior</w:t>
      </w:r>
      <w:r w:rsidR="0023436B">
        <w:t xml:space="preserve"> pour sa relecture et ses remarques sur cette contribution, qui est à jour au 25 octobre 2020.</w:t>
      </w:r>
    </w:p>
  </w:footnote>
  <w:footnote w:id="2">
    <w:p w14:paraId="040239FF" w14:textId="6E93DBC7" w:rsidR="000B4CF4" w:rsidRPr="00BE1489" w:rsidRDefault="000B4CF4" w:rsidP="00CB782E">
      <w:pPr>
        <w:pStyle w:val="Notedebasdepage"/>
      </w:pPr>
      <w:r w:rsidRPr="00BE1489">
        <w:rPr>
          <w:rStyle w:val="Appelnotedebasdep"/>
        </w:rPr>
        <w:footnoteRef/>
      </w:r>
      <w:r>
        <w:t> </w:t>
      </w:r>
      <w:r w:rsidRPr="00BE1489">
        <w:t>Il existe pour l</w:t>
      </w:r>
      <w:r w:rsidR="00D72851">
        <w:t>’</w:t>
      </w:r>
      <w:r w:rsidRPr="00BE1489">
        <w:t>instant peu d</w:t>
      </w:r>
      <w:r w:rsidR="00D72851">
        <w:t>’</w:t>
      </w:r>
      <w:r w:rsidRPr="00BE1489">
        <w:t xml:space="preserve">études sur </w:t>
      </w:r>
      <w:r>
        <w:t>le sujet proposé ;</w:t>
      </w:r>
      <w:r w:rsidRPr="00BE1489">
        <w:t xml:space="preserve"> </w:t>
      </w:r>
      <w:r>
        <w:t>v</w:t>
      </w:r>
      <w:r w:rsidRPr="00BE1489">
        <w:t xml:space="preserve">oir cependant </w:t>
      </w:r>
      <w:r w:rsidR="00D11C33">
        <w:t>T</w:t>
      </w:r>
      <w:r w:rsidR="008F0AAA">
        <w:t>h</w:t>
      </w:r>
      <w:r w:rsidR="00D11C33">
        <w:t xml:space="preserve">. </w:t>
      </w:r>
      <w:r w:rsidRPr="00BE1489">
        <w:t>P</w:t>
      </w:r>
      <w:r w:rsidR="00D11C33" w:rsidRPr="00D11C33">
        <w:rPr>
          <w:smallCaps/>
        </w:rPr>
        <w:t>erroud</w:t>
      </w:r>
      <w:r w:rsidRPr="00BE1489">
        <w:t xml:space="preserve">, « Standardisation internationale privée et </w:t>
      </w:r>
      <w:r w:rsidRPr="00BE1489">
        <w:rPr>
          <w:i/>
          <w:iCs/>
        </w:rPr>
        <w:t>Global administrative law</w:t>
      </w:r>
      <w:r w:rsidRPr="00BE1489">
        <w:t xml:space="preserve"> », </w:t>
      </w:r>
      <w:r w:rsidRPr="00BE1489">
        <w:rPr>
          <w:i/>
          <w:iCs/>
        </w:rPr>
        <w:t xml:space="preserve">in </w:t>
      </w:r>
      <w:r w:rsidR="00D11C33">
        <w:t xml:space="preserve">R. </w:t>
      </w:r>
      <w:r w:rsidRPr="00BE1489">
        <w:t>B</w:t>
      </w:r>
      <w:r w:rsidR="00D11C33" w:rsidRPr="00D11C33">
        <w:rPr>
          <w:smallCaps/>
        </w:rPr>
        <w:t>ismuth</w:t>
      </w:r>
      <w:r w:rsidRPr="00BE1489">
        <w:t xml:space="preserve"> (dir.), </w:t>
      </w:r>
      <w:r w:rsidRPr="00BE1489">
        <w:rPr>
          <w:i/>
          <w:iCs/>
        </w:rPr>
        <w:t>La standardisation internationale privée. Aspects juridiques</w:t>
      </w:r>
      <w:r w:rsidRPr="00BE1489">
        <w:t>, Bruxelles, Bruylant, 2014,</w:t>
      </w:r>
      <w:r>
        <w:t xml:space="preserve"> </w:t>
      </w:r>
      <w:r w:rsidRPr="00BE1489">
        <w:t>pp. 199 et ss., dont on se propose de poursuivre la réflexion.</w:t>
      </w:r>
    </w:p>
  </w:footnote>
  <w:footnote w:id="3">
    <w:p w14:paraId="64778DE1" w14:textId="17ACF422" w:rsidR="0023436B" w:rsidRPr="0023436B" w:rsidRDefault="0023436B">
      <w:pPr>
        <w:pStyle w:val="Notedebasdepage"/>
      </w:pPr>
      <w:r>
        <w:rPr>
          <w:rStyle w:val="Appelnotedebasdep"/>
        </w:rPr>
        <w:footnoteRef/>
      </w:r>
      <w:r>
        <w:t xml:space="preserve"> « </w:t>
      </w:r>
      <w:r w:rsidRPr="0023436B">
        <w:t>Le droit est la plus puissante des écoles de l</w:t>
      </w:r>
      <w:r w:rsidR="00D72851">
        <w:t>’</w:t>
      </w:r>
      <w:r w:rsidRPr="0023436B">
        <w:t>imagination. Jamais poète n</w:t>
      </w:r>
      <w:r w:rsidR="00D72851">
        <w:t>’</w:t>
      </w:r>
      <w:r w:rsidRPr="0023436B">
        <w:t>a interprété la nature aussi librement qu</w:t>
      </w:r>
      <w:r w:rsidR="00D72851">
        <w:t>’</w:t>
      </w:r>
      <w:r w:rsidRPr="0023436B">
        <w:t>un juriste la réalité</w:t>
      </w:r>
      <w:r>
        <w:t xml:space="preserve"> » (J. </w:t>
      </w:r>
      <w:r w:rsidRPr="0023436B">
        <w:rPr>
          <w:smallCaps/>
        </w:rPr>
        <w:t>Giraudoux</w:t>
      </w:r>
      <w:r>
        <w:t xml:space="preserve">, </w:t>
      </w:r>
      <w:r>
        <w:rPr>
          <w:i/>
          <w:iCs/>
        </w:rPr>
        <w:t>La guerre de Troie n</w:t>
      </w:r>
      <w:r w:rsidR="00D72851">
        <w:rPr>
          <w:i/>
          <w:iCs/>
        </w:rPr>
        <w:t>’</w:t>
      </w:r>
      <w:r>
        <w:rPr>
          <w:i/>
          <w:iCs/>
        </w:rPr>
        <w:t>aura pas lieu</w:t>
      </w:r>
      <w:r>
        <w:t> », Paris, Grasset, 1935.</w:t>
      </w:r>
    </w:p>
  </w:footnote>
  <w:footnote w:id="4">
    <w:p w14:paraId="598ACAF3" w14:textId="77777777" w:rsidR="000B4CF4" w:rsidRPr="00BE1489" w:rsidRDefault="000B4CF4" w:rsidP="00BE1489">
      <w:pPr>
        <w:pStyle w:val="Notedebasdepage"/>
      </w:pPr>
      <w:r w:rsidRPr="00BE1489">
        <w:rPr>
          <w:rStyle w:val="Appelnotedebasdep"/>
        </w:rPr>
        <w:footnoteRef/>
      </w:r>
      <w:r w:rsidRPr="00BE1489">
        <w:t> </w:t>
      </w:r>
      <w:r w:rsidR="00D11C33">
        <w:t xml:space="preserve">È. </w:t>
      </w:r>
      <w:r w:rsidRPr="00BE1489">
        <w:t>T</w:t>
      </w:r>
      <w:r w:rsidR="00D11C33" w:rsidRPr="00D11C33">
        <w:rPr>
          <w:smallCaps/>
        </w:rPr>
        <w:t>ruilhé</w:t>
      </w:r>
      <w:r w:rsidRPr="00BE1489">
        <w:t>-M</w:t>
      </w:r>
      <w:r w:rsidR="00D11C33" w:rsidRPr="00D11C33">
        <w:rPr>
          <w:smallCaps/>
        </w:rPr>
        <w:t>arengo</w:t>
      </w:r>
      <w:r w:rsidRPr="00BE1489">
        <w:t xml:space="preserve">, « Expertise et standardisation en droit du commerce international – Brèves observations sur une relation ambivalente », </w:t>
      </w:r>
      <w:r w:rsidRPr="00BE1489">
        <w:rPr>
          <w:i/>
          <w:iCs/>
        </w:rPr>
        <w:t xml:space="preserve">in </w:t>
      </w:r>
      <w:r>
        <w:rPr>
          <w:i/>
          <w:iCs/>
        </w:rPr>
        <w:t>ibid</w:t>
      </w:r>
      <w:r>
        <w:t>.</w:t>
      </w:r>
      <w:r w:rsidRPr="00BE1489">
        <w:t>, p. 38.</w:t>
      </w:r>
    </w:p>
  </w:footnote>
  <w:footnote w:id="5">
    <w:p w14:paraId="3C98C0CB" w14:textId="46E14FC4" w:rsidR="000B4CF4" w:rsidRPr="00BE1489" w:rsidRDefault="000B4CF4" w:rsidP="00BE1489">
      <w:pPr>
        <w:pStyle w:val="Notedebasdepage"/>
      </w:pPr>
      <w:r w:rsidRPr="00BE1489">
        <w:rPr>
          <w:rStyle w:val="Appelnotedebasdep"/>
        </w:rPr>
        <w:footnoteRef/>
      </w:r>
      <w:r>
        <w:t> </w:t>
      </w:r>
      <w:r w:rsidRPr="00BE1489">
        <w:t>L</w:t>
      </w:r>
      <w:r w:rsidR="00D72851">
        <w:t>’</w:t>
      </w:r>
      <w:r w:rsidRPr="00BE1489">
        <w:t>article 19.1 de l</w:t>
      </w:r>
      <w:r w:rsidR="00D72851">
        <w:t>’</w:t>
      </w:r>
      <w:r w:rsidRPr="00BE1489">
        <w:t>AECG le rappelle encore : la norme « désigne un document approuvé par un organisme reconnu qui fournit pour des usages communs et répétés, des règles […] dont le respect n</w:t>
      </w:r>
      <w:r w:rsidR="00D72851">
        <w:t>’</w:t>
      </w:r>
      <w:r w:rsidRPr="00BE1489">
        <w:t>est pas obligatoire » (Accord économique et commercial global (AECG) entre le Canada, d</w:t>
      </w:r>
      <w:r w:rsidR="00D72851">
        <w:t>’</w:t>
      </w:r>
      <w:r w:rsidRPr="00BE1489">
        <w:t>une part, et l</w:t>
      </w:r>
      <w:r w:rsidR="00D72851">
        <w:t>’</w:t>
      </w:r>
      <w:r w:rsidRPr="00BE1489">
        <w:t>Union européenne et ses États membres, d</w:t>
      </w:r>
      <w:r w:rsidR="00D72851">
        <w:t>’</w:t>
      </w:r>
      <w:r w:rsidRPr="00BE1489">
        <w:t xml:space="preserve">autre part, </w:t>
      </w:r>
      <w:r w:rsidRPr="00BE1489">
        <w:rPr>
          <w:i/>
          <w:iCs/>
        </w:rPr>
        <w:t>JOUE</w:t>
      </w:r>
      <w:r w:rsidRPr="00BE1489">
        <w:t>, 14 janvier 2017, L 11/23).</w:t>
      </w:r>
    </w:p>
  </w:footnote>
  <w:footnote w:id="6">
    <w:p w14:paraId="4B28F088" w14:textId="2A9CD01F" w:rsidR="000B4CF4" w:rsidRPr="006F01B8" w:rsidRDefault="000B4CF4" w:rsidP="00BE1489">
      <w:pPr>
        <w:spacing w:line="240" w:lineRule="auto"/>
        <w:jc w:val="both"/>
        <w:rPr>
          <w:rFonts w:ascii="Times" w:hAnsi="Times" w:cs="Times New Roman"/>
          <w:sz w:val="20"/>
          <w:szCs w:val="20"/>
          <w:lang w:val="en-US"/>
        </w:rPr>
      </w:pPr>
      <w:r w:rsidRPr="00BE1489">
        <w:rPr>
          <w:rStyle w:val="Appelnotedebasdep"/>
          <w:rFonts w:ascii="Times" w:hAnsi="Times"/>
          <w:sz w:val="20"/>
          <w:szCs w:val="20"/>
        </w:rPr>
        <w:footnoteRef/>
      </w:r>
      <w:r w:rsidRPr="006F01B8">
        <w:rPr>
          <w:rFonts w:ascii="Times" w:hAnsi="Times"/>
          <w:sz w:val="20"/>
          <w:szCs w:val="20"/>
          <w:lang w:val="en-US"/>
        </w:rPr>
        <w:t> Voir l</w:t>
      </w:r>
      <w:r w:rsidR="00D72851">
        <w:rPr>
          <w:rFonts w:ascii="Times" w:hAnsi="Times"/>
          <w:sz w:val="20"/>
          <w:szCs w:val="20"/>
          <w:lang w:val="en-US"/>
        </w:rPr>
        <w:t>’</w:t>
      </w:r>
      <w:r w:rsidRPr="006F01B8">
        <w:rPr>
          <w:rFonts w:ascii="Times" w:hAnsi="Times"/>
          <w:sz w:val="20"/>
          <w:szCs w:val="20"/>
          <w:lang w:val="en-US"/>
        </w:rPr>
        <w:t xml:space="preserve">article fondateur de </w:t>
      </w:r>
      <w:r w:rsidR="00D11C33" w:rsidRPr="006F01B8">
        <w:rPr>
          <w:rFonts w:ascii="Times" w:hAnsi="Times"/>
          <w:sz w:val="20"/>
          <w:szCs w:val="20"/>
          <w:lang w:val="en-US"/>
        </w:rPr>
        <w:t xml:space="preserve">B. </w:t>
      </w:r>
      <w:r w:rsidRPr="006F01B8">
        <w:rPr>
          <w:rFonts w:ascii="Times" w:hAnsi="Times" w:cs="Times New Roman"/>
          <w:sz w:val="20"/>
          <w:szCs w:val="20"/>
          <w:lang w:val="en-US"/>
        </w:rPr>
        <w:t>K</w:t>
      </w:r>
      <w:r w:rsidR="00D11C33" w:rsidRPr="006F01B8">
        <w:rPr>
          <w:rFonts w:ascii="Times" w:hAnsi="Times" w:cs="Times New Roman"/>
          <w:smallCaps/>
          <w:sz w:val="20"/>
          <w:szCs w:val="20"/>
          <w:lang w:val="en-US"/>
        </w:rPr>
        <w:t>ingsbury</w:t>
      </w:r>
      <w:r w:rsidR="00D11C33" w:rsidRPr="006F01B8">
        <w:rPr>
          <w:rFonts w:ascii="Times" w:hAnsi="Times" w:cs="Times New Roman"/>
          <w:sz w:val="20"/>
          <w:szCs w:val="20"/>
          <w:lang w:val="en-US"/>
        </w:rPr>
        <w:t xml:space="preserve">, N. </w:t>
      </w:r>
      <w:r w:rsidRPr="006F01B8">
        <w:rPr>
          <w:rFonts w:ascii="Times" w:hAnsi="Times" w:cs="Times New Roman"/>
          <w:sz w:val="20"/>
          <w:szCs w:val="20"/>
          <w:lang w:val="en-US"/>
        </w:rPr>
        <w:t>K</w:t>
      </w:r>
      <w:r w:rsidR="00D11C33" w:rsidRPr="006F01B8">
        <w:rPr>
          <w:rFonts w:ascii="Times" w:hAnsi="Times" w:cs="Times New Roman"/>
          <w:smallCaps/>
          <w:sz w:val="20"/>
          <w:szCs w:val="20"/>
          <w:lang w:val="en-US"/>
        </w:rPr>
        <w:t>risch</w:t>
      </w:r>
      <w:r w:rsidRPr="006F01B8">
        <w:rPr>
          <w:rFonts w:ascii="Times" w:hAnsi="Times" w:cs="Times New Roman"/>
          <w:sz w:val="20"/>
          <w:szCs w:val="20"/>
          <w:lang w:val="en-US"/>
        </w:rPr>
        <w:t xml:space="preserve">, </w:t>
      </w:r>
      <w:r w:rsidR="00D11C33" w:rsidRPr="006F01B8">
        <w:rPr>
          <w:rFonts w:ascii="Times" w:hAnsi="Times" w:cs="Times New Roman"/>
          <w:sz w:val="20"/>
          <w:szCs w:val="20"/>
          <w:lang w:val="en-US"/>
        </w:rPr>
        <w:t xml:space="preserve">R. B. </w:t>
      </w:r>
      <w:r w:rsidRPr="006F01B8">
        <w:rPr>
          <w:rFonts w:ascii="Times" w:hAnsi="Times" w:cs="Times New Roman"/>
          <w:sz w:val="20"/>
          <w:szCs w:val="20"/>
          <w:lang w:val="en-US"/>
        </w:rPr>
        <w:t>S</w:t>
      </w:r>
      <w:r w:rsidR="00D11C33" w:rsidRPr="006F01B8">
        <w:rPr>
          <w:rFonts w:ascii="Times" w:hAnsi="Times" w:cs="Times New Roman"/>
          <w:smallCaps/>
          <w:sz w:val="20"/>
          <w:szCs w:val="20"/>
          <w:lang w:val="en-US"/>
        </w:rPr>
        <w:t>tewart</w:t>
      </w:r>
      <w:r w:rsidRPr="006F01B8">
        <w:rPr>
          <w:rFonts w:ascii="Times" w:hAnsi="Times" w:cs="Times New Roman"/>
          <w:sz w:val="20"/>
          <w:szCs w:val="20"/>
          <w:lang w:val="en-US"/>
        </w:rPr>
        <w:t xml:space="preserve">, « The Emergence of Global Administrative Law », </w:t>
      </w:r>
      <w:r w:rsidRPr="006F01B8">
        <w:rPr>
          <w:rFonts w:ascii="Times" w:hAnsi="Times" w:cs="Times New Roman"/>
          <w:i/>
          <w:sz w:val="20"/>
          <w:szCs w:val="20"/>
          <w:lang w:val="en-US"/>
        </w:rPr>
        <w:t>Law and Contemporary Problems</w:t>
      </w:r>
      <w:r w:rsidRPr="006F01B8">
        <w:rPr>
          <w:rFonts w:ascii="Times" w:hAnsi="Times" w:cs="Times New Roman"/>
          <w:sz w:val="20"/>
          <w:szCs w:val="20"/>
          <w:lang w:val="en-US"/>
        </w:rPr>
        <w:t>, vol. 68, n°3-4, 2005, pp. 15-61.</w:t>
      </w:r>
    </w:p>
  </w:footnote>
  <w:footnote w:id="7">
    <w:p w14:paraId="7CA06180" w14:textId="71C78334" w:rsidR="000B4CF4" w:rsidRPr="00BE1489" w:rsidRDefault="000B4CF4" w:rsidP="00BE1489">
      <w:pPr>
        <w:pStyle w:val="Notedebasdepage"/>
      </w:pPr>
      <w:r w:rsidRPr="00BE1489">
        <w:rPr>
          <w:rStyle w:val="Appelnotedebasdep"/>
        </w:rPr>
        <w:footnoteRef/>
      </w:r>
      <w:r w:rsidRPr="00BE1489">
        <w:t xml:space="preserve"> La formule est empruntée à Sabino </w:t>
      </w:r>
      <w:r w:rsidRPr="00D11C33">
        <w:rPr>
          <w:smallCaps/>
        </w:rPr>
        <w:t>Cassese</w:t>
      </w:r>
      <w:r w:rsidRPr="00BE1489">
        <w:t xml:space="preserve">, qui a largement contribué à la réception du projet en Europe : </w:t>
      </w:r>
      <w:r w:rsidR="00D11C33">
        <w:t xml:space="preserve">S. </w:t>
      </w:r>
      <w:r w:rsidRPr="00BE1489">
        <w:t>C</w:t>
      </w:r>
      <w:r w:rsidR="00D11C33" w:rsidRPr="00D11C33">
        <w:rPr>
          <w:smallCaps/>
        </w:rPr>
        <w:t>assese</w:t>
      </w:r>
      <w:r w:rsidRPr="00BE1489">
        <w:t xml:space="preserve">, </w:t>
      </w:r>
      <w:r w:rsidRPr="00BE1489">
        <w:rPr>
          <w:i/>
        </w:rPr>
        <w:t>Au-delà de l</w:t>
      </w:r>
      <w:r w:rsidR="00D72851">
        <w:rPr>
          <w:i/>
        </w:rPr>
        <w:t>’</w:t>
      </w:r>
      <w:r w:rsidRPr="00BE1489">
        <w:rPr>
          <w:i/>
        </w:rPr>
        <w:t>État</w:t>
      </w:r>
      <w:r w:rsidRPr="00BE1489">
        <w:t>, Bruxelles, Bruylant, 2011, 235 p.</w:t>
      </w:r>
    </w:p>
  </w:footnote>
  <w:footnote w:id="8">
    <w:p w14:paraId="2FC9725F" w14:textId="77777777" w:rsidR="000B4CF4" w:rsidRPr="00BE1489" w:rsidRDefault="000B4CF4" w:rsidP="00BE1489">
      <w:pPr>
        <w:pStyle w:val="Notedebasdepage"/>
      </w:pPr>
      <w:r w:rsidRPr="00BE1489">
        <w:rPr>
          <w:rStyle w:val="Appelnotedebasdep"/>
        </w:rPr>
        <w:footnoteRef/>
      </w:r>
      <w:r>
        <w:t> </w:t>
      </w:r>
      <w:r w:rsidRPr="00BE1489">
        <w:t xml:space="preserve">La formule est cette fois-ci empruntée, par Benedict </w:t>
      </w:r>
      <w:r w:rsidRPr="00D11C33">
        <w:rPr>
          <w:smallCaps/>
        </w:rPr>
        <w:t>Kingsbury</w:t>
      </w:r>
      <w:r w:rsidRPr="00BE1489">
        <w:t xml:space="preserve">, à Jean </w:t>
      </w:r>
      <w:r w:rsidRPr="00D11C33">
        <w:rPr>
          <w:smallCaps/>
        </w:rPr>
        <w:t>Rivero</w:t>
      </w:r>
      <w:r w:rsidRPr="00BE1489">
        <w:t xml:space="preserve"> : </w:t>
      </w:r>
      <w:r w:rsidR="00D11C33">
        <w:t xml:space="preserve">B. </w:t>
      </w:r>
      <w:r w:rsidR="00D11C33" w:rsidRPr="00D11C33">
        <w:rPr>
          <w:smallCaps/>
        </w:rPr>
        <w:t>Kingsbury</w:t>
      </w:r>
      <w:r w:rsidR="00D11C33">
        <w:rPr>
          <w:smallCaps/>
        </w:rPr>
        <w:t>,</w:t>
      </w:r>
      <w:r w:rsidRPr="00BE1489">
        <w:t xml:space="preserve"> </w:t>
      </w:r>
      <w:r w:rsidR="00D11C33">
        <w:t xml:space="preserve">A. </w:t>
      </w:r>
      <w:r w:rsidRPr="00BE1489">
        <w:t>P</w:t>
      </w:r>
      <w:r w:rsidR="00D11C33" w:rsidRPr="00D11C33">
        <w:rPr>
          <w:smallCaps/>
        </w:rPr>
        <w:t>elle</w:t>
      </w:r>
      <w:r w:rsidR="00D11C33">
        <w:rPr>
          <w:smallCaps/>
        </w:rPr>
        <w:t>t</w:t>
      </w:r>
      <w:r w:rsidRPr="00BE1489">
        <w:t xml:space="preserve">, « Views on the development of a Global Administrative Law », </w:t>
      </w:r>
      <w:r w:rsidRPr="00BE1489">
        <w:rPr>
          <w:i/>
        </w:rPr>
        <w:t>in</w:t>
      </w:r>
      <w:r w:rsidRPr="00BE1489">
        <w:t xml:space="preserve"> BORIES Clémentine (dir.), </w:t>
      </w:r>
      <w:r w:rsidRPr="00BE1489">
        <w:rPr>
          <w:i/>
          <w:iCs/>
        </w:rPr>
        <w:t>Un droit administratif global</w:t>
      </w:r>
      <w:r w:rsidRPr="00BE1489">
        <w:rPr>
          <w:rFonts w:ascii="Times New Roman" w:hAnsi="Times New Roman" w:cs="Times New Roman"/>
          <w:i/>
          <w:iCs/>
        </w:rPr>
        <w:t> </w:t>
      </w:r>
      <w:r w:rsidRPr="00BE1489">
        <w:rPr>
          <w:i/>
          <w:iCs/>
        </w:rPr>
        <w:t>? / A Global Administrative Law</w:t>
      </w:r>
      <w:r w:rsidRPr="00BE1489">
        <w:rPr>
          <w:rFonts w:ascii="Times New Roman" w:hAnsi="Times New Roman" w:cs="Times New Roman"/>
          <w:i/>
          <w:iCs/>
        </w:rPr>
        <w:t> </w:t>
      </w:r>
      <w:r w:rsidRPr="00BE1489">
        <w:rPr>
          <w:i/>
          <w:iCs/>
        </w:rPr>
        <w:t>? Actes du colloque des 16 et 17 juin 2011</w:t>
      </w:r>
      <w:r w:rsidRPr="00BE1489">
        <w:t>, Paris, Pedone, coll. Cahiers internationaux, CEDIN, CRDP, n° 28, 2012, p. 13.</w:t>
      </w:r>
    </w:p>
  </w:footnote>
  <w:footnote w:id="9">
    <w:p w14:paraId="5E357E8D" w14:textId="76A9BE1D" w:rsidR="000B4CF4" w:rsidRPr="00BE1489" w:rsidRDefault="000B4CF4" w:rsidP="00BE1489">
      <w:pPr>
        <w:pStyle w:val="Notedebasdepage"/>
      </w:pPr>
      <w:r w:rsidRPr="00BE1489">
        <w:rPr>
          <w:rStyle w:val="Appelnotedebasdep"/>
        </w:rPr>
        <w:footnoteRef/>
      </w:r>
      <w:r w:rsidRPr="00BE1489">
        <w:t xml:space="preserve"> Sur ce choix de se démarquer du projet prescriptif du </w:t>
      </w:r>
      <w:r w:rsidRPr="00BE1489">
        <w:rPr>
          <w:i/>
          <w:iCs/>
        </w:rPr>
        <w:t>GAL</w:t>
      </w:r>
      <w:r w:rsidRPr="00BE1489">
        <w:t xml:space="preserve"> pour adopter</w:t>
      </w:r>
      <w:r w:rsidR="009611E8">
        <w:t>, entre autres,</w:t>
      </w:r>
      <w:r w:rsidRPr="00BE1489">
        <w:t xml:space="preserve"> une vision de droit positif, l</w:t>
      </w:r>
      <w:r w:rsidR="00D72851">
        <w:t>’</w:t>
      </w:r>
      <w:r w:rsidRPr="00BE1489">
        <w:t xml:space="preserve">on se permet de renvoyer vers R. </w:t>
      </w:r>
      <w:r w:rsidRPr="00D11C33">
        <w:rPr>
          <w:smallCaps/>
        </w:rPr>
        <w:t>Maurel</w:t>
      </w:r>
      <w:r w:rsidRPr="00BE1489">
        <w:t xml:space="preserve">, </w:t>
      </w:r>
      <w:r w:rsidRPr="00BE1489">
        <w:rPr>
          <w:i/>
          <w:iCs/>
        </w:rPr>
        <w:t>Les sources du droit administratif global</w:t>
      </w:r>
      <w:r w:rsidRPr="00BE1489">
        <w:t>, Thèse de droit public soutenue le 2 décembre 2019 à l</w:t>
      </w:r>
      <w:r w:rsidR="00D72851">
        <w:t>’</w:t>
      </w:r>
      <w:r w:rsidRPr="00BE1489">
        <w:t>Université Clermont Auvergne, notamment les propos introductifs §§43 et suivants.</w:t>
      </w:r>
    </w:p>
  </w:footnote>
  <w:footnote w:id="10">
    <w:p w14:paraId="4544D179" w14:textId="098DADE9" w:rsidR="000B4CF4" w:rsidRPr="00BE1489" w:rsidRDefault="000B4CF4" w:rsidP="00BE1489">
      <w:pPr>
        <w:pStyle w:val="Notedebasdepage"/>
      </w:pPr>
      <w:r w:rsidRPr="00BE1489">
        <w:rPr>
          <w:rStyle w:val="Appelnotedebasdep"/>
        </w:rPr>
        <w:footnoteRef/>
      </w:r>
      <w:r w:rsidRPr="00BE1489">
        <w:t xml:space="preserve"> </w:t>
      </w:r>
      <w:r w:rsidR="00F5544A">
        <w:t xml:space="preserve">La Commission du </w:t>
      </w:r>
      <w:r w:rsidR="00F5544A">
        <w:rPr>
          <w:i/>
          <w:iCs/>
        </w:rPr>
        <w:t xml:space="preserve">Codex Alimentarius </w:t>
      </w:r>
      <w:r w:rsidR="00F5544A">
        <w:t xml:space="preserve">est un organisme subsidiaire commun </w:t>
      </w:r>
      <w:r w:rsidR="00F5544A" w:rsidRPr="00F5544A">
        <w:t>de l</w:t>
      </w:r>
      <w:r w:rsidR="00D72851">
        <w:t>’</w:t>
      </w:r>
      <w:r w:rsidR="00F5544A" w:rsidRPr="00F5544A">
        <w:t>Organisation des Nations unies pour l</w:t>
      </w:r>
      <w:r w:rsidR="00D72851">
        <w:t>’</w:t>
      </w:r>
      <w:r w:rsidR="00F5544A" w:rsidRPr="00F5544A">
        <w:t>alimentation et l</w:t>
      </w:r>
      <w:r w:rsidR="00D72851">
        <w:t>’</w:t>
      </w:r>
      <w:r w:rsidR="00F5544A" w:rsidRPr="00F5544A">
        <w:t>agriculture (FAO) et de l</w:t>
      </w:r>
      <w:r w:rsidR="00D72851">
        <w:t>’</w:t>
      </w:r>
      <w:r w:rsidR="00F5544A" w:rsidRPr="00F5544A">
        <w:t>Organisation mondiale de la santé (OMS).</w:t>
      </w:r>
      <w:r w:rsidR="00F5544A" w:rsidRPr="00F5544A">
        <w:t xml:space="preserve"> </w:t>
      </w:r>
      <w:r w:rsidRPr="00BE1489">
        <w:t xml:space="preserve">Cet exemple est régulièrement donné, et étudié, par les auteurs du </w:t>
      </w:r>
      <w:r w:rsidRPr="00BE1489">
        <w:rPr>
          <w:i/>
          <w:iCs/>
        </w:rPr>
        <w:t>GAL</w:t>
      </w:r>
      <w:r w:rsidRPr="00BE1489">
        <w:t xml:space="preserve">. V. par exemple </w:t>
      </w:r>
      <w:r w:rsidR="00D11C33">
        <w:t xml:space="preserve">D. </w:t>
      </w:r>
      <w:r w:rsidRPr="00BE1489">
        <w:t>B</w:t>
      </w:r>
      <w:r w:rsidR="00D11C33" w:rsidRPr="00D11C33">
        <w:rPr>
          <w:smallCaps/>
        </w:rPr>
        <w:t>evilacqua</w:t>
      </w:r>
      <w:r w:rsidRPr="00BE1489">
        <w:t xml:space="preserve">, « Competing Interests: Food Safety Standards and the Codex Alimentarius Commission », </w:t>
      </w:r>
      <w:r w:rsidRPr="00BE1489">
        <w:rPr>
          <w:i/>
        </w:rPr>
        <w:t>in</w:t>
      </w:r>
      <w:r w:rsidRPr="00BE1489">
        <w:t xml:space="preserve"> </w:t>
      </w:r>
      <w:r w:rsidR="00D11C33">
        <w:t xml:space="preserve">S. </w:t>
      </w:r>
      <w:r w:rsidRPr="00BE1489">
        <w:t>C</w:t>
      </w:r>
      <w:r w:rsidR="00D11C33" w:rsidRPr="00D11C33">
        <w:rPr>
          <w:smallCaps/>
        </w:rPr>
        <w:t>assese</w:t>
      </w:r>
      <w:r w:rsidRPr="00BE1489">
        <w:t xml:space="preserve">, </w:t>
      </w:r>
      <w:r w:rsidR="00D11C33">
        <w:t xml:space="preserve">B. </w:t>
      </w:r>
      <w:r w:rsidRPr="00BE1489">
        <w:t>C</w:t>
      </w:r>
      <w:r w:rsidR="00D11C33" w:rsidRPr="00D11C33">
        <w:rPr>
          <w:smallCaps/>
        </w:rPr>
        <w:t>arotti</w:t>
      </w:r>
      <w:r w:rsidRPr="00BE1489">
        <w:t xml:space="preserve">, </w:t>
      </w:r>
      <w:r w:rsidR="00D11C33">
        <w:t xml:space="preserve">L. </w:t>
      </w:r>
      <w:r w:rsidRPr="00BE1489">
        <w:t>C</w:t>
      </w:r>
      <w:r w:rsidR="00D11C33" w:rsidRPr="00D11C33">
        <w:rPr>
          <w:smallCaps/>
        </w:rPr>
        <w:t>asini</w:t>
      </w:r>
      <w:r w:rsidRPr="00BE1489">
        <w:t xml:space="preserve">, </w:t>
      </w:r>
      <w:r w:rsidR="00D11C33">
        <w:t xml:space="preserve">E. </w:t>
      </w:r>
      <w:r w:rsidRPr="00BE1489">
        <w:t>C</w:t>
      </w:r>
      <w:r w:rsidR="00D11C33" w:rsidRPr="00D11C33">
        <w:rPr>
          <w:smallCaps/>
        </w:rPr>
        <w:t>avalieri</w:t>
      </w:r>
      <w:r w:rsidRPr="00BE1489">
        <w:t xml:space="preserve">, </w:t>
      </w:r>
      <w:r w:rsidR="00D11C33">
        <w:t xml:space="preserve">E. </w:t>
      </w:r>
      <w:r w:rsidRPr="00BE1489">
        <w:t>Mc D</w:t>
      </w:r>
      <w:r w:rsidR="00D11C33" w:rsidRPr="00D11C33">
        <w:rPr>
          <w:smallCaps/>
        </w:rPr>
        <w:t>onald</w:t>
      </w:r>
      <w:r w:rsidRPr="00BE1489">
        <w:t xml:space="preserve"> (dir.) with the collaboration of </w:t>
      </w:r>
      <w:r w:rsidR="00D11C33">
        <w:t xml:space="preserve">M. </w:t>
      </w:r>
      <w:r w:rsidRPr="00BE1489">
        <w:t>M</w:t>
      </w:r>
      <w:r w:rsidR="00D11C33" w:rsidRPr="00D11C33">
        <w:rPr>
          <w:smallCaps/>
        </w:rPr>
        <w:t>acchia</w:t>
      </w:r>
      <w:r w:rsidR="00D11C33">
        <w:t xml:space="preserve"> </w:t>
      </w:r>
      <w:r w:rsidRPr="00BE1489">
        <w:t xml:space="preserve">and </w:t>
      </w:r>
      <w:r w:rsidR="00D11C33">
        <w:t xml:space="preserve">M. </w:t>
      </w:r>
      <w:r w:rsidRPr="00BE1489">
        <w:t>S</w:t>
      </w:r>
      <w:r w:rsidR="00D11C33" w:rsidRPr="00D11C33">
        <w:rPr>
          <w:smallCaps/>
        </w:rPr>
        <w:t>avino</w:t>
      </w:r>
      <w:r w:rsidRPr="00BE1489">
        <w:t xml:space="preserve">, </w:t>
      </w:r>
      <w:r w:rsidRPr="00BE1489">
        <w:rPr>
          <w:i/>
        </w:rPr>
        <w:t>Global Administrative Law : The Casebook</w:t>
      </w:r>
      <w:r w:rsidRPr="00BE1489">
        <w:t>, Third Edition, Rome-Edimburgh-New York, IRPA/IILJ, 2012, vol. I. States and Global Administrations in Context, pp. 43-44.</w:t>
      </w:r>
    </w:p>
  </w:footnote>
  <w:footnote w:id="11">
    <w:p w14:paraId="7C24D829" w14:textId="033D674E" w:rsidR="000B4CF4" w:rsidRDefault="000B4CF4">
      <w:pPr>
        <w:pStyle w:val="Notedebasdepage"/>
      </w:pPr>
      <w:r>
        <w:rPr>
          <w:rStyle w:val="Appelnotedebasdep"/>
        </w:rPr>
        <w:footnoteRef/>
      </w:r>
      <w:r>
        <w:t xml:space="preserve"> </w:t>
      </w:r>
      <w:r w:rsidR="00D11C33">
        <w:t xml:space="preserve">I. </w:t>
      </w:r>
      <w:r w:rsidRPr="00D11C33">
        <w:rPr>
          <w:smallCaps/>
        </w:rPr>
        <w:t>C</w:t>
      </w:r>
      <w:r w:rsidR="00D11C33" w:rsidRPr="00D11C33">
        <w:rPr>
          <w:smallCaps/>
        </w:rPr>
        <w:t>adet</w:t>
      </w:r>
      <w:r w:rsidRPr="00676D0B">
        <w:t>, « La norme ISO</w:t>
      </w:r>
      <w:r w:rsidRPr="00676D0B">
        <w:fldChar w:fldCharType="begin"/>
      </w:r>
      <w:r w:rsidRPr="00676D0B">
        <w:instrText xml:space="preserve"> XE "</w:instrText>
      </w:r>
      <w:r w:rsidRPr="00676D0B">
        <w:rPr>
          <w:rFonts w:cs="Calibri"/>
          <w:color w:val="000000"/>
        </w:rPr>
        <w:instrText>Normes:ISO"</w:instrText>
      </w:r>
      <w:r w:rsidRPr="00676D0B">
        <w:instrText xml:space="preserve"> </w:instrText>
      </w:r>
      <w:r w:rsidRPr="00676D0B">
        <w:fldChar w:fldCharType="end"/>
      </w:r>
      <w:r w:rsidRPr="00676D0B">
        <w:t xml:space="preserve"> 26000 relative à la responsabilité sociétale : une nouvelle source d</w:t>
      </w:r>
      <w:r w:rsidR="00D72851">
        <w:t>’</w:t>
      </w:r>
      <w:r w:rsidRPr="00676D0B">
        <w:t xml:space="preserve">usages internationaux », </w:t>
      </w:r>
      <w:r w:rsidRPr="00676D0B">
        <w:rPr>
          <w:i/>
        </w:rPr>
        <w:t>RIDE</w:t>
      </w:r>
      <w:r w:rsidRPr="00676D0B">
        <w:t>, t. XXIV, n° 4, 2010, p. 404. Notons à ce stade qu</w:t>
      </w:r>
      <w:r w:rsidR="00D72851">
        <w:t>’</w:t>
      </w:r>
      <w:r w:rsidRPr="00676D0B">
        <w:t>il existe parfois un flottement définitionnel autour du terme « privé » concernant la normalisation technique</w:t>
      </w:r>
      <w:r>
        <w:t xml:space="preserve"> et particulièrement l</w:t>
      </w:r>
      <w:r w:rsidR="00D72851">
        <w:t>’</w:t>
      </w:r>
      <w:r>
        <w:t xml:space="preserve">ISO, qui </w:t>
      </w:r>
      <w:r w:rsidRPr="00676D0B">
        <w:t>distingue la normalisation internationale de la normalisation privée et affirme que son activité ne relève pas de la normalisation privée. L</w:t>
      </w:r>
      <w:r w:rsidR="00D72851">
        <w:t>’</w:t>
      </w:r>
      <w:r w:rsidRPr="00676D0B">
        <w:t xml:space="preserve">organisation considère </w:t>
      </w:r>
      <w:r>
        <w:t xml:space="preserve">ainsi </w:t>
      </w:r>
      <w:r w:rsidRPr="00676D0B">
        <w:t>qu</w:t>
      </w:r>
      <w:r w:rsidR="00D72851">
        <w:t>’</w:t>
      </w:r>
      <w:r w:rsidRPr="00676D0B">
        <w:t>à partir du moment où elle est reconnue par le droit de l</w:t>
      </w:r>
      <w:r w:rsidR="00D72851">
        <w:t>’</w:t>
      </w:r>
      <w:r w:rsidRPr="00676D0B">
        <w:t>OMC, et spécifiquement par l</w:t>
      </w:r>
      <w:r w:rsidR="00D72851">
        <w:t>’</w:t>
      </w:r>
      <w:r w:rsidRPr="00676D0B">
        <w:t>Accord sur les obstacles techniques au commerce (« accord OTC »), elle dispose d</w:t>
      </w:r>
      <w:r w:rsidR="00D72851">
        <w:t>’</w:t>
      </w:r>
      <w:r w:rsidRPr="00676D0B">
        <w:t>une forme de personnalité juridique internationale. Sans se prononcer sur cette affirmation qui peut, selon les obédiences doctrinales du commentateur, être admise, l</w:t>
      </w:r>
      <w:r w:rsidR="00D72851">
        <w:t>’</w:t>
      </w:r>
      <w:r w:rsidRPr="00676D0B">
        <w:t>ISO demeure une association de droit privé suisse : il s</w:t>
      </w:r>
      <w:r w:rsidR="00D72851">
        <w:t>’</w:t>
      </w:r>
      <w:r w:rsidRPr="00676D0B">
        <w:t>agit donc, statutairement, d</w:t>
      </w:r>
      <w:r w:rsidR="00D72851">
        <w:t>’</w:t>
      </w:r>
      <w:r w:rsidRPr="00676D0B">
        <w:t>une organisation de normalisation privée.</w:t>
      </w:r>
    </w:p>
  </w:footnote>
  <w:footnote w:id="12">
    <w:p w14:paraId="2C85887E" w14:textId="3019A074" w:rsidR="000B4CF4" w:rsidRDefault="000B4CF4">
      <w:pPr>
        <w:pStyle w:val="Notedebasdepage"/>
      </w:pPr>
      <w:r>
        <w:rPr>
          <w:rStyle w:val="Appelnotedebasdep"/>
        </w:rPr>
        <w:footnoteRef/>
      </w:r>
      <w:r>
        <w:t xml:space="preserve"> Voir par exemple </w:t>
      </w:r>
      <w:r w:rsidRPr="00B37A2A">
        <w:t xml:space="preserve">Règlement (UE) 2019/237 de la Commission du 8 février 2019 modifiant le règlement (CE) n° 1126/2008 portant adoption de certaines normes comptables internationales conformément au règlement (CE) n° 1606/2002 du Parlement européen et du Conseil, en ce qui concerne la norme comptable internationale IAS 28, </w:t>
      </w:r>
      <w:r w:rsidRPr="00B37A2A">
        <w:rPr>
          <w:i/>
        </w:rPr>
        <w:t>JOUE</w:t>
      </w:r>
      <w:r w:rsidRPr="00B37A2A">
        <w:t>, 11 février 2019, L 39/1.</w:t>
      </w:r>
    </w:p>
  </w:footnote>
  <w:footnote w:id="13">
    <w:p w14:paraId="19D21D52" w14:textId="48A7CE02" w:rsidR="000B4CF4" w:rsidRDefault="000B4CF4">
      <w:pPr>
        <w:pStyle w:val="Notedebasdepage"/>
      </w:pPr>
      <w:r>
        <w:rPr>
          <w:rStyle w:val="Appelnotedebasdep"/>
        </w:rPr>
        <w:footnoteRef/>
      </w:r>
      <w:r>
        <w:t xml:space="preserve"> Statuts de l</w:t>
      </w:r>
      <w:r w:rsidR="00D72851">
        <w:t>’</w:t>
      </w:r>
      <w:r>
        <w:t>ISO, article 22.1.</w:t>
      </w:r>
    </w:p>
  </w:footnote>
  <w:footnote w:id="14">
    <w:p w14:paraId="70470372" w14:textId="7FCB0F20" w:rsidR="00D72851" w:rsidRDefault="00D72851">
      <w:pPr>
        <w:pStyle w:val="Notedebasdepage"/>
      </w:pPr>
      <w:r>
        <w:rPr>
          <w:rStyle w:val="Appelnotedebasdep"/>
        </w:rPr>
        <w:footnoteRef/>
      </w:r>
      <w:r>
        <w:t xml:space="preserve"> Soit environ 110 euros, en octobre 2020.</w:t>
      </w:r>
    </w:p>
  </w:footnote>
  <w:footnote w:id="15">
    <w:p w14:paraId="2CBB9A92" w14:textId="026163FE" w:rsidR="000B4CF4" w:rsidRDefault="000B4CF4">
      <w:pPr>
        <w:pStyle w:val="Notedebasdepage"/>
      </w:pPr>
      <w:r>
        <w:rPr>
          <w:rStyle w:val="Appelnotedebasdep"/>
        </w:rPr>
        <w:footnoteRef/>
      </w:r>
      <w:r>
        <w:t xml:space="preserve"> Voir le site internet de l</w:t>
      </w:r>
      <w:r w:rsidR="00D72851">
        <w:t>’</w:t>
      </w:r>
      <w:r>
        <w:t xml:space="preserve">ISO : </w:t>
      </w:r>
      <w:hyperlink r:id="rId1" w:history="1">
        <w:r w:rsidRPr="00DB291C">
          <w:rPr>
            <w:rStyle w:val="Lienhypertexte"/>
          </w:rPr>
          <w:t>https://www.iso.org/fr/standard/74965.html</w:t>
        </w:r>
      </w:hyperlink>
      <w:r>
        <w:t xml:space="preserve"> (consulté le 25 octobre 2020).</w:t>
      </w:r>
    </w:p>
  </w:footnote>
  <w:footnote w:id="16">
    <w:p w14:paraId="3425AD54" w14:textId="25204030" w:rsidR="000B4CF4" w:rsidRDefault="000B4CF4">
      <w:pPr>
        <w:pStyle w:val="Notedebasdepage"/>
      </w:pPr>
      <w:r>
        <w:rPr>
          <w:rStyle w:val="Appelnotedebasdep"/>
        </w:rPr>
        <w:footnoteRef/>
      </w:r>
      <w:r>
        <w:t xml:space="preserve"> Voir le site internet de l</w:t>
      </w:r>
      <w:r w:rsidR="00D72851">
        <w:t>’</w:t>
      </w:r>
      <w:r>
        <w:t xml:space="preserve">IFRS : </w:t>
      </w:r>
      <w:hyperlink r:id="rId2" w:history="1">
        <w:r w:rsidRPr="00DB291C">
          <w:rPr>
            <w:rStyle w:val="Lienhypertexte"/>
          </w:rPr>
          <w:t>https://www.ifrs.org/issued-standards/list-of-standards/</w:t>
        </w:r>
      </w:hyperlink>
      <w:r>
        <w:t xml:space="preserve"> (consulté le 25 octobre 2020).</w:t>
      </w:r>
    </w:p>
  </w:footnote>
  <w:footnote w:id="17">
    <w:p w14:paraId="247744A3" w14:textId="77777777" w:rsidR="000B4CF4" w:rsidRPr="006F01B8" w:rsidRDefault="000B4CF4" w:rsidP="00BC2627">
      <w:pPr>
        <w:pStyle w:val="Notedebasdepage"/>
        <w:rPr>
          <w:lang w:val="en-US"/>
        </w:rPr>
      </w:pPr>
      <w:r>
        <w:rPr>
          <w:rStyle w:val="Appelnotedebasdep"/>
        </w:rPr>
        <w:footnoteRef/>
      </w:r>
      <w:r>
        <w:t xml:space="preserve"> Voir en particulier la page « FAQs » consacrée à cette mise en ligne gratuite : « </w:t>
      </w:r>
      <w:r w:rsidRPr="00BC2627">
        <w:rPr>
          <w:i/>
          <w:iCs/>
        </w:rPr>
        <w:t xml:space="preserve">Why have you decided to provide this content free of charge? </w:t>
      </w:r>
      <w:r w:rsidRPr="006F01B8">
        <w:rPr>
          <w:lang w:val="en-US"/>
        </w:rPr>
        <w:t>The IFRS Foundation always encourages the use and adoption of IFRS Standards. By making the unaccompanied Standards available without charge, we hope that we can reach a wider audience by giving more people ready access to the Standards » (</w:t>
      </w:r>
      <w:hyperlink r:id="rId3" w:history="1">
        <w:r w:rsidRPr="006F01B8">
          <w:rPr>
            <w:rStyle w:val="Lienhypertexte"/>
            <w:lang w:val="en-US"/>
          </w:rPr>
          <w:t>https://www.ifrs.org/issued-standards/unaccompanied-standards-faqs/</w:t>
        </w:r>
      </w:hyperlink>
      <w:r w:rsidRPr="006F01B8">
        <w:rPr>
          <w:lang w:val="en-US"/>
        </w:rPr>
        <w:t> ; lien consulté le 25 octobre 2020).</w:t>
      </w:r>
    </w:p>
  </w:footnote>
  <w:footnote w:id="18">
    <w:p w14:paraId="0E90E1E2" w14:textId="1DAE15D5" w:rsidR="000B4CF4" w:rsidRDefault="000B4CF4">
      <w:pPr>
        <w:pStyle w:val="Notedebasdepage"/>
      </w:pPr>
      <w:r>
        <w:rPr>
          <w:rStyle w:val="Appelnotedebasdep"/>
        </w:rPr>
        <w:footnoteRef/>
      </w:r>
      <w:r>
        <w:t xml:space="preserve"> Le </w:t>
      </w:r>
      <w:r w:rsidR="00263E82">
        <w:t>d</w:t>
      </w:r>
      <w:r w:rsidRPr="00650B31">
        <w:t xml:space="preserve">écret n° 2009-697 </w:t>
      </w:r>
      <w:r>
        <w:t xml:space="preserve">du 16 juin 2009 </w:t>
      </w:r>
      <w:r w:rsidRPr="00650B31">
        <w:t>relatif à la normalisation</w:t>
      </w:r>
      <w:r>
        <w:t xml:space="preserve"> prévoit en effet que « [l]a normalisation est une activité d</w:t>
      </w:r>
      <w:r w:rsidR="00D72851">
        <w:t>’</w:t>
      </w:r>
      <w:r>
        <w:t>intérêt général ».</w:t>
      </w:r>
    </w:p>
  </w:footnote>
  <w:footnote w:id="19">
    <w:p w14:paraId="67364536" w14:textId="77777777" w:rsidR="000B4CF4" w:rsidRPr="00040397" w:rsidRDefault="000B4CF4">
      <w:pPr>
        <w:pStyle w:val="Notedebasdepage"/>
      </w:pPr>
      <w:r>
        <w:rPr>
          <w:rStyle w:val="Appelnotedebasdep"/>
        </w:rPr>
        <w:footnoteRef/>
      </w:r>
      <w:r>
        <w:t xml:space="preserve"> Voir </w:t>
      </w:r>
      <w:r>
        <w:rPr>
          <w:i/>
          <w:iCs/>
        </w:rPr>
        <w:t>infra</w:t>
      </w:r>
      <w:r>
        <w:t>, I.B.</w:t>
      </w:r>
    </w:p>
  </w:footnote>
  <w:footnote w:id="20">
    <w:p w14:paraId="280A059B" w14:textId="77777777" w:rsidR="000B4CF4" w:rsidRPr="008C586C" w:rsidRDefault="000B4CF4">
      <w:pPr>
        <w:pStyle w:val="Notedebasdepage"/>
      </w:pPr>
      <w:r>
        <w:rPr>
          <w:rStyle w:val="Appelnotedebasdep"/>
        </w:rPr>
        <w:footnoteRef/>
      </w:r>
      <w:r>
        <w:t xml:space="preserve"> </w:t>
      </w:r>
      <w:r w:rsidR="008F0AAA">
        <w:t xml:space="preserve">Th. </w:t>
      </w:r>
      <w:r w:rsidRPr="008F0AAA">
        <w:rPr>
          <w:smallCaps/>
        </w:rPr>
        <w:t>P</w:t>
      </w:r>
      <w:r w:rsidR="008F0AAA" w:rsidRPr="008F0AAA">
        <w:rPr>
          <w:smallCaps/>
        </w:rPr>
        <w:t>erroud</w:t>
      </w:r>
      <w:r w:rsidRPr="00BE1489">
        <w:t xml:space="preserve">, « Standardisation internationale privée et </w:t>
      </w:r>
      <w:r w:rsidRPr="00BE1489">
        <w:rPr>
          <w:i/>
          <w:iCs/>
        </w:rPr>
        <w:t>Global administrative law</w:t>
      </w:r>
      <w:r w:rsidRPr="00BE1489">
        <w:t> »,</w:t>
      </w:r>
      <w:r>
        <w:t xml:space="preserve"> </w:t>
      </w:r>
      <w:r>
        <w:rPr>
          <w:i/>
          <w:iCs/>
        </w:rPr>
        <w:t>op</w:t>
      </w:r>
      <w:r>
        <w:t xml:space="preserve">. </w:t>
      </w:r>
      <w:r>
        <w:rPr>
          <w:i/>
          <w:iCs/>
        </w:rPr>
        <w:t>cit</w:t>
      </w:r>
      <w:r>
        <w:t xml:space="preserve">. note </w:t>
      </w:r>
      <w:r>
        <w:fldChar w:fldCharType="begin"/>
      </w:r>
      <w:r>
        <w:instrText xml:space="preserve"> NOTEREF _Ref54637776 \h </w:instrText>
      </w:r>
      <w:r>
        <w:fldChar w:fldCharType="separate"/>
      </w:r>
      <w:r>
        <w:t>2</w:t>
      </w:r>
      <w:r>
        <w:fldChar w:fldCharType="end"/>
      </w:r>
      <w:r>
        <w:t>, p. 202.</w:t>
      </w:r>
    </w:p>
  </w:footnote>
  <w:footnote w:id="21">
    <w:p w14:paraId="2385CEBF" w14:textId="1C1157AD" w:rsidR="000B4CF4" w:rsidRPr="00BE1489" w:rsidRDefault="000B4CF4" w:rsidP="00BE1489">
      <w:pPr>
        <w:pStyle w:val="Notedebasdepage"/>
      </w:pPr>
      <w:r w:rsidRPr="00BE1489">
        <w:rPr>
          <w:rStyle w:val="Appelnotedebasdep"/>
        </w:rPr>
        <w:footnoteRef/>
      </w:r>
      <w:r>
        <w:t> </w:t>
      </w:r>
      <w:r w:rsidRPr="000D7C33">
        <w:t>Conseil de l</w:t>
      </w:r>
      <w:r w:rsidR="00D72851">
        <w:t>’</w:t>
      </w:r>
      <w:r w:rsidRPr="000D7C33">
        <w:t>ISO</w:t>
      </w:r>
      <w:r>
        <w:fldChar w:fldCharType="begin"/>
      </w:r>
      <w:r>
        <w:instrText xml:space="preserve"> XE "</w:instrText>
      </w:r>
      <w:r>
        <w:rPr>
          <w:rFonts w:ascii="Calibri" w:hAnsi="Calibri" w:cs="Calibri"/>
          <w:color w:val="000000"/>
        </w:rPr>
        <w:instrText>Normes:ISO"</w:instrText>
      </w:r>
      <w:r>
        <w:instrText xml:space="preserve"> </w:instrText>
      </w:r>
      <w:r>
        <w:fldChar w:fldCharType="end"/>
      </w:r>
      <w:r w:rsidRPr="000D7C33">
        <w:t>, Résolution 48/1964 « Organisations nationales et internationales de Consommateurs Liaisons ».</w:t>
      </w:r>
    </w:p>
  </w:footnote>
  <w:footnote w:id="22">
    <w:p w14:paraId="5F593B25" w14:textId="14949409" w:rsidR="000B4CF4" w:rsidRDefault="000B4CF4">
      <w:pPr>
        <w:pStyle w:val="Notedebasdepage"/>
      </w:pPr>
      <w:r>
        <w:rPr>
          <w:rStyle w:val="Appelnotedebasdep"/>
        </w:rPr>
        <w:footnoteRef/>
      </w:r>
      <w:r>
        <w:t> </w:t>
      </w:r>
      <w:r w:rsidRPr="00695C04">
        <w:t xml:space="preserve">Voir, par exemple, </w:t>
      </w:r>
      <w:r>
        <w:t>« </w:t>
      </w:r>
      <w:r w:rsidRPr="00695C04">
        <w:t>Le grand chantier des nouvelles normes comptables</w:t>
      </w:r>
      <w:r>
        <w:t> »</w:t>
      </w:r>
      <w:r w:rsidRPr="00695C04">
        <w:t xml:space="preserve">, </w:t>
      </w:r>
      <w:r w:rsidRPr="00695C04">
        <w:rPr>
          <w:i/>
          <w:iCs/>
        </w:rPr>
        <w:t>La Tribune</w:t>
      </w:r>
      <w:r w:rsidRPr="00695C04">
        <w:t xml:space="preserve">, 10 novembre 2003 (évoquant </w:t>
      </w:r>
      <w:r>
        <w:t>« </w:t>
      </w:r>
      <w:r w:rsidRPr="00695C04">
        <w:t>l</w:t>
      </w:r>
      <w:r w:rsidR="00D72851">
        <w:t>’</w:t>
      </w:r>
      <w:r w:rsidRPr="00695C04">
        <w:t>autisme de l</w:t>
      </w:r>
      <w:r w:rsidR="00D72851">
        <w:t>’</w:t>
      </w:r>
      <w:r w:rsidRPr="00695C04">
        <w:t>IASB</w:t>
      </w:r>
      <w:r>
        <w:t> »</w:t>
      </w:r>
      <w:r w:rsidRPr="00695C04">
        <w:t xml:space="preserve">) ; </w:t>
      </w:r>
      <w:r>
        <w:t>« </w:t>
      </w:r>
      <w:r w:rsidRPr="00695C04">
        <w:t>Les concepteurs des normes comptables internationales en quête d</w:t>
      </w:r>
      <w:r w:rsidR="00D72851">
        <w:t>’</w:t>
      </w:r>
      <w:r w:rsidRPr="00695C04">
        <w:t>une nouvelle légitimité</w:t>
      </w:r>
      <w:r>
        <w:t> »</w:t>
      </w:r>
      <w:r w:rsidRPr="00695C04">
        <w:t xml:space="preserve">, </w:t>
      </w:r>
      <w:r w:rsidRPr="00695C04">
        <w:rPr>
          <w:i/>
          <w:iCs/>
        </w:rPr>
        <w:t>L</w:t>
      </w:r>
      <w:r w:rsidR="00D72851">
        <w:rPr>
          <w:i/>
          <w:iCs/>
        </w:rPr>
        <w:t>’</w:t>
      </w:r>
      <w:r w:rsidRPr="00695C04">
        <w:rPr>
          <w:i/>
          <w:iCs/>
        </w:rPr>
        <w:t>Agefi</w:t>
      </w:r>
      <w:r w:rsidRPr="00695C04">
        <w:t xml:space="preserve">, 30 juin 2005 (soulignant des initiatives </w:t>
      </w:r>
      <w:r>
        <w:t>« </w:t>
      </w:r>
      <w:r w:rsidRPr="00695C04">
        <w:t>susceptibles d</w:t>
      </w:r>
      <w:r w:rsidR="00D72851">
        <w:t>’</w:t>
      </w:r>
      <w:r w:rsidRPr="00695C04">
        <w:t>améliorer la transparence et la légitimité des décisions prises par le normalisateur comptables</w:t>
      </w:r>
      <w:r>
        <w:t> »</w:t>
      </w:r>
      <w:r w:rsidRPr="00695C04">
        <w:t xml:space="preserve">) ; </w:t>
      </w:r>
      <w:r>
        <w:t>« </w:t>
      </w:r>
      <w:r w:rsidRPr="00695C04">
        <w:t>L</w:t>
      </w:r>
      <w:r w:rsidR="00D72851">
        <w:t>’</w:t>
      </w:r>
      <w:r w:rsidRPr="00695C04">
        <w:t>Europe confrontée à l</w:t>
      </w:r>
      <w:r w:rsidR="00D72851">
        <w:t>’</w:t>
      </w:r>
      <w:r w:rsidRPr="00695C04">
        <w:t>américanisation des IFRS</w:t>
      </w:r>
      <w:r>
        <w:t> »</w:t>
      </w:r>
      <w:r w:rsidRPr="00695C04">
        <w:t xml:space="preserve">, </w:t>
      </w:r>
      <w:r w:rsidRPr="00695C04">
        <w:rPr>
          <w:i/>
          <w:iCs/>
        </w:rPr>
        <w:t>La Tribune</w:t>
      </w:r>
      <w:r w:rsidRPr="00695C04">
        <w:t xml:space="preserve">, 29 janvier 2008 ; </w:t>
      </w:r>
      <w:r>
        <w:t>« </w:t>
      </w:r>
      <w:r w:rsidRPr="00695C04">
        <w:t>L</w:t>
      </w:r>
      <w:r w:rsidR="00D72851">
        <w:t>’</w:t>
      </w:r>
      <w:r w:rsidRPr="00695C04">
        <w:t>IASB fait un pas vers la transparence</w:t>
      </w:r>
      <w:r>
        <w:t> »</w:t>
      </w:r>
      <w:r w:rsidRPr="00695C04">
        <w:t xml:space="preserve">, </w:t>
      </w:r>
      <w:r w:rsidRPr="00695C04">
        <w:rPr>
          <w:i/>
          <w:iCs/>
        </w:rPr>
        <w:t>L</w:t>
      </w:r>
      <w:r w:rsidR="00D72851">
        <w:rPr>
          <w:i/>
          <w:iCs/>
        </w:rPr>
        <w:t>’</w:t>
      </w:r>
      <w:r w:rsidRPr="00695C04">
        <w:rPr>
          <w:i/>
          <w:iCs/>
        </w:rPr>
        <w:t>Agefi</w:t>
      </w:r>
      <w:r w:rsidRPr="00695C04">
        <w:t xml:space="preserve">, 30 juillet 2008 (relevant que les avancées laissent </w:t>
      </w:r>
      <w:r>
        <w:t>« </w:t>
      </w:r>
      <w:r w:rsidRPr="00695C04">
        <w:t>de côté l</w:t>
      </w:r>
      <w:r w:rsidR="00D72851">
        <w:t>’</w:t>
      </w:r>
      <w:r w:rsidRPr="00695C04">
        <w:t>épineuse question du financement de l</w:t>
      </w:r>
      <w:r w:rsidR="00D72851">
        <w:t>’</w:t>
      </w:r>
      <w:r w:rsidRPr="00695C04">
        <w:t>IASB</w:t>
      </w:r>
      <w:r>
        <w:t> »</w:t>
      </w:r>
      <w:r w:rsidRPr="00695C04">
        <w:t xml:space="preserve">) ; </w:t>
      </w:r>
      <w:r>
        <w:t>« </w:t>
      </w:r>
      <w:r w:rsidRPr="00695C04">
        <w:t>Des initiatives pour améliorer la transparence du système. 7 : Revoir les normes comptables</w:t>
      </w:r>
      <w:r>
        <w:t> »</w:t>
      </w:r>
      <w:r w:rsidRPr="00695C04">
        <w:t xml:space="preserve"> (concluant que les organismes de normalisation comme l</w:t>
      </w:r>
      <w:r w:rsidR="00D72851">
        <w:t>’</w:t>
      </w:r>
      <w:r w:rsidRPr="00695C04">
        <w:t xml:space="preserve">IASB </w:t>
      </w:r>
      <w:r>
        <w:t>« </w:t>
      </w:r>
      <w:r w:rsidRPr="00695C04">
        <w:t>n</w:t>
      </w:r>
      <w:r w:rsidR="00D72851">
        <w:t>’</w:t>
      </w:r>
      <w:r w:rsidRPr="00695C04">
        <w:t>ont aujourd</w:t>
      </w:r>
      <w:r w:rsidR="00D72851">
        <w:t>’</w:t>
      </w:r>
      <w:r w:rsidRPr="00695C04">
        <w:t>hui de comptes à rendre à personne, sinon aux fondations qui les financent, et où l</w:t>
      </w:r>
      <w:r w:rsidR="00D72851">
        <w:t>’</w:t>
      </w:r>
      <w:r w:rsidRPr="00695C04">
        <w:t>on retrouve les plus grands établissements financiers et les principaux cabinets d</w:t>
      </w:r>
      <w:r w:rsidR="00D72851">
        <w:t>’</w:t>
      </w:r>
      <w:r w:rsidRPr="00695C04">
        <w:t>audit de la planète</w:t>
      </w:r>
      <w:r>
        <w:t> »</w:t>
      </w:r>
      <w:r w:rsidRPr="00695C04">
        <w:t xml:space="preserve">), </w:t>
      </w:r>
      <w:r w:rsidRPr="00695C04">
        <w:rPr>
          <w:i/>
          <w:iCs/>
        </w:rPr>
        <w:t>Le Monde</w:t>
      </w:r>
      <w:r w:rsidRPr="00695C04">
        <w:t xml:space="preserve">, 28 octobre 2008 ; </w:t>
      </w:r>
      <w:r>
        <w:t>« </w:t>
      </w:r>
      <w:r w:rsidRPr="00695C04">
        <w:t>IASB, FASB, EASB, G20... quel doit être l</w:t>
      </w:r>
      <w:r w:rsidR="00D72851">
        <w:t>’</w:t>
      </w:r>
      <w:r w:rsidRPr="00695C04">
        <w:t>ONU des comptables ?</w:t>
      </w:r>
      <w:r>
        <w:t> »</w:t>
      </w:r>
      <w:r w:rsidRPr="00695C04">
        <w:t xml:space="preserve">, </w:t>
      </w:r>
      <w:r w:rsidRPr="00695C04">
        <w:rPr>
          <w:i/>
          <w:iCs/>
        </w:rPr>
        <w:t>Les Échos</w:t>
      </w:r>
      <w:r w:rsidRPr="00695C04">
        <w:t xml:space="preserve">, 12 août 2009 ; </w:t>
      </w:r>
      <w:r>
        <w:t>« </w:t>
      </w:r>
      <w:r w:rsidRPr="00695C04">
        <w:t>Au profit du... profit. L</w:t>
      </w:r>
      <w:r w:rsidR="00D72851">
        <w:t>’</w:t>
      </w:r>
      <w:r w:rsidRPr="00695C04">
        <w:t>arme cachée des grandes puissances</w:t>
      </w:r>
      <w:r>
        <w:t> »</w:t>
      </w:r>
      <w:r w:rsidRPr="00695C04">
        <w:t xml:space="preserve">, </w:t>
      </w:r>
      <w:r w:rsidRPr="00695C04">
        <w:rPr>
          <w:i/>
          <w:iCs/>
        </w:rPr>
        <w:t>Manière de voir – Le Monde diplomatique</w:t>
      </w:r>
      <w:r w:rsidRPr="00695C04">
        <w:t>, 1</w:t>
      </w:r>
      <w:r w:rsidRPr="00695C04">
        <w:rPr>
          <w:vertAlign w:val="superscript"/>
        </w:rPr>
        <w:t>er</w:t>
      </w:r>
      <w:r w:rsidRPr="00695C04">
        <w:t xml:space="preserve"> février 2014 (</w:t>
      </w:r>
      <w:r>
        <w:t xml:space="preserve">notamment </w:t>
      </w:r>
      <w:r w:rsidRPr="00695C04">
        <w:t>sur la composition de l</w:t>
      </w:r>
      <w:r w:rsidR="00D72851">
        <w:t>’</w:t>
      </w:r>
      <w:r w:rsidRPr="00695C04">
        <w:t>IASB et la transparence).</w:t>
      </w:r>
    </w:p>
  </w:footnote>
  <w:footnote w:id="23">
    <w:p w14:paraId="7D3ED866" w14:textId="4CDAEB55" w:rsidR="000B4CF4" w:rsidRPr="00BE1489" w:rsidRDefault="000B4CF4" w:rsidP="00BE1489">
      <w:pPr>
        <w:pStyle w:val="Notedebasdepage"/>
      </w:pPr>
      <w:r w:rsidRPr="00BE1489">
        <w:rPr>
          <w:rStyle w:val="Appelnotedebasdep"/>
        </w:rPr>
        <w:footnoteRef/>
      </w:r>
      <w:r w:rsidRPr="00BE1489">
        <w:t xml:space="preserve"> </w:t>
      </w:r>
      <w:r w:rsidRPr="00C22D61">
        <w:t xml:space="preserve">É. </w:t>
      </w:r>
      <w:r w:rsidRPr="008F0AAA">
        <w:rPr>
          <w:smallCaps/>
        </w:rPr>
        <w:t>Jourdain</w:t>
      </w:r>
      <w:r w:rsidRPr="00C22D61">
        <w:t xml:space="preserve">, </w:t>
      </w:r>
      <w:r>
        <w:t>« </w:t>
      </w:r>
      <w:r w:rsidRPr="00C22D61">
        <w:t>Normes comptables : le continent caché de l</w:t>
      </w:r>
      <w:r w:rsidR="00D72851">
        <w:t>’</w:t>
      </w:r>
      <w:r w:rsidRPr="00C22D61">
        <w:t>Europe néolibérale</w:t>
      </w:r>
      <w:r>
        <w:t> »</w:t>
      </w:r>
      <w:r w:rsidRPr="00C22D61">
        <w:t xml:space="preserve">, </w:t>
      </w:r>
      <w:r w:rsidRPr="00C22D61">
        <w:rPr>
          <w:i/>
          <w:iCs/>
        </w:rPr>
        <w:t>Marianne.net</w:t>
      </w:r>
      <w:r w:rsidRPr="00C22D61">
        <w:t xml:space="preserve">, 24 mai 2019, en ligne : </w:t>
      </w:r>
      <w:hyperlink r:id="rId4" w:history="1">
        <w:r w:rsidRPr="00DB291C">
          <w:rPr>
            <w:rStyle w:val="Lienhypertexte"/>
          </w:rPr>
          <w:t>https://www.marianne.net/agora/humeurs/normes-comptables-le-continent-cache-de-l-europe-neoliberale</w:t>
        </w:r>
      </w:hyperlink>
      <w:r>
        <w:t xml:space="preserve"> </w:t>
      </w:r>
      <w:r w:rsidRPr="00C22D61">
        <w:t>(consulté le 25 octobre 2020).</w:t>
      </w:r>
    </w:p>
  </w:footnote>
  <w:footnote w:id="24">
    <w:p w14:paraId="6F00B8B6" w14:textId="056A621D" w:rsidR="000B4CF4" w:rsidRDefault="000B4CF4">
      <w:pPr>
        <w:pStyle w:val="Notedebasdepage"/>
      </w:pPr>
      <w:r>
        <w:rPr>
          <w:rStyle w:val="Appelnotedebasdep"/>
        </w:rPr>
        <w:footnoteRef/>
      </w:r>
      <w:r>
        <w:t xml:space="preserve"> Voir, sur ce sujet, le </w:t>
      </w:r>
      <w:r w:rsidRPr="00421417">
        <w:t>Rapport d</w:t>
      </w:r>
      <w:r w:rsidR="00D72851">
        <w:t>’</w:t>
      </w:r>
      <w:r w:rsidRPr="00421417">
        <w:t>information déposé par la Commission des finances, de l</w:t>
      </w:r>
      <w:r w:rsidR="00D72851">
        <w:t>’</w:t>
      </w:r>
      <w:r w:rsidRPr="00421417">
        <w:t xml:space="preserve">économie générale et du plan relatif aux enjeux des nouvelles normes comptables et présenté par MM. Dominique </w:t>
      </w:r>
      <w:r w:rsidRPr="008F0AAA">
        <w:rPr>
          <w:smallCaps/>
        </w:rPr>
        <w:t>Baert</w:t>
      </w:r>
      <w:r w:rsidRPr="00421417">
        <w:t xml:space="preserve"> et Gaël </w:t>
      </w:r>
      <w:r w:rsidRPr="008F0AAA">
        <w:rPr>
          <w:smallCaps/>
        </w:rPr>
        <w:t>Yanno</w:t>
      </w:r>
      <w:r w:rsidRPr="00421417">
        <w:t>, Assemblée N</w:t>
      </w:r>
      <w:r>
        <w:t>ationale, n° 1508, 10 mars 2009, spéc. pp. 21 et ss. Les éléments qui suivent constituent une synthèse des éléments pertinents du rapport.</w:t>
      </w:r>
    </w:p>
  </w:footnote>
  <w:footnote w:id="25">
    <w:p w14:paraId="09BB2178" w14:textId="77777777" w:rsidR="000B4CF4" w:rsidRPr="004F50B2" w:rsidRDefault="000B4CF4" w:rsidP="00EF0048">
      <w:pPr>
        <w:pStyle w:val="Notedebasdepage"/>
      </w:pPr>
      <w:r>
        <w:rPr>
          <w:rStyle w:val="Appelnotedebasdep"/>
        </w:rPr>
        <w:footnoteRef/>
      </w:r>
      <w:r>
        <w:t xml:space="preserve"> </w:t>
      </w:r>
      <w:r>
        <w:rPr>
          <w:i/>
        </w:rPr>
        <w:t>Ibid.</w:t>
      </w:r>
      <w:r>
        <w:t>, p. 15.</w:t>
      </w:r>
    </w:p>
  </w:footnote>
  <w:footnote w:id="26">
    <w:p w14:paraId="6AFFBC1A" w14:textId="6320B927" w:rsidR="000B4CF4" w:rsidRDefault="000B4CF4">
      <w:pPr>
        <w:pStyle w:val="Notedebasdepage"/>
      </w:pPr>
      <w:r>
        <w:rPr>
          <w:rStyle w:val="Appelnotedebasdep"/>
        </w:rPr>
        <w:footnoteRef/>
      </w:r>
      <w:r>
        <w:t xml:space="preserve"> Ce propos fait référence à ceux de Léon </w:t>
      </w:r>
      <w:r w:rsidRPr="008F0AAA">
        <w:rPr>
          <w:smallCaps/>
        </w:rPr>
        <w:t>Duguit</w:t>
      </w:r>
      <w:r>
        <w:t>, qui</w:t>
      </w:r>
      <w:r>
        <w:fldChar w:fldCharType="begin"/>
      </w:r>
      <w:r>
        <w:instrText xml:space="preserve"> XE "</w:instrText>
      </w:r>
      <w:r>
        <w:rPr>
          <w:rFonts w:ascii="Calibri" w:hAnsi="Calibri" w:cs="Calibri"/>
          <w:color w:val="000000"/>
        </w:rPr>
        <w:instrText>Duguit (Léon)"</w:instrText>
      </w:r>
      <w:r>
        <w:instrText xml:space="preserve"> </w:instrText>
      </w:r>
      <w:r>
        <w:fldChar w:fldCharType="end"/>
      </w:r>
      <w:r>
        <w:t xml:space="preserve"> voyait dans « l</w:t>
      </w:r>
      <w:r w:rsidR="00D72851">
        <w:t>’</w:t>
      </w:r>
      <w:r>
        <w:t xml:space="preserve">interdépendance sociale » la source matérielle de tout droit (par ex. </w:t>
      </w:r>
      <w:r w:rsidR="008F0AAA">
        <w:t xml:space="preserve">L. </w:t>
      </w:r>
      <w:r w:rsidRPr="008F0AAA">
        <w:rPr>
          <w:smallCaps/>
        </w:rPr>
        <w:t>D</w:t>
      </w:r>
      <w:r w:rsidR="008F0AAA" w:rsidRPr="008F0AAA">
        <w:rPr>
          <w:smallCaps/>
        </w:rPr>
        <w:t>uguit</w:t>
      </w:r>
      <w:r w:rsidRPr="00A2195D">
        <w:t xml:space="preserve">, </w:t>
      </w:r>
      <w:r w:rsidRPr="000332C4">
        <w:rPr>
          <w:i/>
          <w:iCs/>
        </w:rPr>
        <w:t>Manuel de droit constitutionnel</w:t>
      </w:r>
      <w:r w:rsidRPr="00A2195D">
        <w:t>, 4</w:t>
      </w:r>
      <w:r w:rsidRPr="000332C4">
        <w:rPr>
          <w:vertAlign w:val="superscript"/>
        </w:rPr>
        <w:t>ème</w:t>
      </w:r>
      <w:r w:rsidRPr="00A2195D">
        <w:t xml:space="preserve"> édition revue et mise au courant, Paris, E. De Boccard, 1923, </w:t>
      </w:r>
      <w:r>
        <w:t>p. 8).</w:t>
      </w:r>
    </w:p>
  </w:footnote>
  <w:footnote w:id="27">
    <w:p w14:paraId="04E6759D" w14:textId="3FABD9CF" w:rsidR="000B4CF4" w:rsidRDefault="000B4CF4">
      <w:pPr>
        <w:pStyle w:val="Notedebasdepage"/>
      </w:pPr>
      <w:r>
        <w:rPr>
          <w:rStyle w:val="Appelnotedebasdep"/>
        </w:rPr>
        <w:footnoteRef/>
      </w:r>
      <w:r>
        <w:t xml:space="preserve"> </w:t>
      </w:r>
      <w:r w:rsidR="008F0AAA">
        <w:t xml:space="preserve">Ch. </w:t>
      </w:r>
      <w:r w:rsidRPr="000D7C33">
        <w:t>H</w:t>
      </w:r>
      <w:r w:rsidR="008F0AAA" w:rsidRPr="008F0AAA">
        <w:rPr>
          <w:smallCaps/>
        </w:rPr>
        <w:t>auert</w:t>
      </w:r>
      <w:r w:rsidRPr="000D7C33">
        <w:t xml:space="preserve">, </w:t>
      </w:r>
      <w:r w:rsidR="008F0AAA">
        <w:t xml:space="preserve">M. </w:t>
      </w:r>
      <w:r w:rsidRPr="000D7C33">
        <w:t>A</w:t>
      </w:r>
      <w:r w:rsidR="008F0AAA" w:rsidRPr="008F0AAA">
        <w:rPr>
          <w:smallCaps/>
        </w:rPr>
        <w:t>udétat</w:t>
      </w:r>
      <w:r w:rsidR="008F0AAA">
        <w:t>, D.</w:t>
      </w:r>
      <w:r w:rsidRPr="000D7C33">
        <w:t xml:space="preserve"> B</w:t>
      </w:r>
      <w:r w:rsidR="008F0AAA" w:rsidRPr="008F0AAA">
        <w:rPr>
          <w:smallCaps/>
        </w:rPr>
        <w:t>ütschi</w:t>
      </w:r>
      <w:r w:rsidRPr="000D7C33">
        <w:t>,</w:t>
      </w:r>
      <w:r w:rsidR="008F0AAA">
        <w:t xml:space="preserve"> A.</w:t>
      </w:r>
      <w:r w:rsidRPr="000D7C33">
        <w:t xml:space="preserve"> K</w:t>
      </w:r>
      <w:r w:rsidR="008F0AAA" w:rsidRPr="008F0AAA">
        <w:rPr>
          <w:smallCaps/>
        </w:rPr>
        <w:t>aufmann</w:t>
      </w:r>
      <w:r w:rsidRPr="000D7C33">
        <w:t xml:space="preserve">, </w:t>
      </w:r>
      <w:r w:rsidR="008F0AAA">
        <w:t xml:space="preserve">J.-Ch. </w:t>
      </w:r>
      <w:r w:rsidRPr="000D7C33">
        <w:t>G</w:t>
      </w:r>
      <w:r w:rsidR="008F0AAA" w:rsidRPr="008F0AAA">
        <w:rPr>
          <w:smallCaps/>
        </w:rPr>
        <w:t>raz</w:t>
      </w:r>
      <w:r w:rsidRPr="000D7C33">
        <w:t>, « Les arènes de la normalisation internationale à l</w:t>
      </w:r>
      <w:r w:rsidR="00D72851">
        <w:t>’</w:t>
      </w:r>
      <w:r w:rsidRPr="000D7C33">
        <w:t>épreuve de la participation</w:t>
      </w:r>
      <w:r>
        <w:fldChar w:fldCharType="begin"/>
      </w:r>
      <w:r>
        <w:instrText xml:space="preserve"> XE "</w:instrText>
      </w:r>
      <w:r>
        <w:rPr>
          <w:rFonts w:ascii="Calibri" w:hAnsi="Calibri" w:cs="Calibri"/>
          <w:color w:val="000000"/>
        </w:rPr>
        <w:instrText>Participation"</w:instrText>
      </w:r>
      <w:r>
        <w:instrText xml:space="preserve"> </w:instrText>
      </w:r>
      <w:r>
        <w:fldChar w:fldCharType="end"/>
      </w:r>
      <w:r w:rsidRPr="000D7C33">
        <w:t xml:space="preserve"> : le projet INTERNORM », </w:t>
      </w:r>
      <w:r w:rsidRPr="000D7C33">
        <w:rPr>
          <w:i/>
        </w:rPr>
        <w:t>Participations</w:t>
      </w:r>
      <w:r w:rsidRPr="000D7C33">
        <w:t>, n°14, 2016/1, p. 216</w:t>
      </w:r>
      <w:r>
        <w:t>.</w:t>
      </w:r>
    </w:p>
  </w:footnote>
  <w:footnote w:id="28">
    <w:p w14:paraId="183AB36C" w14:textId="77777777" w:rsidR="000B4CF4" w:rsidRPr="006F01B8" w:rsidRDefault="000B4CF4">
      <w:pPr>
        <w:pStyle w:val="Notedebasdepage"/>
        <w:rPr>
          <w:lang w:val="en-US"/>
        </w:rPr>
      </w:pPr>
      <w:r>
        <w:rPr>
          <w:rStyle w:val="Appelnotedebasdep"/>
        </w:rPr>
        <w:footnoteRef/>
      </w:r>
      <w:r w:rsidRPr="006F01B8">
        <w:rPr>
          <w:lang w:val="en-US"/>
        </w:rPr>
        <w:t xml:space="preserve"> Voir notamment </w:t>
      </w:r>
      <w:r w:rsidR="008F0AAA" w:rsidRPr="006F01B8">
        <w:rPr>
          <w:lang w:val="en-US"/>
        </w:rPr>
        <w:t xml:space="preserve">R. </w:t>
      </w:r>
      <w:r w:rsidRPr="006F01B8">
        <w:rPr>
          <w:lang w:val="en-US"/>
        </w:rPr>
        <w:t>S</w:t>
      </w:r>
      <w:r w:rsidR="008F0AAA" w:rsidRPr="006F01B8">
        <w:rPr>
          <w:smallCaps/>
          <w:lang w:val="en-US"/>
        </w:rPr>
        <w:t>hamir</w:t>
      </w:r>
      <w:r w:rsidRPr="006F01B8">
        <w:rPr>
          <w:lang w:val="en-US"/>
        </w:rPr>
        <w:t>-B</w:t>
      </w:r>
      <w:r w:rsidR="008F0AAA" w:rsidRPr="006F01B8">
        <w:rPr>
          <w:smallCaps/>
          <w:lang w:val="en-US"/>
        </w:rPr>
        <w:t>orer</w:t>
      </w:r>
      <w:r w:rsidRPr="006F01B8">
        <w:rPr>
          <w:lang w:val="en-US"/>
        </w:rPr>
        <w:t>, « Legitimacy without Authority in Global Standardization Governance: The Case of the International Organization for Standardization (ISO) »,</w:t>
      </w:r>
      <w:r w:rsidRPr="006F01B8">
        <w:rPr>
          <w:i/>
          <w:lang w:val="en-US"/>
        </w:rPr>
        <w:t xml:space="preserve"> in</w:t>
      </w:r>
      <w:r w:rsidRPr="006F01B8">
        <w:rPr>
          <w:lang w:val="en-US"/>
        </w:rPr>
        <w:t xml:space="preserve"> </w:t>
      </w:r>
      <w:r w:rsidR="008F0AAA" w:rsidRPr="006F01B8">
        <w:rPr>
          <w:lang w:val="en-US"/>
        </w:rPr>
        <w:t>S. C</w:t>
      </w:r>
      <w:r w:rsidR="008F0AAA" w:rsidRPr="006F01B8">
        <w:rPr>
          <w:smallCaps/>
          <w:lang w:val="en-US"/>
        </w:rPr>
        <w:t>assese</w:t>
      </w:r>
      <w:r w:rsidR="008F0AAA" w:rsidRPr="006F01B8">
        <w:rPr>
          <w:lang w:val="en-US"/>
        </w:rPr>
        <w:t>, B. C</w:t>
      </w:r>
      <w:r w:rsidR="008F0AAA" w:rsidRPr="006F01B8">
        <w:rPr>
          <w:smallCaps/>
          <w:lang w:val="en-US"/>
        </w:rPr>
        <w:t>arotti</w:t>
      </w:r>
      <w:r w:rsidR="008F0AAA" w:rsidRPr="006F01B8">
        <w:rPr>
          <w:lang w:val="en-US"/>
        </w:rPr>
        <w:t>, L. C</w:t>
      </w:r>
      <w:r w:rsidR="008F0AAA" w:rsidRPr="006F01B8">
        <w:rPr>
          <w:smallCaps/>
          <w:lang w:val="en-US"/>
        </w:rPr>
        <w:t>asini</w:t>
      </w:r>
      <w:r w:rsidR="008F0AAA" w:rsidRPr="006F01B8">
        <w:rPr>
          <w:lang w:val="en-US"/>
        </w:rPr>
        <w:t>, E. C</w:t>
      </w:r>
      <w:r w:rsidR="008F0AAA" w:rsidRPr="006F01B8">
        <w:rPr>
          <w:smallCaps/>
          <w:lang w:val="en-US"/>
        </w:rPr>
        <w:t>avalieri</w:t>
      </w:r>
      <w:r w:rsidR="008F0AAA" w:rsidRPr="006F01B8">
        <w:rPr>
          <w:lang w:val="en-US"/>
        </w:rPr>
        <w:t>, E. Mc D</w:t>
      </w:r>
      <w:r w:rsidR="008F0AAA" w:rsidRPr="006F01B8">
        <w:rPr>
          <w:smallCaps/>
          <w:lang w:val="en-US"/>
        </w:rPr>
        <w:t>onald</w:t>
      </w:r>
      <w:r w:rsidR="008F0AAA" w:rsidRPr="006F01B8">
        <w:rPr>
          <w:lang w:val="en-US"/>
        </w:rPr>
        <w:t xml:space="preserve"> (dir</w:t>
      </w:r>
      <w:r w:rsidR="008F0AAA" w:rsidRPr="006F01B8">
        <w:rPr>
          <w:lang w:val="en-US"/>
        </w:rPr>
        <w:t>.) with the collaboration of M. M</w:t>
      </w:r>
      <w:r w:rsidR="008F0AAA" w:rsidRPr="006F01B8">
        <w:rPr>
          <w:smallCaps/>
          <w:lang w:val="en-US"/>
        </w:rPr>
        <w:t>acchia</w:t>
      </w:r>
      <w:r w:rsidR="008F0AAA" w:rsidRPr="006F01B8">
        <w:rPr>
          <w:lang w:val="en-US"/>
        </w:rPr>
        <w:t xml:space="preserve"> and M. S</w:t>
      </w:r>
      <w:r w:rsidR="008F0AAA" w:rsidRPr="006F01B8">
        <w:rPr>
          <w:smallCaps/>
          <w:lang w:val="en-US"/>
        </w:rPr>
        <w:t>avino</w:t>
      </w:r>
      <w:r w:rsidR="008F0AAA" w:rsidRPr="006F01B8">
        <w:rPr>
          <w:lang w:val="en-US"/>
        </w:rPr>
        <w:t xml:space="preserve">, </w:t>
      </w:r>
      <w:r w:rsidRPr="006F01B8">
        <w:rPr>
          <w:lang w:val="en-US"/>
        </w:rPr>
        <w:t xml:space="preserve"> </w:t>
      </w:r>
      <w:r w:rsidRPr="006F01B8">
        <w:rPr>
          <w:i/>
          <w:lang w:val="en-US"/>
        </w:rPr>
        <w:t>Global Administrative Law : The Casebook</w:t>
      </w:r>
      <w:r w:rsidRPr="006F01B8">
        <w:rPr>
          <w:lang w:val="en-US"/>
        </w:rPr>
        <w:t xml:space="preserve">, </w:t>
      </w:r>
      <w:r w:rsidRPr="006F01B8">
        <w:rPr>
          <w:i/>
          <w:iCs/>
          <w:lang w:val="en-US"/>
        </w:rPr>
        <w:t>op. cit</w:t>
      </w:r>
      <w:r w:rsidRPr="006F01B8">
        <w:rPr>
          <w:lang w:val="en-US"/>
        </w:rPr>
        <w:t xml:space="preserve">. note </w:t>
      </w:r>
      <w:r>
        <w:fldChar w:fldCharType="begin"/>
      </w:r>
      <w:r w:rsidRPr="006F01B8">
        <w:rPr>
          <w:lang w:val="en-US"/>
        </w:rPr>
        <w:instrText xml:space="preserve"> NOTEREF _Ref54630351 \h </w:instrText>
      </w:r>
      <w:r>
        <w:fldChar w:fldCharType="separate"/>
      </w:r>
      <w:r w:rsidRPr="006F01B8">
        <w:rPr>
          <w:lang w:val="en-US"/>
        </w:rPr>
        <w:t>9</w:t>
      </w:r>
      <w:r>
        <w:fldChar w:fldCharType="end"/>
      </w:r>
      <w:r w:rsidRPr="006F01B8">
        <w:rPr>
          <w:lang w:val="en-US"/>
        </w:rPr>
        <w:t>, p. 173.</w:t>
      </w:r>
    </w:p>
  </w:footnote>
  <w:footnote w:id="29">
    <w:p w14:paraId="1F01F03B" w14:textId="6668D815" w:rsidR="000B4CF4" w:rsidRDefault="000B4CF4">
      <w:pPr>
        <w:pStyle w:val="Notedebasdepage"/>
      </w:pPr>
      <w:r>
        <w:rPr>
          <w:rStyle w:val="Appelnotedebasdep"/>
        </w:rPr>
        <w:footnoteRef/>
      </w:r>
      <w:r>
        <w:t xml:space="preserve"> L</w:t>
      </w:r>
      <w:r w:rsidR="00D72851">
        <w:t>’</w:t>
      </w:r>
      <w:r>
        <w:t xml:space="preserve">Union européenne a exprimé dès 2005 ses préoccupations quant à la transparence </w:t>
      </w:r>
      <w:r w:rsidR="00A62559">
        <w:t xml:space="preserve">et </w:t>
      </w:r>
      <w:r>
        <w:t>à la responsabilité de l</w:t>
      </w:r>
      <w:r w:rsidR="00D72851">
        <w:t>’</w:t>
      </w:r>
      <w:r>
        <w:t>IASB, du fait du manque de contrôle gouvernemental et du défaut de création, par l</w:t>
      </w:r>
      <w:r w:rsidR="00D72851">
        <w:t>’</w:t>
      </w:r>
      <w:r>
        <w:t xml:space="preserve">Union, de procédures de consultation et de décision à son propos ; voir </w:t>
      </w:r>
      <w:r w:rsidR="008F0AAA">
        <w:t xml:space="preserve">Th. </w:t>
      </w:r>
      <w:r w:rsidRPr="008F0AAA">
        <w:rPr>
          <w:smallCaps/>
        </w:rPr>
        <w:t>P</w:t>
      </w:r>
      <w:r w:rsidR="008F0AAA" w:rsidRPr="008F0AAA">
        <w:rPr>
          <w:smallCaps/>
        </w:rPr>
        <w:t>erroud</w:t>
      </w:r>
      <w:r w:rsidRPr="00BE1489">
        <w:t xml:space="preserve">, « Standardisation internationale privée et </w:t>
      </w:r>
      <w:r w:rsidRPr="00BE1489">
        <w:rPr>
          <w:i/>
          <w:iCs/>
        </w:rPr>
        <w:t>Global administrative law</w:t>
      </w:r>
      <w:r w:rsidRPr="00BE1489">
        <w:t> »,</w:t>
      </w:r>
      <w:r>
        <w:t xml:space="preserve"> </w:t>
      </w:r>
      <w:r>
        <w:rPr>
          <w:i/>
          <w:iCs/>
        </w:rPr>
        <w:t>op</w:t>
      </w:r>
      <w:r>
        <w:t xml:space="preserve">. </w:t>
      </w:r>
      <w:r>
        <w:rPr>
          <w:i/>
          <w:iCs/>
        </w:rPr>
        <w:t>cit</w:t>
      </w:r>
      <w:r>
        <w:t xml:space="preserve">. note </w:t>
      </w:r>
      <w:r>
        <w:fldChar w:fldCharType="begin"/>
      </w:r>
      <w:r>
        <w:instrText xml:space="preserve"> NOTEREF _Ref54637776 \h </w:instrText>
      </w:r>
      <w:r>
        <w:fldChar w:fldCharType="separate"/>
      </w:r>
      <w:r>
        <w:t>2</w:t>
      </w:r>
      <w:r>
        <w:fldChar w:fldCharType="end"/>
      </w:r>
      <w:r>
        <w:t>, p. 202.</w:t>
      </w:r>
    </w:p>
  </w:footnote>
  <w:footnote w:id="30">
    <w:p w14:paraId="2869D18A" w14:textId="77777777" w:rsidR="000B4CF4" w:rsidRPr="006F01B8" w:rsidRDefault="000B4CF4">
      <w:pPr>
        <w:pStyle w:val="Notedebasdepage"/>
        <w:rPr>
          <w:lang w:val="en-US"/>
        </w:rPr>
      </w:pPr>
      <w:r>
        <w:rPr>
          <w:rStyle w:val="Appelnotedebasdep"/>
        </w:rPr>
        <w:footnoteRef/>
      </w:r>
      <w:r w:rsidRPr="006F01B8">
        <w:rPr>
          <w:lang w:val="en-US"/>
        </w:rPr>
        <w:t xml:space="preserve"> G20, Declaration on strengthening the financial system, London summit, 2 April 2009 : « We, the Leaders of the G20, have taken, and will continue to take, action to strengthen regulation and supervision in line with the commitments we made in Washington to reform the regulation of the financial sector. Our principles are strengthening transparency and accountability, enhancing sound regulation, promoting integrity in financial markets and reinforcing international cooperation ».</w:t>
      </w:r>
    </w:p>
  </w:footnote>
  <w:footnote w:id="31">
    <w:p w14:paraId="7E986742" w14:textId="437742C9" w:rsidR="000B4CF4" w:rsidRDefault="000B4CF4" w:rsidP="00A03F82">
      <w:pPr>
        <w:pStyle w:val="Notedebasdepage"/>
      </w:pPr>
      <w:r>
        <w:rPr>
          <w:rStyle w:val="Appelnotedebasdep"/>
        </w:rPr>
        <w:footnoteRef/>
      </w:r>
      <w:r>
        <w:t xml:space="preserve"> G20, </w:t>
      </w:r>
      <w:r w:rsidRPr="00A03F82">
        <w:t>Sommet de Londres, Déclaration des chefs d</w:t>
      </w:r>
      <w:r w:rsidR="00D72851">
        <w:t>’</w:t>
      </w:r>
      <w:r w:rsidRPr="00A03F82">
        <w:t>État et de gouvernement, 2 avril 2009</w:t>
      </w:r>
      <w:r>
        <w:t>. Plus précisément, il est demandé à l</w:t>
      </w:r>
      <w:r w:rsidR="00D72851">
        <w:t>’</w:t>
      </w:r>
      <w:r>
        <w:t>IASB, avant fin 2009, de « réduire la complexité des normes comptables relatives aux instruments financiers ; élargir les possibilités de reconnaissance comptable des provisions pour pertes sur prêts en incluant une large gamme d</w:t>
      </w:r>
      <w:r w:rsidR="00D72851">
        <w:t>’</w:t>
      </w:r>
      <w:r>
        <w:t>informations en matière de crédit ; […] rendre claire et cohérente l</w:t>
      </w:r>
      <w:r w:rsidR="00D72851">
        <w:t>’</w:t>
      </w:r>
      <w:r>
        <w:t>application internationale des normes de valorisation, en collaboration avec les superviseurs ; faire des progrès significatifs pour parvenir à un ensemble unique de normes comptables internationales de grande qualité ; et dans le cadre du processus indépendant de normalisation comptable, améliorer la participation des parties prenantes, y compris les régulateurs prudentiels et les marchés émergents, grâce à la révision statutaire de l</w:t>
      </w:r>
      <w:r w:rsidR="00D72851">
        <w:t>’</w:t>
      </w:r>
      <w:r>
        <w:t>IASB » (S</w:t>
      </w:r>
      <w:r w:rsidR="008F0AAA">
        <w:t>énat</w:t>
      </w:r>
      <w:r>
        <w:t xml:space="preserve">, </w:t>
      </w:r>
      <w:r w:rsidRPr="0071626C">
        <w:t>« La régulation bancaire à l</w:t>
      </w:r>
      <w:r w:rsidR="00D72851">
        <w:t>’</w:t>
      </w:r>
      <w:r w:rsidRPr="0071626C">
        <w:t xml:space="preserve">épreuve de la crise financière », </w:t>
      </w:r>
      <w:r w:rsidRPr="00A03F82">
        <w:rPr>
          <w:i/>
          <w:iCs/>
        </w:rPr>
        <w:t>Étude économique n° 5</w:t>
      </w:r>
      <w:r>
        <w:t xml:space="preserve"> – 10 décembre 2009, Annexe 4 – Déclaration sur le renforcement du système financier adoptée lors de la réunion du G20 de Londres (2 avril 2009), pp. 86-87).</w:t>
      </w:r>
    </w:p>
  </w:footnote>
  <w:footnote w:id="32">
    <w:p w14:paraId="37BE3DCC" w14:textId="06E5EEBC" w:rsidR="000B4CF4" w:rsidRDefault="000B4CF4" w:rsidP="00A03F82">
      <w:pPr>
        <w:pStyle w:val="Notedebasdepage"/>
      </w:pPr>
      <w:r>
        <w:rPr>
          <w:rStyle w:val="Appelnotedebasdep"/>
        </w:rPr>
        <w:footnoteRef/>
      </w:r>
      <w:r>
        <w:t> </w:t>
      </w:r>
      <w:r>
        <w:rPr>
          <w:iCs/>
        </w:rPr>
        <w:t>Groupe</w:t>
      </w:r>
      <w:r>
        <w:t xml:space="preserve"> de travail sur la supervision financière dans l</w:t>
      </w:r>
      <w:r w:rsidR="00D72851">
        <w:t>’</w:t>
      </w:r>
      <w:r>
        <w:t xml:space="preserve">Union européenne présidé par Jacques </w:t>
      </w:r>
      <w:r w:rsidRPr="008F0AAA">
        <w:rPr>
          <w:smallCaps/>
        </w:rPr>
        <w:t>de</w:t>
      </w:r>
      <w:r>
        <w:t xml:space="preserve"> </w:t>
      </w:r>
      <w:r w:rsidRPr="008F0AAA">
        <w:rPr>
          <w:smallCaps/>
        </w:rPr>
        <w:t>Larosière</w:t>
      </w:r>
      <w:r>
        <w:t>, Bruxelles, Rapport du 25 février 2009, p. 26. Le groupe y demande notamment que « l</w:t>
      </w:r>
      <w:r w:rsidR="00D72851">
        <w:t>’</w:t>
      </w:r>
      <w:r>
        <w:t>IASB ouvre davantage son processus d</w:t>
      </w:r>
      <w:r w:rsidR="00D72851">
        <w:t>’</w:t>
      </w:r>
      <w:r>
        <w:t>élaboration des normes aux instances réglementaires et de surveillance et aux entreprises » ou encore que « la structure de surveillance et de gouvernance de l</w:t>
      </w:r>
      <w:r w:rsidR="00D72851">
        <w:t>’</w:t>
      </w:r>
      <w:r>
        <w:t>IASB soit renforcée ».</w:t>
      </w:r>
    </w:p>
  </w:footnote>
  <w:footnote w:id="33">
    <w:p w14:paraId="18558777" w14:textId="77777777" w:rsidR="000B4CF4" w:rsidRPr="005C54F4" w:rsidRDefault="000B4CF4" w:rsidP="00A03F82">
      <w:pPr>
        <w:pStyle w:val="Notedebasdepage"/>
        <w:rPr>
          <w:lang w:val="en-US"/>
        </w:rPr>
      </w:pPr>
      <w:r>
        <w:rPr>
          <w:rStyle w:val="Appelnotedebasdep"/>
        </w:rPr>
        <w:footnoteRef/>
      </w:r>
      <w:r>
        <w:rPr>
          <w:lang w:val="en-US"/>
        </w:rPr>
        <w:t> </w:t>
      </w:r>
      <w:r w:rsidRPr="005C54F4">
        <w:rPr>
          <w:i/>
          <w:lang w:val="en-US"/>
        </w:rPr>
        <w:t>International Accounting Standards Committee Foundation</w:t>
      </w:r>
      <w:r w:rsidRPr="005C54F4">
        <w:rPr>
          <w:lang w:val="en-US"/>
        </w:rPr>
        <w:t>, Revised Constitution, 1 February 2009</w:t>
      </w:r>
      <w:r>
        <w:rPr>
          <w:lang w:val="en-US"/>
        </w:rPr>
        <w:t>.</w:t>
      </w:r>
    </w:p>
  </w:footnote>
  <w:footnote w:id="34">
    <w:p w14:paraId="243A973B" w14:textId="77777777" w:rsidR="000B4CF4" w:rsidRPr="0042541C" w:rsidRDefault="000B4CF4" w:rsidP="00A03F82">
      <w:pPr>
        <w:pStyle w:val="Notedebasdepage"/>
        <w:rPr>
          <w:lang w:val="en-US"/>
        </w:rPr>
      </w:pPr>
      <w:r>
        <w:rPr>
          <w:rStyle w:val="Appelnotedebasdep"/>
        </w:rPr>
        <w:footnoteRef/>
      </w:r>
      <w:r>
        <w:rPr>
          <w:lang w:val="en-US"/>
        </w:rPr>
        <w:t> </w:t>
      </w:r>
      <w:r w:rsidRPr="0042541C">
        <w:rPr>
          <w:i/>
          <w:lang w:val="en-US"/>
        </w:rPr>
        <w:t>Financial Services Agency of Japan</w:t>
      </w:r>
      <w:r>
        <w:rPr>
          <w:lang w:val="en-US"/>
        </w:rPr>
        <w:t>.</w:t>
      </w:r>
    </w:p>
  </w:footnote>
  <w:footnote w:id="35">
    <w:p w14:paraId="76C87258" w14:textId="77777777" w:rsidR="000B4CF4" w:rsidRPr="0042541C" w:rsidRDefault="000B4CF4" w:rsidP="00A03F82">
      <w:pPr>
        <w:pStyle w:val="Notedebasdepage"/>
        <w:rPr>
          <w:lang w:val="en-US"/>
        </w:rPr>
      </w:pPr>
      <w:r>
        <w:rPr>
          <w:rStyle w:val="Appelnotedebasdep"/>
        </w:rPr>
        <w:footnoteRef/>
      </w:r>
      <w:r>
        <w:rPr>
          <w:lang w:val="en-US"/>
        </w:rPr>
        <w:t> </w:t>
      </w:r>
      <w:r w:rsidRPr="0042541C">
        <w:rPr>
          <w:i/>
          <w:lang w:val="en-US"/>
        </w:rPr>
        <w:t>US Securities and Exchange Commission</w:t>
      </w:r>
      <w:r w:rsidRPr="0042541C">
        <w:rPr>
          <w:lang w:val="en-US"/>
        </w:rPr>
        <w:t>.</w:t>
      </w:r>
    </w:p>
  </w:footnote>
  <w:footnote w:id="36">
    <w:p w14:paraId="02D797DA" w14:textId="36053DBC" w:rsidR="000B4CF4" w:rsidRPr="006316F2" w:rsidRDefault="000B4CF4">
      <w:pPr>
        <w:pStyle w:val="Notedebasdepage"/>
      </w:pPr>
      <w:r>
        <w:rPr>
          <w:rStyle w:val="Appelnotedebasdep"/>
        </w:rPr>
        <w:footnoteRef/>
      </w:r>
      <w:r>
        <w:t xml:space="preserve"> Une autre norme identifiable est l</w:t>
      </w:r>
      <w:r w:rsidR="00D72851">
        <w:t>’</w:t>
      </w:r>
      <w:r>
        <w:t>audit : les entités globales, dès lors qu</w:t>
      </w:r>
      <w:r w:rsidR="00D72851">
        <w:t>’</w:t>
      </w:r>
      <w:r>
        <w:t>elles présentent une structure institutionnelle formalisée – c</w:t>
      </w:r>
      <w:r w:rsidR="00D72851">
        <w:t>’</w:t>
      </w:r>
      <w:r>
        <w:t>est-à-dire qu</w:t>
      </w:r>
      <w:r w:rsidR="00D72851">
        <w:t>’</w:t>
      </w:r>
      <w:r>
        <w:t>elles ne sont pas un réseau transnational informel – sont auditées quant à leur gestion comptable et financière, sans que les rapports d</w:t>
      </w:r>
      <w:r w:rsidR="00D72851">
        <w:t>’</w:t>
      </w:r>
      <w:r>
        <w:t>audit soient généralement accessibles. L</w:t>
      </w:r>
      <w:r w:rsidR="00D72851">
        <w:t>’</w:t>
      </w:r>
      <w:r>
        <w:t>audit – auquel on peut associer un peu schématiquement l</w:t>
      </w:r>
      <w:r w:rsidR="00D72851">
        <w:t>’</w:t>
      </w:r>
      <w:r>
        <w:t>évaluation interne et externe – s</w:t>
      </w:r>
      <w:r w:rsidR="00D72851">
        <w:t>’</w:t>
      </w:r>
      <w:r>
        <w:t>avère indispensable pour garantir la confiance des entités publiques comme privées, notamment lorsqu</w:t>
      </w:r>
      <w:r w:rsidR="00D72851">
        <w:t>’</w:t>
      </w:r>
      <w:r>
        <w:t>elles financent l</w:t>
      </w:r>
      <w:r w:rsidR="00D72851">
        <w:t>’</w:t>
      </w:r>
      <w:r>
        <w:t>entité globale. Sur ce point, voir nos développements par ailleurs (</w:t>
      </w:r>
      <w:r w:rsidRPr="00BE1489">
        <w:t xml:space="preserve">R. </w:t>
      </w:r>
      <w:r w:rsidRPr="008F0AAA">
        <w:rPr>
          <w:smallCaps/>
        </w:rPr>
        <w:t>Maurel</w:t>
      </w:r>
      <w:r w:rsidRPr="00BE1489">
        <w:t xml:space="preserve">, </w:t>
      </w:r>
      <w:r w:rsidRPr="00BE1489">
        <w:rPr>
          <w:i/>
          <w:iCs/>
        </w:rPr>
        <w:t>Les sources du droit administratif global</w:t>
      </w:r>
      <w:r>
        <w:t xml:space="preserve">, </w:t>
      </w:r>
      <w:r>
        <w:rPr>
          <w:i/>
          <w:iCs/>
        </w:rPr>
        <w:t>op. cit.</w:t>
      </w:r>
      <w:r>
        <w:t xml:space="preserve"> note </w:t>
      </w:r>
      <w:r>
        <w:fldChar w:fldCharType="begin"/>
      </w:r>
      <w:r>
        <w:instrText xml:space="preserve"> NOTEREF _Ref54635937 \h </w:instrText>
      </w:r>
      <w:r>
        <w:fldChar w:fldCharType="separate"/>
      </w:r>
      <w:r>
        <w:t>8</w:t>
      </w:r>
      <w:r>
        <w:fldChar w:fldCharType="end"/>
      </w:r>
      <w:r>
        <w:t>, §308-311 et 330).</w:t>
      </w:r>
    </w:p>
  </w:footnote>
  <w:footnote w:id="37">
    <w:p w14:paraId="23E93FAB" w14:textId="76DD943F" w:rsidR="000B4CF4" w:rsidRDefault="000B4CF4">
      <w:pPr>
        <w:pStyle w:val="Notedebasdepage"/>
      </w:pPr>
      <w:r>
        <w:rPr>
          <w:rStyle w:val="Appelnotedebasdep"/>
        </w:rPr>
        <w:footnoteRef/>
      </w:r>
      <w:r>
        <w:t xml:space="preserve"> La page initiale a depuis lors disparu ; sur le nouveau site, il est néanmoins possible d</w:t>
      </w:r>
      <w:r w:rsidR="00D72851">
        <w:t>’</w:t>
      </w:r>
      <w:r>
        <w:t>accéder aisément à et de télécharger l</w:t>
      </w:r>
      <w:r w:rsidR="00D72851">
        <w:t>’</w:t>
      </w:r>
      <w:r>
        <w:t>ensemble des rapports annuels de l</w:t>
      </w:r>
      <w:r w:rsidR="00D72851">
        <w:t>’</w:t>
      </w:r>
      <w:r>
        <w:t>IASB (</w:t>
      </w:r>
      <w:hyperlink r:id="rId5" w:anchor="annual-reports" w:history="1">
        <w:r w:rsidRPr="00DB291C">
          <w:rPr>
            <w:rStyle w:val="Lienhypertexte"/>
          </w:rPr>
          <w:t>https://www.ifrs.org/about-us/who-we-are/#annual-reports</w:t>
        </w:r>
      </w:hyperlink>
      <w:r>
        <w:t>, consulté le 25 octobre 2020), et il n</w:t>
      </w:r>
      <w:r w:rsidR="00D72851">
        <w:t>’</w:t>
      </w:r>
      <w:r>
        <w:t>est pas anodin que la</w:t>
      </w:r>
      <w:r w:rsidRPr="006316F2">
        <w:t xml:space="preserve"> première section de la</w:t>
      </w:r>
      <w:r>
        <w:t xml:space="preserve"> nouvelle</w:t>
      </w:r>
      <w:r w:rsidRPr="006316F2">
        <w:t xml:space="preserve"> page </w:t>
      </w:r>
      <w:r>
        <w:t>« </w:t>
      </w:r>
      <w:r w:rsidRPr="008F0AAA">
        <w:rPr>
          <w:i/>
          <w:iCs/>
        </w:rPr>
        <w:t>Our structure</w:t>
      </w:r>
      <w:r>
        <w:t> »</w:t>
      </w:r>
      <w:r w:rsidRPr="006316F2">
        <w:t xml:space="preserve"> s</w:t>
      </w:r>
      <w:r w:rsidR="00D72851">
        <w:t>’</w:t>
      </w:r>
      <w:r w:rsidRPr="006316F2">
        <w:t xml:space="preserve">intitule </w:t>
      </w:r>
      <w:r>
        <w:t>« </w:t>
      </w:r>
      <w:r w:rsidRPr="008F0AAA">
        <w:rPr>
          <w:i/>
          <w:iCs/>
        </w:rPr>
        <w:t>Public accountability</w:t>
      </w:r>
      <w:r>
        <w:t> »</w:t>
      </w:r>
      <w:r w:rsidRPr="006316F2">
        <w:t xml:space="preserve"> (</w:t>
      </w:r>
      <w:hyperlink r:id="rId6" w:history="1">
        <w:r w:rsidRPr="00DB291C">
          <w:rPr>
            <w:rStyle w:val="Lienhypertexte"/>
          </w:rPr>
          <w:t>https://www.ifrs.org/about-us/our-structure/</w:t>
        </w:r>
      </w:hyperlink>
      <w:r>
        <w:t>, consulté le 25 octobre 2020).</w:t>
      </w:r>
    </w:p>
  </w:footnote>
  <w:footnote w:id="38">
    <w:p w14:paraId="463C42D0" w14:textId="3401B581" w:rsidR="000B4CF4" w:rsidRPr="006F01B8" w:rsidRDefault="000B4CF4">
      <w:pPr>
        <w:pStyle w:val="Notedebasdepage"/>
        <w:rPr>
          <w:lang w:val="en-US"/>
        </w:rPr>
      </w:pPr>
      <w:r>
        <w:rPr>
          <w:rStyle w:val="Appelnotedebasdep"/>
        </w:rPr>
        <w:footnoteRef/>
      </w:r>
      <w:r>
        <w:t xml:space="preserve"> La première version de ce </w:t>
      </w:r>
      <w:r>
        <w:rPr>
          <w:i/>
          <w:iCs/>
        </w:rPr>
        <w:t>Handbook</w:t>
      </w:r>
      <w:r>
        <w:t xml:space="preserve">, publiée en 2006, comportait 23 pages, tandis que la deuxième édition de 2013 en comportait 49. </w:t>
      </w:r>
      <w:r w:rsidRPr="00D5726C">
        <w:t>La dernière version, publiée en 2020 et accessible en ligne (</w:t>
      </w:r>
      <w:hyperlink r:id="rId7" w:anchor="about" w:history="1">
        <w:r w:rsidRPr="00DB291C">
          <w:rPr>
            <w:rStyle w:val="Lienhypertexte"/>
          </w:rPr>
          <w:t>https://www.ifrs.org/projects/2020/due-process-handbook-review/#about</w:t>
        </w:r>
      </w:hyperlink>
      <w:r w:rsidRPr="00D5726C">
        <w:t>,</w:t>
      </w:r>
      <w:r>
        <w:t xml:space="preserve"> consulté le 25 octobre 2020</w:t>
      </w:r>
      <w:r w:rsidRPr="00D5726C">
        <w:t xml:space="preserve">), est riche de 61 p. et améliore encore la transparence des décisions et du fonctionnement de certains organes comme le Board. </w:t>
      </w:r>
      <w:r w:rsidRPr="006F01B8">
        <w:rPr>
          <w:lang w:val="en-US"/>
        </w:rPr>
        <w:t>Comme l</w:t>
      </w:r>
      <w:r w:rsidR="00D72851">
        <w:rPr>
          <w:lang w:val="en-US"/>
        </w:rPr>
        <w:t>’</w:t>
      </w:r>
      <w:r w:rsidRPr="006F01B8">
        <w:rPr>
          <w:lang w:val="en-US"/>
        </w:rPr>
        <w:t>indique l</w:t>
      </w:r>
      <w:r w:rsidR="00D72851">
        <w:rPr>
          <w:lang w:val="en-US"/>
        </w:rPr>
        <w:t>’</w:t>
      </w:r>
      <w:r w:rsidRPr="006F01B8">
        <w:rPr>
          <w:lang w:val="en-US"/>
        </w:rPr>
        <w:t>IASB, « [t]he due process requirements are built on the following principles: transparency—the Board conducts its standard-setting process in a transparent manner; full and fair consultation—considering the perspectives of those affected by IFRS globally; and accountability—the Board analyses the potential effects of its proposals on affected parties and explains the rationale for why it made the decisions » (</w:t>
      </w:r>
      <w:r w:rsidRPr="006F01B8">
        <w:rPr>
          <w:i/>
          <w:iCs/>
          <w:lang w:val="en-US"/>
        </w:rPr>
        <w:t>idem</w:t>
      </w:r>
      <w:r w:rsidRPr="006F01B8">
        <w:rPr>
          <w:lang w:val="en-US"/>
        </w:rPr>
        <w:t>).</w:t>
      </w:r>
    </w:p>
  </w:footnote>
  <w:footnote w:id="39">
    <w:p w14:paraId="10DBFF2E" w14:textId="77777777" w:rsidR="000B4CF4" w:rsidRDefault="000B4CF4">
      <w:pPr>
        <w:pStyle w:val="Notedebasdepage"/>
      </w:pPr>
      <w:r>
        <w:rPr>
          <w:rStyle w:val="Appelnotedebasdep"/>
        </w:rPr>
        <w:footnoteRef/>
      </w:r>
      <w:r>
        <w:t xml:space="preserve"> Voir le site internet concerné : </w:t>
      </w:r>
      <w:hyperlink r:id="rId8" w:history="1">
        <w:r w:rsidRPr="00DB291C">
          <w:rPr>
            <w:rStyle w:val="Lienhypertexte"/>
          </w:rPr>
          <w:t>https://www.iso.org/fr/home.html</w:t>
        </w:r>
      </w:hyperlink>
      <w:r>
        <w:t xml:space="preserve"> (consulté le 25 octobre 2020).</w:t>
      </w:r>
    </w:p>
  </w:footnote>
  <w:footnote w:id="40">
    <w:p w14:paraId="62D9447A" w14:textId="175E0B94" w:rsidR="000B4CF4" w:rsidRDefault="000B4CF4">
      <w:pPr>
        <w:pStyle w:val="Notedebasdepage"/>
      </w:pPr>
      <w:r>
        <w:rPr>
          <w:rStyle w:val="Appelnotedebasdep"/>
        </w:rPr>
        <w:footnoteRef/>
      </w:r>
      <w:r>
        <w:t xml:space="preserve"> L</w:t>
      </w:r>
      <w:r w:rsidR="00D72851">
        <w:t>’</w:t>
      </w:r>
      <w:r>
        <w:t>on peut même s</w:t>
      </w:r>
      <w:r w:rsidR="00D72851">
        <w:t>’</w:t>
      </w:r>
      <w:r>
        <w:t>amuser de la teneur, lyrique mais quelque peu déconnectée de la réalité du travail de l</w:t>
      </w:r>
      <w:r w:rsidR="00D72851">
        <w:t>’</w:t>
      </w:r>
      <w:r>
        <w:t>ISO, du résumé communicationnel mis en exergue dans la rubrique : « </w:t>
      </w:r>
      <w:r w:rsidRPr="00D5726C">
        <w:t>À l</w:t>
      </w:r>
      <w:r w:rsidR="00D72851">
        <w:t>’</w:t>
      </w:r>
      <w:r w:rsidRPr="00D5726C">
        <w:t>image de l</w:t>
      </w:r>
      <w:r w:rsidR="00D72851">
        <w:t>’</w:t>
      </w:r>
      <w:r w:rsidRPr="00D5726C">
        <w:t>exécution d</w:t>
      </w:r>
      <w:r w:rsidR="00D72851">
        <w:t>’</w:t>
      </w:r>
      <w:r w:rsidRPr="00D5726C">
        <w:t>une symphonie, l</w:t>
      </w:r>
      <w:r w:rsidR="00D72851">
        <w:t>’</w:t>
      </w:r>
      <w:r w:rsidRPr="00D5726C">
        <w:t>élaboration d</w:t>
      </w:r>
      <w:r w:rsidR="00D72851">
        <w:t>’</w:t>
      </w:r>
      <w:r w:rsidRPr="00D5726C">
        <w:t>une norme repose sur la collaboration d</w:t>
      </w:r>
      <w:r w:rsidR="00D72851">
        <w:t>’</w:t>
      </w:r>
      <w:r w:rsidRPr="00D5726C">
        <w:t>une multitude de personnes. Le rôle de l</w:t>
      </w:r>
      <w:r w:rsidR="00D72851">
        <w:t>’</w:t>
      </w:r>
      <w:r w:rsidRPr="00D5726C">
        <w:t>ISO s</w:t>
      </w:r>
      <w:r w:rsidR="00D72851">
        <w:t>’</w:t>
      </w:r>
      <w:r w:rsidRPr="00D5726C">
        <w:t>apparente à celui du chef d</w:t>
      </w:r>
      <w:r w:rsidR="00D72851">
        <w:t>’</w:t>
      </w:r>
      <w:r w:rsidRPr="00D5726C">
        <w:t>orchestre, tandis que les experts techniques indépendants – les instrumentistes – forment l</w:t>
      </w:r>
      <w:r w:rsidR="00D72851">
        <w:t>’</w:t>
      </w:r>
      <w:r w:rsidRPr="00D5726C">
        <w:t>orchestr</w:t>
      </w:r>
      <w:r>
        <w:t>e »</w:t>
      </w:r>
      <w:r w:rsidRPr="00D5726C">
        <w:t xml:space="preserve"> (</w:t>
      </w:r>
      <w:hyperlink r:id="rId9" w:history="1">
        <w:r w:rsidRPr="00DB291C">
          <w:rPr>
            <w:rStyle w:val="Lienhypertexte"/>
          </w:rPr>
          <w:t>https://www.iso.org/fr/developing-standards.html</w:t>
        </w:r>
      </w:hyperlink>
      <w:r w:rsidRPr="00D5726C">
        <w:t>,</w:t>
      </w:r>
      <w:r>
        <w:t xml:space="preserve"> consulté le 25 octobre 2020</w:t>
      </w:r>
      <w:r w:rsidRPr="00D5726C">
        <w:t>)</w:t>
      </w:r>
      <w:r>
        <w:t>.</w:t>
      </w:r>
    </w:p>
  </w:footnote>
  <w:footnote w:id="41">
    <w:p w14:paraId="4424E213" w14:textId="77777777" w:rsidR="000B4CF4" w:rsidRDefault="000B4CF4">
      <w:pPr>
        <w:pStyle w:val="Notedebasdepage"/>
      </w:pPr>
      <w:r>
        <w:rPr>
          <w:rStyle w:val="Appelnotedebasdep"/>
        </w:rPr>
        <w:footnoteRef/>
      </w:r>
      <w:r>
        <w:t xml:space="preserve"> </w:t>
      </w:r>
      <w:r w:rsidR="008F0AAA">
        <w:t xml:space="preserve">Th. </w:t>
      </w:r>
      <w:r w:rsidR="008F0AAA" w:rsidRPr="008F0AAA">
        <w:rPr>
          <w:smallCaps/>
        </w:rPr>
        <w:t>Perroud</w:t>
      </w:r>
      <w:r w:rsidRPr="00BE1489">
        <w:t xml:space="preserve">, « Standardisation internationale privée et </w:t>
      </w:r>
      <w:r w:rsidRPr="00BE1489">
        <w:rPr>
          <w:i/>
          <w:iCs/>
        </w:rPr>
        <w:t>Global administrative law</w:t>
      </w:r>
      <w:r w:rsidRPr="00BE1489">
        <w:t> »,</w:t>
      </w:r>
      <w:r>
        <w:t xml:space="preserve"> </w:t>
      </w:r>
      <w:r>
        <w:rPr>
          <w:i/>
          <w:iCs/>
        </w:rPr>
        <w:t>op</w:t>
      </w:r>
      <w:r>
        <w:t xml:space="preserve">. </w:t>
      </w:r>
      <w:r>
        <w:rPr>
          <w:i/>
          <w:iCs/>
        </w:rPr>
        <w:t>cit</w:t>
      </w:r>
      <w:r>
        <w:t xml:space="preserve">. note </w:t>
      </w:r>
      <w:r>
        <w:fldChar w:fldCharType="begin"/>
      </w:r>
      <w:r>
        <w:instrText xml:space="preserve"> NOTEREF _Ref54637776 \h </w:instrText>
      </w:r>
      <w:r>
        <w:fldChar w:fldCharType="separate"/>
      </w:r>
      <w:r>
        <w:t>2</w:t>
      </w:r>
      <w:r>
        <w:fldChar w:fldCharType="end"/>
      </w:r>
      <w:r>
        <w:t>, p. 205.</w:t>
      </w:r>
    </w:p>
  </w:footnote>
  <w:footnote w:id="42">
    <w:p w14:paraId="5601C001" w14:textId="2215F7D0" w:rsidR="000B4CF4" w:rsidRPr="00BE1489" w:rsidRDefault="000B4CF4" w:rsidP="00A71F58">
      <w:pPr>
        <w:spacing w:line="240" w:lineRule="auto"/>
        <w:jc w:val="both"/>
        <w:rPr>
          <w:rFonts w:ascii="Times" w:hAnsi="Times"/>
          <w:sz w:val="20"/>
          <w:szCs w:val="20"/>
        </w:rPr>
      </w:pPr>
      <w:r w:rsidRPr="00BE1489">
        <w:rPr>
          <w:rStyle w:val="Appelnotedebasdep"/>
          <w:rFonts w:ascii="Times" w:hAnsi="Times"/>
          <w:sz w:val="20"/>
          <w:szCs w:val="20"/>
        </w:rPr>
        <w:footnoteRef/>
      </w:r>
      <w:r w:rsidRPr="00BE1489">
        <w:rPr>
          <w:rFonts w:ascii="Times" w:hAnsi="Times"/>
          <w:sz w:val="20"/>
          <w:szCs w:val="20"/>
        </w:rPr>
        <w:t> </w:t>
      </w:r>
      <w:r w:rsidR="008F0AAA">
        <w:rPr>
          <w:rFonts w:ascii="Times" w:hAnsi="Times"/>
          <w:sz w:val="20"/>
          <w:szCs w:val="20"/>
        </w:rPr>
        <w:t xml:space="preserve">N. </w:t>
      </w:r>
      <w:r w:rsidRPr="00BE1489">
        <w:rPr>
          <w:rFonts w:ascii="Times" w:hAnsi="Times"/>
          <w:sz w:val="20"/>
          <w:szCs w:val="20"/>
        </w:rPr>
        <w:t>L</w:t>
      </w:r>
      <w:r w:rsidR="008F0AAA" w:rsidRPr="008F0AAA">
        <w:rPr>
          <w:rFonts w:ascii="Times" w:hAnsi="Times"/>
          <w:smallCaps/>
          <w:sz w:val="20"/>
          <w:szCs w:val="20"/>
        </w:rPr>
        <w:t>uhmann</w:t>
      </w:r>
      <w:r w:rsidRPr="00BE1489">
        <w:rPr>
          <w:rFonts w:ascii="Times" w:hAnsi="Times"/>
          <w:sz w:val="20"/>
          <w:szCs w:val="20"/>
        </w:rPr>
        <w:t xml:space="preserve">, </w:t>
      </w:r>
      <w:r w:rsidRPr="00BE1489">
        <w:rPr>
          <w:rFonts w:ascii="Times" w:hAnsi="Times"/>
          <w:i/>
          <w:sz w:val="20"/>
          <w:szCs w:val="20"/>
        </w:rPr>
        <w:t xml:space="preserve">La légitimation par la </w:t>
      </w:r>
      <w:r w:rsidRPr="00D43FF8">
        <w:rPr>
          <w:rStyle w:val="NotedebasdepageCar"/>
          <w:i/>
          <w:iCs/>
        </w:rPr>
        <w:t>procédure</w:t>
      </w:r>
      <w:r w:rsidRPr="00D43FF8">
        <w:rPr>
          <w:rStyle w:val="NotedebasdepageCar"/>
        </w:rPr>
        <w:t xml:space="preserve">, traduction par Lukas K. </w:t>
      </w:r>
      <w:r w:rsidRPr="008F0AAA">
        <w:rPr>
          <w:rStyle w:val="NotedebasdepageCar"/>
          <w:smallCaps/>
        </w:rPr>
        <w:t>Sosoe</w:t>
      </w:r>
      <w:r w:rsidRPr="00D43FF8">
        <w:rPr>
          <w:rStyle w:val="NotedebasdepageCar"/>
        </w:rPr>
        <w:t xml:space="preserve"> et Stéphane </w:t>
      </w:r>
      <w:r w:rsidRPr="008F0AAA">
        <w:rPr>
          <w:rStyle w:val="NotedebasdepageCar"/>
          <w:smallCaps/>
        </w:rPr>
        <w:t>Bouchard</w:t>
      </w:r>
      <w:r w:rsidRPr="00D43FF8">
        <w:rPr>
          <w:rStyle w:val="NotedebasdepageCar"/>
        </w:rPr>
        <w:t xml:space="preserve">, Paris, Les Éditions du Cerf, </w:t>
      </w:r>
      <w:r>
        <w:rPr>
          <w:rStyle w:val="NotedebasdepageCar"/>
        </w:rPr>
        <w:t>Presses de l</w:t>
      </w:r>
      <w:r w:rsidR="00D72851">
        <w:rPr>
          <w:rStyle w:val="NotedebasdepageCar"/>
        </w:rPr>
        <w:t>’</w:t>
      </w:r>
      <w:r>
        <w:rPr>
          <w:rStyle w:val="NotedebasdepageCar"/>
        </w:rPr>
        <w:t xml:space="preserve">Université de Laval, </w:t>
      </w:r>
      <w:r w:rsidRPr="00D43FF8">
        <w:rPr>
          <w:rStyle w:val="NotedebasdepageCar"/>
        </w:rPr>
        <w:t>2001, 247 p. Pou</w:t>
      </w:r>
      <w:r>
        <w:rPr>
          <w:rFonts w:ascii="Times" w:hAnsi="Times"/>
          <w:sz w:val="20"/>
          <w:szCs w:val="20"/>
        </w:rPr>
        <w:t>r le sociologue allemand, la légitimation est « </w:t>
      </w:r>
      <w:r w:rsidRPr="00D43FF8">
        <w:rPr>
          <w:rFonts w:ascii="Times" w:hAnsi="Times"/>
          <w:sz w:val="20"/>
          <w:szCs w:val="20"/>
        </w:rPr>
        <w:t>une disposition généralisée à admettre à l</w:t>
      </w:r>
      <w:r w:rsidR="00D72851">
        <w:rPr>
          <w:rFonts w:ascii="Times" w:hAnsi="Times"/>
          <w:sz w:val="20"/>
          <w:szCs w:val="20"/>
        </w:rPr>
        <w:t>’</w:t>
      </w:r>
      <w:r w:rsidRPr="00D43FF8">
        <w:rPr>
          <w:rFonts w:ascii="Times" w:hAnsi="Times"/>
          <w:sz w:val="20"/>
          <w:szCs w:val="20"/>
        </w:rPr>
        <w:t>intérieur de certaines limites de tolérance des décisions au contenu encore indéterminé</w:t>
      </w:r>
      <w:r>
        <w:rPr>
          <w:rFonts w:ascii="Times" w:hAnsi="Times"/>
          <w:sz w:val="20"/>
          <w:szCs w:val="20"/>
        </w:rPr>
        <w:t> » (p. 20). Puisque « </w:t>
      </w:r>
      <w:r w:rsidRPr="00D43FF8">
        <w:rPr>
          <w:rFonts w:ascii="Times" w:hAnsi="Times"/>
          <w:sz w:val="20"/>
          <w:szCs w:val="20"/>
        </w:rPr>
        <w:t xml:space="preserve">la procédure ne légitime […] pas la décision mais </w:t>
      </w:r>
      <w:r>
        <w:rPr>
          <w:rFonts w:ascii="Times" w:hAnsi="Times"/>
          <w:sz w:val="20"/>
          <w:szCs w:val="20"/>
        </w:rPr>
        <w:t>[…]</w:t>
      </w:r>
      <w:r w:rsidRPr="00D43FF8">
        <w:rPr>
          <w:rFonts w:ascii="Times" w:hAnsi="Times"/>
          <w:sz w:val="20"/>
          <w:szCs w:val="20"/>
        </w:rPr>
        <w:t xml:space="preserve"> fonde une présomption en faveur de la justesse normative de son contenu</w:t>
      </w:r>
      <w:r>
        <w:rPr>
          <w:rFonts w:ascii="Times" w:hAnsi="Times"/>
          <w:sz w:val="20"/>
          <w:szCs w:val="20"/>
        </w:rPr>
        <w:t> » (p. 13), la légitimation par la procédure est « </w:t>
      </w:r>
      <w:r w:rsidRPr="00C759E5">
        <w:rPr>
          <w:rFonts w:ascii="Times" w:hAnsi="Times"/>
          <w:sz w:val="20"/>
          <w:szCs w:val="20"/>
        </w:rPr>
        <w:t>d</w:t>
      </w:r>
      <w:r w:rsidR="00D72851">
        <w:rPr>
          <w:rFonts w:ascii="Times" w:hAnsi="Times"/>
          <w:sz w:val="20"/>
          <w:szCs w:val="20"/>
        </w:rPr>
        <w:t>’</w:t>
      </w:r>
      <w:r w:rsidRPr="00C759E5">
        <w:rPr>
          <w:rFonts w:ascii="Times" w:hAnsi="Times"/>
          <w:sz w:val="20"/>
          <w:szCs w:val="20"/>
        </w:rPr>
        <w:t>un processus d</w:t>
      </w:r>
      <w:r w:rsidR="00D72851">
        <w:rPr>
          <w:rFonts w:ascii="Times" w:hAnsi="Times"/>
          <w:sz w:val="20"/>
          <w:szCs w:val="20"/>
        </w:rPr>
        <w:t>’</w:t>
      </w:r>
      <w:r w:rsidRPr="00C759E5">
        <w:rPr>
          <w:rFonts w:ascii="Times" w:hAnsi="Times"/>
          <w:sz w:val="20"/>
          <w:szCs w:val="20"/>
        </w:rPr>
        <w:t>apprentissage au sein du système social, lequel peut dans une large mesure être rendu indifférent au fait de savoir si celui qui doit modifier ses attentes est d</w:t>
      </w:r>
      <w:r w:rsidR="00D72851">
        <w:rPr>
          <w:rFonts w:ascii="Times" w:hAnsi="Times"/>
          <w:sz w:val="20"/>
          <w:szCs w:val="20"/>
        </w:rPr>
        <w:t>’</w:t>
      </w:r>
      <w:r w:rsidRPr="00C759E5">
        <w:rPr>
          <w:rFonts w:ascii="Times" w:hAnsi="Times"/>
          <w:sz w:val="20"/>
          <w:szCs w:val="20"/>
        </w:rPr>
        <w:t>accord ou non</w:t>
      </w:r>
      <w:r>
        <w:rPr>
          <w:rFonts w:ascii="Times" w:hAnsi="Times"/>
          <w:sz w:val="20"/>
          <w:szCs w:val="20"/>
        </w:rPr>
        <w:t> » (p. 115).</w:t>
      </w:r>
    </w:p>
  </w:footnote>
  <w:footnote w:id="43">
    <w:p w14:paraId="1C2FBCAF" w14:textId="7A57E328" w:rsidR="000B4CF4" w:rsidRPr="00DC217E" w:rsidRDefault="000B4CF4">
      <w:pPr>
        <w:pStyle w:val="Notedebasdepage"/>
        <w:rPr>
          <w:i/>
          <w:iCs/>
        </w:rPr>
      </w:pPr>
      <w:r>
        <w:rPr>
          <w:rStyle w:val="Appelnotedebasdep"/>
        </w:rPr>
        <w:footnoteRef/>
      </w:r>
      <w:r>
        <w:t xml:space="preserve"> C</w:t>
      </w:r>
      <w:r w:rsidR="00D72851">
        <w:t>’</w:t>
      </w:r>
      <w:r>
        <w:t>est l</w:t>
      </w:r>
      <w:r w:rsidR="00D72851">
        <w:t>’</w:t>
      </w:r>
      <w:r>
        <w:t>une des raisons qui justifie que</w:t>
      </w:r>
      <w:r w:rsidR="006C64E8">
        <w:t xml:space="preserve"> le</w:t>
      </w:r>
      <w:r>
        <w:t xml:space="preserve"> champ du </w:t>
      </w:r>
      <w:r w:rsidRPr="00DC217E">
        <w:rPr>
          <w:i/>
          <w:iCs/>
        </w:rPr>
        <w:t>GAL</w:t>
      </w:r>
      <w:r>
        <w:t xml:space="preserve"> soit plus « large », pour reprendre l</w:t>
      </w:r>
      <w:r w:rsidR="00D72851">
        <w:t>’</w:t>
      </w:r>
      <w:r>
        <w:t>expression d</w:t>
      </w:r>
      <w:r w:rsidR="00D72851">
        <w:t>’</w:t>
      </w:r>
      <w:r>
        <w:t xml:space="preserve">Édouard </w:t>
      </w:r>
      <w:r w:rsidRPr="008F0AAA">
        <w:rPr>
          <w:smallCaps/>
        </w:rPr>
        <w:t>Fromageau</w:t>
      </w:r>
      <w:r>
        <w:t>, que celui du droit international (</w:t>
      </w:r>
      <w:r w:rsidR="008F0AAA">
        <w:t xml:space="preserve">É. </w:t>
      </w:r>
      <w:r>
        <w:t>F</w:t>
      </w:r>
      <w:r w:rsidR="008F0AAA" w:rsidRPr="008F0AAA">
        <w:rPr>
          <w:smallCaps/>
        </w:rPr>
        <w:t>romageau</w:t>
      </w:r>
      <w:r>
        <w:t xml:space="preserve">, </w:t>
      </w:r>
      <w:r w:rsidRPr="00DC217E">
        <w:rPr>
          <w:i/>
          <w:iCs/>
        </w:rPr>
        <w:t>La théorie des institutions du droit administratif global. Étude des interactions avec le droit international public</w:t>
      </w:r>
      <w:r w:rsidRPr="00DC217E">
        <w:t>, Bruxelles, Bruylant, 2016, p. 18</w:t>
      </w:r>
      <w:r>
        <w:t>)</w:t>
      </w:r>
      <w:r w:rsidRPr="00DC217E">
        <w:t>.</w:t>
      </w:r>
    </w:p>
  </w:footnote>
  <w:footnote w:id="44">
    <w:p w14:paraId="6E6642A3" w14:textId="4D1D1D96" w:rsidR="000B4CF4" w:rsidRDefault="000B4CF4">
      <w:pPr>
        <w:pStyle w:val="Notedebasdepage"/>
      </w:pPr>
      <w:r>
        <w:rPr>
          <w:rStyle w:val="Appelnotedebasdep"/>
        </w:rPr>
        <w:footnoteRef/>
      </w:r>
      <w:r>
        <w:t xml:space="preserve"> Conformément au pluralisme institutionnel développé – notamment – par Santi </w:t>
      </w:r>
      <w:r w:rsidRPr="008F0AAA">
        <w:rPr>
          <w:smallCaps/>
        </w:rPr>
        <w:t>Romano</w:t>
      </w:r>
      <w:r>
        <w:t xml:space="preserve"> (</w:t>
      </w:r>
      <w:r w:rsidR="008F0AAA">
        <w:t xml:space="preserve">S. </w:t>
      </w:r>
      <w:r w:rsidR="008F0AAA" w:rsidRPr="008F0AAA">
        <w:rPr>
          <w:smallCaps/>
        </w:rPr>
        <w:t>Romano</w:t>
      </w:r>
      <w:r w:rsidR="008F0AAA">
        <w:t>,</w:t>
      </w:r>
      <w:r w:rsidRPr="00532E66">
        <w:t xml:space="preserve"> </w:t>
      </w:r>
      <w:r w:rsidRPr="00532E66">
        <w:rPr>
          <w:i/>
          <w:iCs/>
        </w:rPr>
        <w:t>L</w:t>
      </w:r>
      <w:r w:rsidR="00D72851">
        <w:rPr>
          <w:i/>
          <w:iCs/>
        </w:rPr>
        <w:t>’</w:t>
      </w:r>
      <w:r w:rsidRPr="00532E66">
        <w:rPr>
          <w:i/>
          <w:iCs/>
        </w:rPr>
        <w:t>ordre juridique</w:t>
      </w:r>
      <w:r w:rsidRPr="00532E66">
        <w:t>, Paris, Dalloz, 1975, 174 p.</w:t>
      </w:r>
      <w:r>
        <w:t>), il est en effet considéré que chaque entité, ou institution, est susceptible de générer son propre ordre juridique, dans les limites que lui impose l</w:t>
      </w:r>
      <w:r w:rsidR="00D72851">
        <w:t>’</w:t>
      </w:r>
      <w:r>
        <w:t>ordre juridique « de référence » qui structure l</w:t>
      </w:r>
      <w:r w:rsidR="00D72851">
        <w:t>’</w:t>
      </w:r>
      <w:r>
        <w:t xml:space="preserve">institution. Cet ordre juridique de référence, défini comme </w:t>
      </w:r>
      <w:r w:rsidRPr="00532E66">
        <w:t>l</w:t>
      </w:r>
      <w:r w:rsidR="00D72851">
        <w:t>’</w:t>
      </w:r>
      <w:r w:rsidRPr="00532E66">
        <w:t>ordre juridique au sein duquel l</w:t>
      </w:r>
      <w:r w:rsidR="00D72851">
        <w:t>’</w:t>
      </w:r>
      <w:r w:rsidRPr="00532E66">
        <w:t>entité globale a émergé en tant qu</w:t>
      </w:r>
      <w:r w:rsidR="00D72851">
        <w:t>’</w:t>
      </w:r>
      <w:r w:rsidRPr="00532E66">
        <w:t>institution naissante, et auquel elle répond structurellement et statutairement</w:t>
      </w:r>
      <w:r>
        <w:t>, ne fait pas obstacle au développement d</w:t>
      </w:r>
      <w:r w:rsidR="00D72851">
        <w:t>’</w:t>
      </w:r>
      <w:r>
        <w:t>un ordre plus ou moins autonome propre à l</w:t>
      </w:r>
      <w:r w:rsidR="00D72851">
        <w:t>’</w:t>
      </w:r>
      <w:r>
        <w:t>entité globale. Ainsi, l</w:t>
      </w:r>
      <w:r w:rsidR="00D72851">
        <w:t>’</w:t>
      </w:r>
      <w:r>
        <w:t>ISO génère son propre ordre juridique au sein duquel les résolutions du Conseil de l</w:t>
      </w:r>
      <w:r w:rsidR="00D72851">
        <w:t>’</w:t>
      </w:r>
      <w:r>
        <w:t>ISO créant des procédures de participation ou de transparence occupent une place significative ; mais l</w:t>
      </w:r>
      <w:r w:rsidR="00D72851">
        <w:t>’</w:t>
      </w:r>
      <w:r>
        <w:t>organisation reste structurellement limitée par le droit suisse dans lequel elle trouve son fondement. L</w:t>
      </w:r>
      <w:r w:rsidR="00D72851">
        <w:t>’</w:t>
      </w:r>
      <w:r>
        <w:t>on se permet encore, sur la vision du pluralisme institutionnel et de l</w:t>
      </w:r>
      <w:r w:rsidR="00D72851">
        <w:t>’</w:t>
      </w:r>
      <w:r>
        <w:t xml:space="preserve">ordre juridique de référence développée, de renvoyer à </w:t>
      </w:r>
      <w:r w:rsidRPr="00BE1489">
        <w:t xml:space="preserve">R. </w:t>
      </w:r>
      <w:r w:rsidRPr="008F0AAA">
        <w:rPr>
          <w:smallCaps/>
        </w:rPr>
        <w:t>Maurel</w:t>
      </w:r>
      <w:r w:rsidRPr="00BE1489">
        <w:t xml:space="preserve">, </w:t>
      </w:r>
      <w:r w:rsidRPr="00BE1489">
        <w:rPr>
          <w:i/>
          <w:iCs/>
        </w:rPr>
        <w:t>Les sources du droit administratif global</w:t>
      </w:r>
      <w:r>
        <w:t xml:space="preserve">, </w:t>
      </w:r>
      <w:r>
        <w:rPr>
          <w:i/>
          <w:iCs/>
        </w:rPr>
        <w:t>op. cit.</w:t>
      </w:r>
      <w:r>
        <w:t xml:space="preserve"> note </w:t>
      </w:r>
      <w:r>
        <w:fldChar w:fldCharType="begin"/>
      </w:r>
      <w:r>
        <w:instrText xml:space="preserve"> NOTEREF _Ref54635937 \h </w:instrText>
      </w:r>
      <w:r>
        <w:fldChar w:fldCharType="separate"/>
      </w:r>
      <w:r>
        <w:t>8</w:t>
      </w:r>
      <w:r>
        <w:fldChar w:fldCharType="end"/>
      </w:r>
      <w:r>
        <w:t>, §§77-78.</w:t>
      </w:r>
    </w:p>
  </w:footnote>
  <w:footnote w:id="45">
    <w:p w14:paraId="641768D7" w14:textId="77777777" w:rsidR="000B4CF4" w:rsidRDefault="000B4CF4">
      <w:pPr>
        <w:pStyle w:val="Notedebasdepage"/>
      </w:pPr>
      <w:r>
        <w:rPr>
          <w:rStyle w:val="Appelnotedebasdep"/>
        </w:rPr>
        <w:footnoteRef/>
      </w:r>
      <w:r>
        <w:t xml:space="preserve"> </w:t>
      </w:r>
      <w:r w:rsidRPr="00650B31">
        <w:t xml:space="preserve">Décret n° 2009-697 </w:t>
      </w:r>
      <w:r>
        <w:t xml:space="preserve">du 16 juin 2009 </w:t>
      </w:r>
      <w:r w:rsidRPr="00650B31">
        <w:t>relatif à la normalisation</w:t>
      </w:r>
      <w:r>
        <w:t xml:space="preserve">, précité note </w:t>
      </w:r>
      <w:r>
        <w:fldChar w:fldCharType="begin"/>
      </w:r>
      <w:r>
        <w:instrText xml:space="preserve"> NOTEREF _Ref54641887 \h </w:instrText>
      </w:r>
      <w:r>
        <w:fldChar w:fldCharType="separate"/>
      </w:r>
      <w:r>
        <w:t>16</w:t>
      </w:r>
      <w:r>
        <w:fldChar w:fldCharType="end"/>
      </w:r>
      <w:r>
        <w:t>.</w:t>
      </w:r>
    </w:p>
  </w:footnote>
  <w:footnote w:id="46">
    <w:p w14:paraId="711DE33C" w14:textId="3DCB9E79" w:rsidR="000B4CF4" w:rsidRDefault="000B4CF4" w:rsidP="0092496B">
      <w:pPr>
        <w:pStyle w:val="Notedebasdepage"/>
      </w:pPr>
      <w:r>
        <w:rPr>
          <w:rStyle w:val="Appelnotedebasdep"/>
        </w:rPr>
        <w:footnoteRef/>
      </w:r>
      <w:r>
        <w:t xml:space="preserve"> Selon l</w:t>
      </w:r>
      <w:r w:rsidR="00D72851">
        <w:t>’</w:t>
      </w:r>
      <w:r>
        <w:t>article 17 dudit décret, « [l]</w:t>
      </w:r>
      <w:r w:rsidRPr="0092496B">
        <w:t>es normes rendues d</w:t>
      </w:r>
      <w:r w:rsidR="00D72851">
        <w:t>’</w:t>
      </w:r>
      <w:r w:rsidRPr="0092496B">
        <w:t>application obligatoire sont consultables gratuitement sur le site internet de l</w:t>
      </w:r>
      <w:r w:rsidR="00D72851">
        <w:t>’</w:t>
      </w:r>
      <w:r w:rsidRPr="0092496B">
        <w:t>Association française de normalisation</w:t>
      </w:r>
      <w:r>
        <w:t> ». Il s</w:t>
      </w:r>
      <w:r w:rsidR="00D72851">
        <w:t>’</w:t>
      </w:r>
      <w:r>
        <w:t>avère que pour des raisons de propriété intellectuelle, ces documents ne sont en pratique pas consultables, leur accessibilité étant « suspendue ». La tentative d</w:t>
      </w:r>
      <w:r w:rsidR="00D72851">
        <w:t>’</w:t>
      </w:r>
      <w:r>
        <w:t>accéder à n</w:t>
      </w:r>
      <w:r w:rsidR="00D72851">
        <w:t>’</w:t>
      </w:r>
      <w:r>
        <w:t>importe quelle norme d</w:t>
      </w:r>
      <w:r w:rsidR="00D72851">
        <w:t>’</w:t>
      </w:r>
      <w:r>
        <w:t>application obligatoire aboutit ainsi au message suivant : « Le document ne peut être consulté sur ce site. À la demande de l</w:t>
      </w:r>
      <w:r w:rsidR="00D72851">
        <w:t>’</w:t>
      </w:r>
      <w:r>
        <w:t>ISO (Organisation internationale de normalisation) du CEN (Comité européen de normalisation) et du CENELEC (Comité européen de normalisation en électronique et en électrotechnique), respectivement titulaires des droits de propriété intellectuelle sur les normes internationales et européennes, (ISO, NF ISO, NF EN ISO, et NF EN), la consultation gratuite de ces dernières est suspendue. Ces normes restent accessibles dans les différents formats selon les conditions habituelles [payantes] de la Boutique AFNOR » (voir le site internet de l</w:t>
      </w:r>
      <w:r w:rsidR="00D72851">
        <w:t>’</w:t>
      </w:r>
      <w:r>
        <w:t xml:space="preserve">AFNOR : </w:t>
      </w:r>
      <w:hyperlink r:id="rId10" w:history="1">
        <w:r w:rsidRPr="008B2729">
          <w:rPr>
            <w:rStyle w:val="Lienhypertexte"/>
          </w:rPr>
          <w:t>https://www.boutique.afnor.org</w:t>
        </w:r>
      </w:hyperlink>
      <w:r>
        <w:t>, consulté le 25 octobre 2020). Il s</w:t>
      </w:r>
      <w:r w:rsidR="00D72851">
        <w:t>’</w:t>
      </w:r>
      <w:r>
        <w:t>agit cependant là d</w:t>
      </w:r>
      <w:r w:rsidR="00D72851">
        <w:t>’</w:t>
      </w:r>
      <w:r>
        <w:t>une question d</w:t>
      </w:r>
      <w:r w:rsidR="00D72851">
        <w:t>’</w:t>
      </w:r>
      <w:r>
        <w:t>effectivité du droit national, et non d</w:t>
      </w:r>
      <w:r w:rsidR="00D72851">
        <w:t>’</w:t>
      </w:r>
      <w:r>
        <w:t>existence d</w:t>
      </w:r>
      <w:r w:rsidR="00D72851">
        <w:t>’</w:t>
      </w:r>
      <w:r>
        <w:t>un rôle normatif de l</w:t>
      </w:r>
      <w:r w:rsidR="00D72851">
        <w:t>’</w:t>
      </w:r>
      <w:r>
        <w:t>État en la matière.</w:t>
      </w:r>
    </w:p>
  </w:footnote>
  <w:footnote w:id="47">
    <w:p w14:paraId="22A35A8D" w14:textId="2054B12F" w:rsidR="000B4CF4" w:rsidRPr="007135AA" w:rsidRDefault="000B4CF4">
      <w:pPr>
        <w:pStyle w:val="Notedebasdepage"/>
      </w:pPr>
      <w:r>
        <w:rPr>
          <w:rStyle w:val="Appelnotedebasdep"/>
        </w:rPr>
        <w:footnoteRef/>
      </w:r>
      <w:r>
        <w:t> D</w:t>
      </w:r>
      <w:r w:rsidRPr="00637385">
        <w:t>écision 2006/505/CE de la Commission du 14 juillet 2006 instituant un comité d</w:t>
      </w:r>
      <w:r w:rsidR="00D72851">
        <w:t>’</w:t>
      </w:r>
      <w:r w:rsidRPr="00637385">
        <w:t>examen des avis sur les normes comptables destiné à conseiller la Commission sur l</w:t>
      </w:r>
      <w:r w:rsidR="00D72851">
        <w:t>’</w:t>
      </w:r>
      <w:r w:rsidRPr="00637385">
        <w:t>objectivité et la neutralité des avis du Groupe consultatif pour l</w:t>
      </w:r>
      <w:r w:rsidR="00D72851">
        <w:t>’</w:t>
      </w:r>
      <w:r w:rsidRPr="00637385">
        <w:t>information financière en Europe (EFRAG)</w:t>
      </w:r>
      <w:r>
        <w:t xml:space="preserve">, </w:t>
      </w:r>
      <w:r w:rsidRPr="008B5549">
        <w:rPr>
          <w:i/>
          <w:iCs/>
        </w:rPr>
        <w:t>JOUE</w:t>
      </w:r>
      <w:r>
        <w:t xml:space="preserve">, L 199/33, 21 juillet 2016. Le </w:t>
      </w:r>
      <w:r w:rsidRPr="00637385">
        <w:rPr>
          <w:i/>
        </w:rPr>
        <w:t>Standard Advice Review Groupe</w:t>
      </w:r>
      <w:r>
        <w:t>, en français C</w:t>
      </w:r>
      <w:r w:rsidRPr="00637385">
        <w:t>omité d</w:t>
      </w:r>
      <w:r w:rsidR="00D72851">
        <w:t>’</w:t>
      </w:r>
      <w:r>
        <w:t>examen des avis sur les normes, est un groupe d</w:t>
      </w:r>
      <w:r w:rsidR="00D72851">
        <w:t>’</w:t>
      </w:r>
      <w:r>
        <w:t xml:space="preserve">experts-comptables non gouvernementaux de </w:t>
      </w:r>
      <w:r w:rsidR="00E66FDE">
        <w:t>sept</w:t>
      </w:r>
      <w:r>
        <w:t xml:space="preserve"> membres au maximum, nommés par la Commission, a été mis en place « pour assurer au processus d</w:t>
      </w:r>
      <w:r w:rsidR="00D72851">
        <w:t>’</w:t>
      </w:r>
      <w:r>
        <w:t>adoption un degré élevé de qualité, de transparence et de crédibilité, […] garantissant le caractère objectif et équilibré de son avis en matière d</w:t>
      </w:r>
      <w:r w:rsidR="00D72851">
        <w:t>’</w:t>
      </w:r>
      <w:r>
        <w:t>adoption » (</w:t>
      </w:r>
      <w:r>
        <w:rPr>
          <w:i/>
          <w:iCs/>
        </w:rPr>
        <w:t>idem</w:t>
      </w:r>
      <w:r>
        <w:t>).</w:t>
      </w:r>
    </w:p>
  </w:footnote>
  <w:footnote w:id="48">
    <w:p w14:paraId="6FD5A079" w14:textId="5C3A1D84" w:rsidR="000B4CF4" w:rsidRPr="00392D28" w:rsidRDefault="000B4CF4">
      <w:pPr>
        <w:pStyle w:val="Notedebasdepage"/>
      </w:pPr>
      <w:r>
        <w:rPr>
          <w:rStyle w:val="Appelnotedebasdep"/>
        </w:rPr>
        <w:footnoteRef/>
      </w:r>
      <w:r>
        <w:t xml:space="preserve"> </w:t>
      </w:r>
      <w:r w:rsidRPr="00C22D61">
        <w:t xml:space="preserve">É. </w:t>
      </w:r>
      <w:r w:rsidRPr="008F0AAA">
        <w:rPr>
          <w:smallCaps/>
        </w:rPr>
        <w:t>Jourdain</w:t>
      </w:r>
      <w:r w:rsidRPr="00C22D61">
        <w:t xml:space="preserve">, </w:t>
      </w:r>
      <w:r>
        <w:t>« </w:t>
      </w:r>
      <w:r w:rsidRPr="00C22D61">
        <w:t>Normes comptables : le continent caché de l</w:t>
      </w:r>
      <w:r w:rsidR="00D72851">
        <w:t>’</w:t>
      </w:r>
      <w:r w:rsidRPr="00C22D61">
        <w:t>Europe néolibérale</w:t>
      </w:r>
      <w:r>
        <w:t> »</w:t>
      </w:r>
      <w:r w:rsidRPr="00C22D61">
        <w:t xml:space="preserve">, </w:t>
      </w:r>
      <w:r w:rsidRPr="00C22D61">
        <w:rPr>
          <w:i/>
          <w:iCs/>
        </w:rPr>
        <w:t>Marianne.net</w:t>
      </w:r>
      <w:r w:rsidRPr="00C22D61">
        <w:t>,</w:t>
      </w:r>
      <w:r>
        <w:t xml:space="preserve"> </w:t>
      </w:r>
      <w:r>
        <w:rPr>
          <w:i/>
          <w:iCs/>
        </w:rPr>
        <w:t>op. cit.</w:t>
      </w:r>
      <w:r>
        <w:t xml:space="preserve"> note </w:t>
      </w:r>
      <w:r>
        <w:fldChar w:fldCharType="begin"/>
      </w:r>
      <w:r>
        <w:instrText xml:space="preserve"> NOTEREF _Ref54642936 \h </w:instrText>
      </w:r>
      <w:r>
        <w:fldChar w:fldCharType="separate"/>
      </w:r>
      <w:r>
        <w:t>21</w:t>
      </w:r>
      <w:r>
        <w:fldChar w:fldCharType="end"/>
      </w:r>
      <w:r>
        <w:t>.</w:t>
      </w:r>
    </w:p>
  </w:footnote>
  <w:footnote w:id="49">
    <w:p w14:paraId="717A2635" w14:textId="6FA0FFD4" w:rsidR="000B4CF4" w:rsidRDefault="000B4CF4">
      <w:pPr>
        <w:pStyle w:val="Notedebasdepage"/>
      </w:pPr>
      <w:r>
        <w:rPr>
          <w:rStyle w:val="Appelnotedebasdep"/>
        </w:rPr>
        <w:footnoteRef/>
      </w:r>
      <w:r>
        <w:t xml:space="preserve"> Outre l</w:t>
      </w:r>
      <w:r w:rsidR="00D72851">
        <w:t>’</w:t>
      </w:r>
      <w:r>
        <w:t xml:space="preserve">exemple plus ancien de la norme IAS 39 évoqué </w:t>
      </w:r>
      <w:r w:rsidRPr="00EF0048">
        <w:rPr>
          <w:i/>
          <w:iCs/>
        </w:rPr>
        <w:t>supra</w:t>
      </w:r>
      <w:r>
        <w:t>, p</w:t>
      </w:r>
      <w:r w:rsidRPr="00EF0048">
        <w:t>ar</w:t>
      </w:r>
      <w:r>
        <w:t xml:space="preserve"> exemple, </w:t>
      </w:r>
      <w:r w:rsidRPr="00BF3B17">
        <w:t>en 2018, l</w:t>
      </w:r>
      <w:r w:rsidR="00D72851">
        <w:t>’</w:t>
      </w:r>
      <w:r w:rsidRPr="00BF3B17">
        <w:t>EFRAG s</w:t>
      </w:r>
      <w:r w:rsidR="00D72851">
        <w:t>’</w:t>
      </w:r>
      <w:r w:rsidRPr="00BF3B17">
        <w:t>est opposé à un certain nombre de modifications de la norme IAS8 (EFRAG, Lettre de commentaires de l</w:t>
      </w:r>
      <w:r w:rsidR="00D72851">
        <w:t>’</w:t>
      </w:r>
      <w:r w:rsidRPr="00BF3B17">
        <w:t>EFRAG portant sur l</w:t>
      </w:r>
      <w:r w:rsidR="00D72851">
        <w:t>’</w:t>
      </w:r>
      <w:r w:rsidRPr="00BF3B17">
        <w:t>exposé-sondage (ED/2018/1) de l</w:t>
      </w:r>
      <w:r w:rsidR="00D72851">
        <w:t>’</w:t>
      </w:r>
      <w:r w:rsidRPr="00BF3B17">
        <w:t>IASB « Changements de méthodes comptables (proposition de modifications de la norme IAS 8)</w:t>
      </w:r>
      <w:r>
        <w:t> »</w:t>
      </w:r>
      <w:r w:rsidRPr="00BF3B17">
        <w:t>).</w:t>
      </w:r>
      <w:r>
        <w:t xml:space="preserve"> </w:t>
      </w:r>
      <w:r w:rsidRPr="009610FE">
        <w:t>Dans le cadre de la norme IFRS 17, l</w:t>
      </w:r>
      <w:r w:rsidR="00D72851">
        <w:t>’</w:t>
      </w:r>
      <w:r w:rsidRPr="009610FE">
        <w:t>EFRAG a également formulé certaines inquiétudes qui ont amené l</w:t>
      </w:r>
      <w:r w:rsidR="00D72851">
        <w:t>’</w:t>
      </w:r>
      <w:r w:rsidRPr="009610FE">
        <w:t>IASB à modifier provisoirement la norme, en attendant une confirmation par la consultation (Commission européenne, Rapport de la Commission au Parlement Européen et au Conseil sur les activités de la Fondation IFRS, de l</w:t>
      </w:r>
      <w:r w:rsidR="00D72851">
        <w:t>’</w:t>
      </w:r>
      <w:r w:rsidRPr="009610FE">
        <w:t>EFRAG et du PIOB en 2018 et sur la réalisation des objectifs du programme de l</w:t>
      </w:r>
      <w:r w:rsidR="00D72851">
        <w:t>’</w:t>
      </w:r>
      <w:r w:rsidRPr="009610FE">
        <w:t>Union, 29 octobre 2019, Bruxelles, COM(2019</w:t>
      </w:r>
      <w:r>
        <w:t>)</w:t>
      </w:r>
      <w:r w:rsidRPr="009610FE">
        <w:t xml:space="preserve"> 549 final, pp. 8-9).</w:t>
      </w:r>
    </w:p>
  </w:footnote>
  <w:footnote w:id="50">
    <w:p w14:paraId="7618C0F4" w14:textId="62281F54" w:rsidR="000B4CF4" w:rsidRDefault="000B4CF4">
      <w:pPr>
        <w:pStyle w:val="Notedebasdepage"/>
      </w:pPr>
      <w:r>
        <w:rPr>
          <w:rStyle w:val="Appelnotedebasdep"/>
        </w:rPr>
        <w:footnoteRef/>
      </w:r>
      <w:r>
        <w:t xml:space="preserve"> </w:t>
      </w:r>
      <w:r w:rsidRPr="009610FE">
        <w:t>Commission européenne, Rapport de la Commission au Parlement Européen et au Conseil sur les activités de la Fondation IFRS, de l</w:t>
      </w:r>
      <w:r w:rsidR="00D72851">
        <w:t>’</w:t>
      </w:r>
      <w:r w:rsidRPr="009610FE">
        <w:t>EFRAG et du PIOB en 201</w:t>
      </w:r>
      <w:r>
        <w:t xml:space="preserve">7, 19 octobre 2018, Bruxelles, </w:t>
      </w:r>
      <w:r w:rsidRPr="007E33D1">
        <w:t>COM(2018) 705 final</w:t>
      </w:r>
      <w:r>
        <w:t>, p. 3.</w:t>
      </w:r>
    </w:p>
  </w:footnote>
  <w:footnote w:id="51">
    <w:p w14:paraId="0C6EA489" w14:textId="0E265739" w:rsidR="00D72851" w:rsidRDefault="00D72851">
      <w:pPr>
        <w:pStyle w:val="Notedebasdepage"/>
      </w:pPr>
      <w:r>
        <w:rPr>
          <w:rStyle w:val="Appelnotedebasdep"/>
        </w:rPr>
        <w:footnoteRef/>
      </w:r>
      <w:r>
        <w:t xml:space="preserve"> L’on entend par ce terme la mobilisation, par les pouvoirs publics et sur le fondement de la mission d’intérêt général exercée par l’entité en question, de techniques juridiques conduisant à la faire passer du statut d’entité privée à celui d’entité publique, ou à tout le moins d’entité placée sous un strict contrôle public.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4F29"/>
    <w:multiLevelType w:val="hybridMultilevel"/>
    <w:tmpl w:val="A3B24B1C"/>
    <w:lvl w:ilvl="0" w:tplc="67F2078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15:restartNumberingAfterBreak="0">
    <w:nsid w:val="290259E3"/>
    <w:multiLevelType w:val="hybridMultilevel"/>
    <w:tmpl w:val="5BE60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BC1AC6"/>
    <w:multiLevelType w:val="hybridMultilevel"/>
    <w:tmpl w:val="8E107B40"/>
    <w:lvl w:ilvl="0" w:tplc="106EA23E">
      <w:start w:val="1"/>
      <w:numFmt w:val="bullet"/>
      <w:lvlText w:val="-"/>
      <w:lvlJc w:val="left"/>
      <w:pPr>
        <w:ind w:left="1068" w:hanging="360"/>
      </w:pPr>
      <w:rPr>
        <w:rFonts w:ascii="Times" w:eastAsiaTheme="minorHAnsi" w:hAnsi="Time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849"/>
    <w:rsid w:val="000230D3"/>
    <w:rsid w:val="0003421F"/>
    <w:rsid w:val="00040397"/>
    <w:rsid w:val="00042132"/>
    <w:rsid w:val="00053E88"/>
    <w:rsid w:val="00077C1F"/>
    <w:rsid w:val="00077F7E"/>
    <w:rsid w:val="000805B3"/>
    <w:rsid w:val="000A7CAA"/>
    <w:rsid w:val="000B4CF4"/>
    <w:rsid w:val="000D7FA2"/>
    <w:rsid w:val="000E0BCB"/>
    <w:rsid w:val="000E2AED"/>
    <w:rsid w:val="0010337C"/>
    <w:rsid w:val="0012013B"/>
    <w:rsid w:val="00153BD7"/>
    <w:rsid w:val="00163940"/>
    <w:rsid w:val="0016549A"/>
    <w:rsid w:val="0017364D"/>
    <w:rsid w:val="00180D46"/>
    <w:rsid w:val="00182B7D"/>
    <w:rsid w:val="001C3F69"/>
    <w:rsid w:val="001D17EC"/>
    <w:rsid w:val="001E668F"/>
    <w:rsid w:val="0020244C"/>
    <w:rsid w:val="002079D4"/>
    <w:rsid w:val="00212B55"/>
    <w:rsid w:val="0023436B"/>
    <w:rsid w:val="00241C54"/>
    <w:rsid w:val="00253D42"/>
    <w:rsid w:val="00263E82"/>
    <w:rsid w:val="00295069"/>
    <w:rsid w:val="00295FBA"/>
    <w:rsid w:val="002968F6"/>
    <w:rsid w:val="002A1C17"/>
    <w:rsid w:val="002B3794"/>
    <w:rsid w:val="002D2CB8"/>
    <w:rsid w:val="002D45EC"/>
    <w:rsid w:val="00314C51"/>
    <w:rsid w:val="00347FDC"/>
    <w:rsid w:val="0035362D"/>
    <w:rsid w:val="00373A82"/>
    <w:rsid w:val="00392D28"/>
    <w:rsid w:val="003932BC"/>
    <w:rsid w:val="003A237E"/>
    <w:rsid w:val="003A7A8A"/>
    <w:rsid w:val="003B0B47"/>
    <w:rsid w:val="003B6E03"/>
    <w:rsid w:val="003F1744"/>
    <w:rsid w:val="00456A9B"/>
    <w:rsid w:val="004A2EAE"/>
    <w:rsid w:val="004C2BB1"/>
    <w:rsid w:val="004C3FF6"/>
    <w:rsid w:val="004E3C9B"/>
    <w:rsid w:val="005001DB"/>
    <w:rsid w:val="00507A97"/>
    <w:rsid w:val="005128A5"/>
    <w:rsid w:val="00532E66"/>
    <w:rsid w:val="00540951"/>
    <w:rsid w:val="0054628C"/>
    <w:rsid w:val="00561995"/>
    <w:rsid w:val="0058080A"/>
    <w:rsid w:val="00586D59"/>
    <w:rsid w:val="005A53E3"/>
    <w:rsid w:val="005B6D16"/>
    <w:rsid w:val="005B7F6E"/>
    <w:rsid w:val="005C7FB3"/>
    <w:rsid w:val="005E1892"/>
    <w:rsid w:val="0061040C"/>
    <w:rsid w:val="00615811"/>
    <w:rsid w:val="006162D7"/>
    <w:rsid w:val="006316F2"/>
    <w:rsid w:val="00633551"/>
    <w:rsid w:val="006365BA"/>
    <w:rsid w:val="00642F05"/>
    <w:rsid w:val="00676D0B"/>
    <w:rsid w:val="00695C04"/>
    <w:rsid w:val="0069622B"/>
    <w:rsid w:val="006A4FDD"/>
    <w:rsid w:val="006C64E8"/>
    <w:rsid w:val="006C6DE8"/>
    <w:rsid w:val="006F01B8"/>
    <w:rsid w:val="006F18FC"/>
    <w:rsid w:val="00701424"/>
    <w:rsid w:val="00703D99"/>
    <w:rsid w:val="00710975"/>
    <w:rsid w:val="007114A1"/>
    <w:rsid w:val="007135AA"/>
    <w:rsid w:val="00723265"/>
    <w:rsid w:val="007243E8"/>
    <w:rsid w:val="00756F61"/>
    <w:rsid w:val="0077768D"/>
    <w:rsid w:val="00795961"/>
    <w:rsid w:val="007B1805"/>
    <w:rsid w:val="007E33D1"/>
    <w:rsid w:val="00803EC5"/>
    <w:rsid w:val="00832A2D"/>
    <w:rsid w:val="00836D6F"/>
    <w:rsid w:val="00870B4D"/>
    <w:rsid w:val="00876702"/>
    <w:rsid w:val="008809E0"/>
    <w:rsid w:val="008934FC"/>
    <w:rsid w:val="008B36A4"/>
    <w:rsid w:val="008B3CE1"/>
    <w:rsid w:val="008B5549"/>
    <w:rsid w:val="008C586C"/>
    <w:rsid w:val="008C6A61"/>
    <w:rsid w:val="008D4177"/>
    <w:rsid w:val="008E7DDD"/>
    <w:rsid w:val="008F0AAA"/>
    <w:rsid w:val="008F11AD"/>
    <w:rsid w:val="008F5593"/>
    <w:rsid w:val="0092496B"/>
    <w:rsid w:val="00947360"/>
    <w:rsid w:val="009610FE"/>
    <w:rsid w:val="009611E8"/>
    <w:rsid w:val="00970686"/>
    <w:rsid w:val="00982D60"/>
    <w:rsid w:val="00991960"/>
    <w:rsid w:val="009A4481"/>
    <w:rsid w:val="009B6CAF"/>
    <w:rsid w:val="009D40CA"/>
    <w:rsid w:val="009E7A4C"/>
    <w:rsid w:val="009F6164"/>
    <w:rsid w:val="00A01DD3"/>
    <w:rsid w:val="00A03F82"/>
    <w:rsid w:val="00A1109D"/>
    <w:rsid w:val="00A2178A"/>
    <w:rsid w:val="00A266FB"/>
    <w:rsid w:val="00A62559"/>
    <w:rsid w:val="00A71F58"/>
    <w:rsid w:val="00AB48E4"/>
    <w:rsid w:val="00AE5639"/>
    <w:rsid w:val="00B06E1E"/>
    <w:rsid w:val="00B20053"/>
    <w:rsid w:val="00B41EFA"/>
    <w:rsid w:val="00B507FC"/>
    <w:rsid w:val="00B86070"/>
    <w:rsid w:val="00B93030"/>
    <w:rsid w:val="00B965B4"/>
    <w:rsid w:val="00BC2627"/>
    <w:rsid w:val="00BE1489"/>
    <w:rsid w:val="00BF3B17"/>
    <w:rsid w:val="00C22D61"/>
    <w:rsid w:val="00C35A5F"/>
    <w:rsid w:val="00C423B4"/>
    <w:rsid w:val="00C5751E"/>
    <w:rsid w:val="00C6782A"/>
    <w:rsid w:val="00C759E5"/>
    <w:rsid w:val="00C8558E"/>
    <w:rsid w:val="00C85592"/>
    <w:rsid w:val="00C9763D"/>
    <w:rsid w:val="00CA6BDF"/>
    <w:rsid w:val="00CB782E"/>
    <w:rsid w:val="00CD151F"/>
    <w:rsid w:val="00CD327F"/>
    <w:rsid w:val="00CE4849"/>
    <w:rsid w:val="00CE523C"/>
    <w:rsid w:val="00CF302F"/>
    <w:rsid w:val="00D01FD8"/>
    <w:rsid w:val="00D11C33"/>
    <w:rsid w:val="00D43235"/>
    <w:rsid w:val="00D43FF8"/>
    <w:rsid w:val="00D54260"/>
    <w:rsid w:val="00D5726C"/>
    <w:rsid w:val="00D65B12"/>
    <w:rsid w:val="00D672DF"/>
    <w:rsid w:val="00D72851"/>
    <w:rsid w:val="00D82D37"/>
    <w:rsid w:val="00D86594"/>
    <w:rsid w:val="00DC217E"/>
    <w:rsid w:val="00DD7264"/>
    <w:rsid w:val="00DF1A9E"/>
    <w:rsid w:val="00DF352A"/>
    <w:rsid w:val="00DF6957"/>
    <w:rsid w:val="00E0316D"/>
    <w:rsid w:val="00E3581E"/>
    <w:rsid w:val="00E62855"/>
    <w:rsid w:val="00E66FDE"/>
    <w:rsid w:val="00E836B0"/>
    <w:rsid w:val="00EA5372"/>
    <w:rsid w:val="00EE61A6"/>
    <w:rsid w:val="00EE6E5A"/>
    <w:rsid w:val="00EF0048"/>
    <w:rsid w:val="00EF7515"/>
    <w:rsid w:val="00F17876"/>
    <w:rsid w:val="00F36A60"/>
    <w:rsid w:val="00F43281"/>
    <w:rsid w:val="00F438A5"/>
    <w:rsid w:val="00F5544A"/>
    <w:rsid w:val="00F65106"/>
    <w:rsid w:val="00F66715"/>
    <w:rsid w:val="00F8735B"/>
    <w:rsid w:val="00FB20FE"/>
    <w:rsid w:val="00FC6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54D4"/>
  <w15:docId w15:val="{BB8A3FAC-0507-C341-8D99-B72E8155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49"/>
    <w:pPr>
      <w:spacing w:line="276" w:lineRule="auto"/>
    </w:pPr>
    <w:rPr>
      <w:rFonts w:ascii="Times New Roman" w:hAnsi="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BE1489"/>
    <w:pPr>
      <w:spacing w:line="240" w:lineRule="auto"/>
      <w:jc w:val="both"/>
    </w:pPr>
    <w:rPr>
      <w:rFonts w:ascii="Times" w:hAnsi="Times"/>
      <w:sz w:val="20"/>
      <w:szCs w:val="20"/>
    </w:rPr>
  </w:style>
  <w:style w:type="character" w:customStyle="1" w:styleId="NotedebasdepageCar">
    <w:name w:val="Note de bas de page Car"/>
    <w:basedOn w:val="Policepardfaut"/>
    <w:link w:val="Notedebasdepage"/>
    <w:uiPriority w:val="99"/>
    <w:rsid w:val="00BE1489"/>
    <w:rPr>
      <w:rFonts w:ascii="Times" w:hAnsi="Times"/>
      <w:sz w:val="20"/>
      <w:szCs w:val="20"/>
    </w:rPr>
  </w:style>
  <w:style w:type="character" w:styleId="Appelnotedebasdep">
    <w:name w:val="footnote reference"/>
    <w:basedOn w:val="Policepardfaut"/>
    <w:unhideWhenUsed/>
    <w:rsid w:val="00CE4849"/>
    <w:rPr>
      <w:vertAlign w:val="superscript"/>
    </w:rPr>
  </w:style>
  <w:style w:type="paragraph" w:styleId="Paragraphedeliste">
    <w:name w:val="List Paragraph"/>
    <w:basedOn w:val="Normal"/>
    <w:uiPriority w:val="34"/>
    <w:qFormat/>
    <w:rsid w:val="00F65106"/>
    <w:pPr>
      <w:ind w:left="720"/>
      <w:contextualSpacing/>
    </w:pPr>
  </w:style>
  <w:style w:type="paragraph" w:styleId="Textedebulles">
    <w:name w:val="Balloon Text"/>
    <w:basedOn w:val="Normal"/>
    <w:link w:val="TextedebullesCar"/>
    <w:uiPriority w:val="99"/>
    <w:semiHidden/>
    <w:unhideWhenUsed/>
    <w:rsid w:val="007243E8"/>
    <w:pPr>
      <w:spacing w:line="240" w:lineRule="auto"/>
    </w:pPr>
    <w:rPr>
      <w:rFonts w:cs="Times New Roman"/>
      <w:sz w:val="18"/>
      <w:szCs w:val="18"/>
    </w:rPr>
  </w:style>
  <w:style w:type="character" w:customStyle="1" w:styleId="TextedebullesCar">
    <w:name w:val="Texte de bulles Car"/>
    <w:basedOn w:val="Policepardfaut"/>
    <w:link w:val="Textedebulles"/>
    <w:uiPriority w:val="99"/>
    <w:semiHidden/>
    <w:rsid w:val="007243E8"/>
    <w:rPr>
      <w:rFonts w:ascii="Times New Roman" w:hAnsi="Times New Roman" w:cs="Times New Roman"/>
      <w:sz w:val="18"/>
      <w:szCs w:val="18"/>
    </w:rPr>
  </w:style>
  <w:style w:type="character" w:styleId="Lienhypertexte">
    <w:name w:val="Hyperlink"/>
    <w:basedOn w:val="Policepardfaut"/>
    <w:uiPriority w:val="99"/>
    <w:unhideWhenUsed/>
    <w:rsid w:val="004C2BB1"/>
    <w:rPr>
      <w:color w:val="0563C1" w:themeColor="hyperlink"/>
      <w:u w:val="single"/>
    </w:rPr>
  </w:style>
  <w:style w:type="paragraph" w:styleId="En-tte">
    <w:name w:val="header"/>
    <w:basedOn w:val="Normal"/>
    <w:link w:val="En-tteCar"/>
    <w:uiPriority w:val="99"/>
    <w:unhideWhenUsed/>
    <w:rsid w:val="00BE1489"/>
    <w:pPr>
      <w:tabs>
        <w:tab w:val="center" w:pos="4536"/>
        <w:tab w:val="right" w:pos="9072"/>
      </w:tabs>
      <w:spacing w:line="240" w:lineRule="auto"/>
    </w:pPr>
  </w:style>
  <w:style w:type="character" w:customStyle="1" w:styleId="En-tteCar">
    <w:name w:val="En-tête Car"/>
    <w:basedOn w:val="Policepardfaut"/>
    <w:link w:val="En-tte"/>
    <w:uiPriority w:val="99"/>
    <w:rsid w:val="00BE1489"/>
    <w:rPr>
      <w:rFonts w:ascii="Times New Roman" w:hAnsi="Times New Roman"/>
      <w:szCs w:val="22"/>
    </w:rPr>
  </w:style>
  <w:style w:type="paragraph" w:styleId="Pieddepage">
    <w:name w:val="footer"/>
    <w:basedOn w:val="Normal"/>
    <w:link w:val="PieddepageCar"/>
    <w:uiPriority w:val="99"/>
    <w:unhideWhenUsed/>
    <w:rsid w:val="00BE1489"/>
    <w:pPr>
      <w:tabs>
        <w:tab w:val="center" w:pos="4536"/>
        <w:tab w:val="right" w:pos="9072"/>
      </w:tabs>
      <w:spacing w:line="240" w:lineRule="auto"/>
    </w:pPr>
  </w:style>
  <w:style w:type="character" w:customStyle="1" w:styleId="PieddepageCar">
    <w:name w:val="Pied de page Car"/>
    <w:basedOn w:val="Policepardfaut"/>
    <w:link w:val="Pieddepage"/>
    <w:uiPriority w:val="99"/>
    <w:rsid w:val="00BE1489"/>
    <w:rPr>
      <w:rFonts w:ascii="Times New Roman" w:hAnsi="Times New Roman"/>
      <w:szCs w:val="22"/>
    </w:rPr>
  </w:style>
  <w:style w:type="character" w:styleId="Numrodepage">
    <w:name w:val="page number"/>
    <w:basedOn w:val="Policepardfaut"/>
    <w:uiPriority w:val="99"/>
    <w:semiHidden/>
    <w:unhideWhenUsed/>
    <w:rsid w:val="00BE1489"/>
  </w:style>
  <w:style w:type="character" w:customStyle="1" w:styleId="Mentionnonrsolue1">
    <w:name w:val="Mention non résolue1"/>
    <w:basedOn w:val="Policepardfaut"/>
    <w:uiPriority w:val="99"/>
    <w:semiHidden/>
    <w:unhideWhenUsed/>
    <w:rsid w:val="00F438A5"/>
    <w:rPr>
      <w:color w:val="605E5C"/>
      <w:shd w:val="clear" w:color="auto" w:fill="E1DFDD"/>
    </w:rPr>
  </w:style>
  <w:style w:type="character" w:styleId="Lienhypertextesuivivisit">
    <w:name w:val="FollowedHyperlink"/>
    <w:basedOn w:val="Policepardfaut"/>
    <w:uiPriority w:val="99"/>
    <w:semiHidden/>
    <w:unhideWhenUsed/>
    <w:rsid w:val="00D43235"/>
    <w:rPr>
      <w:color w:val="954F72" w:themeColor="followedHyperlink"/>
      <w:u w:val="single"/>
    </w:rPr>
  </w:style>
  <w:style w:type="character" w:styleId="Marquedecommentaire">
    <w:name w:val="annotation reference"/>
    <w:basedOn w:val="Policepardfaut"/>
    <w:uiPriority w:val="99"/>
    <w:semiHidden/>
    <w:unhideWhenUsed/>
    <w:rsid w:val="006F01B8"/>
    <w:rPr>
      <w:sz w:val="16"/>
      <w:szCs w:val="16"/>
    </w:rPr>
  </w:style>
  <w:style w:type="paragraph" w:styleId="Commentaire">
    <w:name w:val="annotation text"/>
    <w:basedOn w:val="Normal"/>
    <w:link w:val="CommentaireCar"/>
    <w:uiPriority w:val="99"/>
    <w:semiHidden/>
    <w:unhideWhenUsed/>
    <w:rsid w:val="006F01B8"/>
    <w:pPr>
      <w:spacing w:line="240" w:lineRule="auto"/>
    </w:pPr>
    <w:rPr>
      <w:sz w:val="20"/>
      <w:szCs w:val="20"/>
    </w:rPr>
  </w:style>
  <w:style w:type="character" w:customStyle="1" w:styleId="CommentaireCar">
    <w:name w:val="Commentaire Car"/>
    <w:basedOn w:val="Policepardfaut"/>
    <w:link w:val="Commentaire"/>
    <w:uiPriority w:val="99"/>
    <w:semiHidden/>
    <w:rsid w:val="006F01B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F01B8"/>
    <w:rPr>
      <w:b/>
      <w:bCs/>
    </w:rPr>
  </w:style>
  <w:style w:type="character" w:customStyle="1" w:styleId="ObjetducommentaireCar">
    <w:name w:val="Objet du commentaire Car"/>
    <w:basedOn w:val="CommentaireCar"/>
    <w:link w:val="Objetducommentaire"/>
    <w:uiPriority w:val="99"/>
    <w:semiHidden/>
    <w:rsid w:val="006F01B8"/>
    <w:rPr>
      <w:rFonts w:ascii="Times New Roman" w:hAnsi="Times New Roman"/>
      <w:b/>
      <w:bCs/>
      <w:sz w:val="20"/>
      <w:szCs w:val="20"/>
    </w:rPr>
  </w:style>
  <w:style w:type="paragraph" w:styleId="Rvision">
    <w:name w:val="Revision"/>
    <w:hidden/>
    <w:uiPriority w:val="99"/>
    <w:semiHidden/>
    <w:rsid w:val="006F01B8"/>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047694">
      <w:bodyDiv w:val="1"/>
      <w:marLeft w:val="0"/>
      <w:marRight w:val="0"/>
      <w:marTop w:val="0"/>
      <w:marBottom w:val="0"/>
      <w:divBdr>
        <w:top w:val="none" w:sz="0" w:space="0" w:color="auto"/>
        <w:left w:val="none" w:sz="0" w:space="0" w:color="auto"/>
        <w:bottom w:val="none" w:sz="0" w:space="0" w:color="auto"/>
        <w:right w:val="none" w:sz="0" w:space="0" w:color="auto"/>
      </w:divBdr>
      <w:divsChild>
        <w:div w:id="878399812">
          <w:marLeft w:val="0"/>
          <w:marRight w:val="0"/>
          <w:marTop w:val="0"/>
          <w:marBottom w:val="0"/>
          <w:divBdr>
            <w:top w:val="none" w:sz="0" w:space="0" w:color="auto"/>
            <w:left w:val="none" w:sz="0" w:space="0" w:color="auto"/>
            <w:bottom w:val="none" w:sz="0" w:space="0" w:color="auto"/>
            <w:right w:val="none" w:sz="0" w:space="0" w:color="auto"/>
          </w:divBdr>
          <w:divsChild>
            <w:div w:id="2135321025">
              <w:marLeft w:val="0"/>
              <w:marRight w:val="0"/>
              <w:marTop w:val="0"/>
              <w:marBottom w:val="0"/>
              <w:divBdr>
                <w:top w:val="none" w:sz="0" w:space="0" w:color="auto"/>
                <w:left w:val="none" w:sz="0" w:space="0" w:color="auto"/>
                <w:bottom w:val="none" w:sz="0" w:space="0" w:color="auto"/>
                <w:right w:val="none" w:sz="0" w:space="0" w:color="auto"/>
              </w:divBdr>
              <w:divsChild>
                <w:div w:id="1966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so.org/fr/home.html" TargetMode="External"/><Relationship Id="rId3" Type="http://schemas.openxmlformats.org/officeDocument/2006/relationships/hyperlink" Target="https://www.ifrs.org/issued-standards/unaccompanied-standards-faqs/" TargetMode="External"/><Relationship Id="rId7" Type="http://schemas.openxmlformats.org/officeDocument/2006/relationships/hyperlink" Target="https://www.ifrs.org/projects/2020/due-process-handbook-review/" TargetMode="External"/><Relationship Id="rId2" Type="http://schemas.openxmlformats.org/officeDocument/2006/relationships/hyperlink" Target="https://www.ifrs.org/issued-standards/list-of-standards/" TargetMode="External"/><Relationship Id="rId1" Type="http://schemas.openxmlformats.org/officeDocument/2006/relationships/hyperlink" Target="https://www.iso.org/fr/standard/74965.html" TargetMode="External"/><Relationship Id="rId6" Type="http://schemas.openxmlformats.org/officeDocument/2006/relationships/hyperlink" Target="https://www.ifrs.org/about-us/our-structure/" TargetMode="External"/><Relationship Id="rId5" Type="http://schemas.openxmlformats.org/officeDocument/2006/relationships/hyperlink" Target="https://www.ifrs.org/about-us/who-we-are/" TargetMode="External"/><Relationship Id="rId10" Type="http://schemas.openxmlformats.org/officeDocument/2006/relationships/hyperlink" Target="https://www.boutique.afnor.org" TargetMode="External"/><Relationship Id="rId4" Type="http://schemas.openxmlformats.org/officeDocument/2006/relationships/hyperlink" Target="https://www.marianne.net/agora/humeurs/normes-comptables-le-continent-cache-de-l-europe-neoliberale" TargetMode="External"/><Relationship Id="rId9" Type="http://schemas.openxmlformats.org/officeDocument/2006/relationships/hyperlink" Target="https://www.iso.org/fr/developing-standard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4693</Words>
  <Characters>26472</Characters>
  <Application>Microsoft Office Word</Application>
  <DocSecurity>0</DocSecurity>
  <Lines>383</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Maurel</dc:creator>
  <cp:lastModifiedBy>Raphaël Maurel</cp:lastModifiedBy>
  <cp:revision>5</cp:revision>
  <cp:lastPrinted>2019-07-26T10:02:00Z</cp:lastPrinted>
  <dcterms:created xsi:type="dcterms:W3CDTF">2020-10-28T18:18:00Z</dcterms:created>
  <dcterms:modified xsi:type="dcterms:W3CDTF">2020-10-29T07:35:00Z</dcterms:modified>
</cp:coreProperties>
</file>