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7621" w14:textId="27B7DAEE" w:rsidR="0030669D" w:rsidRDefault="00387623" w:rsidP="00387623">
      <w:pPr>
        <w:numPr>
          <w:ilvl w:val="0"/>
          <w:numId w:val="0"/>
        </w:numPr>
        <w:jc w:val="center"/>
        <w:rPr>
          <w:b/>
          <w:bCs/>
        </w:rPr>
      </w:pPr>
      <w:r>
        <w:rPr>
          <w:b/>
          <w:bCs/>
        </w:rPr>
        <w:t>L</w:t>
      </w:r>
      <w:r w:rsidR="00606A2D">
        <w:rPr>
          <w:b/>
          <w:bCs/>
        </w:rPr>
        <w:t xml:space="preserve">a confirmation des </w:t>
      </w:r>
      <w:r>
        <w:rPr>
          <w:b/>
          <w:bCs/>
        </w:rPr>
        <w:t>évolution</w:t>
      </w:r>
      <w:r w:rsidR="00606A2D">
        <w:rPr>
          <w:b/>
          <w:bCs/>
        </w:rPr>
        <w:t>s récentes</w:t>
      </w:r>
      <w:r>
        <w:rPr>
          <w:b/>
          <w:bCs/>
        </w:rPr>
        <w:t xml:space="preserve"> du droit des mesures conservatoires par et devant la Cour internationale de justice : r</w:t>
      </w:r>
      <w:r w:rsidR="00B247A1" w:rsidRPr="00B247A1">
        <w:rPr>
          <w:b/>
          <w:bCs/>
        </w:rPr>
        <w:t xml:space="preserve">emarques sur les ordonnances en indication de mesures conservatoires dans les affaires relatives à </w:t>
      </w:r>
      <w:r w:rsidR="00B247A1" w:rsidRPr="00B247A1">
        <w:rPr>
          <w:b/>
          <w:bCs/>
          <w:i/>
          <w:iCs/>
        </w:rPr>
        <w:t>l</w:t>
      </w:r>
      <w:r w:rsidR="005431F2">
        <w:rPr>
          <w:b/>
          <w:bCs/>
          <w:i/>
          <w:iCs/>
        </w:rPr>
        <w:t>’</w:t>
      </w:r>
      <w:r w:rsidR="00B247A1" w:rsidRPr="00B247A1">
        <w:rPr>
          <w:b/>
          <w:bCs/>
          <w:i/>
          <w:iCs/>
        </w:rPr>
        <w:t>application de la convention internationale sur l</w:t>
      </w:r>
      <w:r w:rsidR="005431F2">
        <w:rPr>
          <w:b/>
          <w:bCs/>
          <w:i/>
          <w:iCs/>
        </w:rPr>
        <w:t>’</w:t>
      </w:r>
      <w:r w:rsidR="00B247A1" w:rsidRPr="00B247A1">
        <w:rPr>
          <w:b/>
          <w:bCs/>
          <w:i/>
          <w:iCs/>
        </w:rPr>
        <w:t>élimination de toutes les formes de discrimination raciale</w:t>
      </w:r>
      <w:r w:rsidR="00B247A1" w:rsidRPr="00B247A1">
        <w:rPr>
          <w:b/>
          <w:bCs/>
        </w:rPr>
        <w:t xml:space="preserve"> du 7 décembre 2021 (</w:t>
      </w:r>
      <w:r w:rsidR="00B247A1" w:rsidRPr="00B247A1">
        <w:rPr>
          <w:b/>
          <w:bCs/>
          <w:i/>
          <w:iCs/>
        </w:rPr>
        <w:t>Arménie c. Azerbaïdjan</w:t>
      </w:r>
      <w:r w:rsidR="00B247A1" w:rsidRPr="00B247A1">
        <w:rPr>
          <w:b/>
          <w:bCs/>
        </w:rPr>
        <w:t xml:space="preserve"> et </w:t>
      </w:r>
      <w:r w:rsidR="00B247A1" w:rsidRPr="00B247A1">
        <w:rPr>
          <w:b/>
          <w:bCs/>
          <w:i/>
          <w:iCs/>
        </w:rPr>
        <w:t>Azerbaïdjan c. Arménie</w:t>
      </w:r>
      <w:r w:rsidR="00B247A1" w:rsidRPr="00B247A1">
        <w:rPr>
          <w:b/>
          <w:bCs/>
        </w:rPr>
        <w:t>)</w:t>
      </w:r>
    </w:p>
    <w:p w14:paraId="5B70882F" w14:textId="77777777" w:rsidR="00366863" w:rsidRDefault="00366863" w:rsidP="0030669D">
      <w:pPr>
        <w:numPr>
          <w:ilvl w:val="0"/>
          <w:numId w:val="0"/>
        </w:numPr>
        <w:spacing w:line="240" w:lineRule="auto"/>
        <w:jc w:val="center"/>
        <w:rPr>
          <w:b/>
          <w:bCs/>
        </w:rPr>
      </w:pPr>
    </w:p>
    <w:p w14:paraId="1A0E9D50" w14:textId="77777777" w:rsidR="00A472CB" w:rsidRPr="0030669D" w:rsidRDefault="00A472CB" w:rsidP="00A472CB">
      <w:pPr>
        <w:numPr>
          <w:ilvl w:val="0"/>
          <w:numId w:val="0"/>
        </w:numPr>
        <w:spacing w:line="240" w:lineRule="auto"/>
        <w:jc w:val="center"/>
        <w:rPr>
          <w:b/>
          <w:bCs/>
        </w:rPr>
      </w:pPr>
      <w:r>
        <w:t>Raphaël MAUREL</w:t>
      </w:r>
      <w:r>
        <w:rPr>
          <w:rStyle w:val="Appelnotedebasdep"/>
        </w:rPr>
        <w:footnoteReference w:id="2"/>
      </w:r>
    </w:p>
    <w:p w14:paraId="75C8FAED" w14:textId="6CBE8A1D" w:rsidR="005D027A" w:rsidRDefault="005D027A" w:rsidP="00B51897">
      <w:pPr>
        <w:numPr>
          <w:ilvl w:val="0"/>
          <w:numId w:val="0"/>
        </w:numPr>
        <w:spacing w:line="240" w:lineRule="auto"/>
        <w:jc w:val="left"/>
      </w:pPr>
    </w:p>
    <w:p w14:paraId="64C56DC6" w14:textId="77777777" w:rsidR="0060768E" w:rsidRDefault="0060768E" w:rsidP="00B51897">
      <w:pPr>
        <w:numPr>
          <w:ilvl w:val="0"/>
          <w:numId w:val="0"/>
        </w:numPr>
        <w:spacing w:line="240" w:lineRule="auto"/>
        <w:jc w:val="left"/>
      </w:pPr>
    </w:p>
    <w:p w14:paraId="3E57AF6B" w14:textId="5B95007A" w:rsidR="0030669D" w:rsidRDefault="005D027A" w:rsidP="00B51897">
      <w:pPr>
        <w:numPr>
          <w:ilvl w:val="0"/>
          <w:numId w:val="0"/>
        </w:numPr>
        <w:spacing w:line="240" w:lineRule="auto"/>
        <w:jc w:val="left"/>
      </w:pPr>
      <w:r w:rsidRPr="005D027A">
        <w:rPr>
          <w:u w:val="single"/>
        </w:rPr>
        <w:t>Titre anglais</w:t>
      </w:r>
      <w:r>
        <w:t xml:space="preserve"> : </w:t>
      </w:r>
      <w:r w:rsidRPr="005D027A">
        <w:t xml:space="preserve">Confirming Recent Developments in the Law of Provisional Measures by and before the International Court of Justice: Remarks on the Orders for the Indication of Provisional Measures in Cases Concerning the </w:t>
      </w:r>
      <w:r>
        <w:rPr>
          <w:i/>
          <w:iCs/>
        </w:rPr>
        <w:t>Application</w:t>
      </w:r>
      <w:r w:rsidRPr="005D027A">
        <w:rPr>
          <w:i/>
          <w:iCs/>
        </w:rPr>
        <w:t xml:space="preserve"> of the International Convention on the Elimination of All Forms of Racial Discrimination of 7 December 2021</w:t>
      </w:r>
      <w:r w:rsidRPr="005D027A">
        <w:t xml:space="preserve"> (Armenia v. Azerbaijan and Azerbaijan v. Armenia)</w:t>
      </w:r>
      <w:r>
        <w:t xml:space="preserve"> </w:t>
      </w:r>
    </w:p>
    <w:p w14:paraId="44F181B3" w14:textId="3EE710F6" w:rsidR="001C015B" w:rsidRDefault="001C015B" w:rsidP="00B51897">
      <w:pPr>
        <w:numPr>
          <w:ilvl w:val="0"/>
          <w:numId w:val="0"/>
        </w:numPr>
        <w:spacing w:line="240" w:lineRule="auto"/>
        <w:jc w:val="left"/>
      </w:pPr>
    </w:p>
    <w:p w14:paraId="4B964FF2" w14:textId="437E2BFA" w:rsidR="0060768E" w:rsidRDefault="005D027A" w:rsidP="00724C8E">
      <w:pPr>
        <w:numPr>
          <w:ilvl w:val="0"/>
          <w:numId w:val="0"/>
        </w:numPr>
        <w:spacing w:line="240" w:lineRule="auto"/>
      </w:pPr>
      <w:r w:rsidRPr="0060768E">
        <w:rPr>
          <w:u w:val="single"/>
        </w:rPr>
        <w:t>Résumé</w:t>
      </w:r>
      <w:r>
        <w:t xml:space="preserve"> : </w:t>
      </w:r>
      <w:r w:rsidR="00724C8E">
        <w:t>Le 7 décembre 2021, la Cour internationale de justice a rendu deux ordonnances attendues dans les affaires introduites par l</w:t>
      </w:r>
      <w:r w:rsidR="005431F2">
        <w:t>’</w:t>
      </w:r>
      <w:r w:rsidR="00724C8E">
        <w:t>Arménie contre l</w:t>
      </w:r>
      <w:r w:rsidR="005431F2">
        <w:t>’</w:t>
      </w:r>
      <w:r w:rsidR="00724C8E">
        <w:t>Azerbaïdjan et l</w:t>
      </w:r>
      <w:r w:rsidR="005431F2">
        <w:t>’</w:t>
      </w:r>
      <w:r w:rsidR="00724C8E">
        <w:t>Azerbaïdjan contre l</w:t>
      </w:r>
      <w:r w:rsidR="005431F2">
        <w:t>’</w:t>
      </w:r>
      <w:r w:rsidR="00724C8E">
        <w:t>Arménie. Elle y confirme une tendance à l</w:t>
      </w:r>
      <w:r w:rsidR="005431F2">
        <w:t>’</w:t>
      </w:r>
      <w:r w:rsidR="00724C8E">
        <w:t>appréciation souple de certains critères d</w:t>
      </w:r>
      <w:r w:rsidR="005431F2">
        <w:t>’</w:t>
      </w:r>
      <w:r w:rsidR="00724C8E">
        <w:t>indication des mesures conservatoires comme celui de la plausibilité des droits allégués, des liens entre les mesures requises et les droits protégés, voire à la marginalisation d</w:t>
      </w:r>
      <w:r w:rsidR="005431F2">
        <w:t>’</w:t>
      </w:r>
      <w:r w:rsidR="00724C8E">
        <w:t>autres critères, comme celui du caractère irréparable du préjudice invoqué. Bien que la Cour de La Haye poursuive, au fil de sa jurisprudence, la construction du droit des mesures conservatoires, la manière dont elle mobilise ces critères continue ainsi de susciter des interrogations et critiques.</w:t>
      </w:r>
    </w:p>
    <w:p w14:paraId="685978A5" w14:textId="4B764315" w:rsidR="005D027A" w:rsidRDefault="005D027A" w:rsidP="00B51897">
      <w:pPr>
        <w:numPr>
          <w:ilvl w:val="0"/>
          <w:numId w:val="0"/>
        </w:numPr>
        <w:spacing w:line="240" w:lineRule="auto"/>
        <w:jc w:val="left"/>
      </w:pPr>
    </w:p>
    <w:p w14:paraId="12F8611C" w14:textId="18B50BA9" w:rsidR="005D027A" w:rsidRDefault="005D027A" w:rsidP="00B51897">
      <w:pPr>
        <w:numPr>
          <w:ilvl w:val="0"/>
          <w:numId w:val="0"/>
        </w:numPr>
        <w:spacing w:line="240" w:lineRule="auto"/>
        <w:jc w:val="left"/>
      </w:pPr>
      <w:r w:rsidRPr="0060768E">
        <w:rPr>
          <w:u w:val="single"/>
        </w:rPr>
        <w:t>Abstract</w:t>
      </w:r>
      <w:r>
        <w:t xml:space="preserve"> : </w:t>
      </w:r>
      <w:r w:rsidR="0060768E" w:rsidRPr="0060768E">
        <w:t xml:space="preserve">On December 7, 2021, the International Court of Justice issued two awaited orders in the cases of Armenia against Azerbaijan and Azerbaijan against Armenia. In these </w:t>
      </w:r>
      <w:r w:rsidR="0060768E">
        <w:t>decisions</w:t>
      </w:r>
      <w:r w:rsidR="0060768E" w:rsidRPr="0060768E">
        <w:t xml:space="preserve">, the Court confirmed a trend towards flexible assessment of certain criteria for the indication of provisional measures, such as the plausibility of the alleged rights, the relationship between the measures requested and the rights protected, and even the marginalization of other criteria, such as the irreparable nature of the </w:t>
      </w:r>
      <w:r w:rsidR="0060768E">
        <w:t>prejudice</w:t>
      </w:r>
      <w:r w:rsidR="0060768E" w:rsidRPr="0060768E">
        <w:t xml:space="preserve"> </w:t>
      </w:r>
      <w:r w:rsidR="0060768E">
        <w:t>alleged</w:t>
      </w:r>
      <w:r w:rsidR="0060768E" w:rsidRPr="0060768E">
        <w:t>. Although the Hague Court continues to build up the law of provisional measures through its case law, the way in which it mobilizes these criteria continues to raise questions and criticism.</w:t>
      </w:r>
    </w:p>
    <w:p w14:paraId="6C0A5114" w14:textId="0F921CEF" w:rsidR="005D027A" w:rsidRDefault="005D027A" w:rsidP="00B51897">
      <w:pPr>
        <w:numPr>
          <w:ilvl w:val="0"/>
          <w:numId w:val="0"/>
        </w:numPr>
        <w:spacing w:line="240" w:lineRule="auto"/>
        <w:jc w:val="left"/>
      </w:pPr>
    </w:p>
    <w:p w14:paraId="736CB3D2" w14:textId="0A0F1B12" w:rsidR="0060768E" w:rsidRDefault="0060768E" w:rsidP="00B51897">
      <w:pPr>
        <w:numPr>
          <w:ilvl w:val="0"/>
          <w:numId w:val="0"/>
        </w:numPr>
        <w:spacing w:line="240" w:lineRule="auto"/>
        <w:jc w:val="left"/>
      </w:pPr>
      <w:r w:rsidRPr="0060768E">
        <w:rPr>
          <w:u w:val="single"/>
        </w:rPr>
        <w:t>Mots clés</w:t>
      </w:r>
      <w:r>
        <w:t xml:space="preserve"> : mesures conservatoires – plausibilité des droits allégués – préjudice irréparable – droit des mesures conservatoires – cour internationale de justice </w:t>
      </w:r>
    </w:p>
    <w:p w14:paraId="008E2F2D" w14:textId="69B47636" w:rsidR="0060768E" w:rsidRDefault="0060768E" w:rsidP="00B51897">
      <w:pPr>
        <w:numPr>
          <w:ilvl w:val="0"/>
          <w:numId w:val="0"/>
        </w:numPr>
        <w:spacing w:line="240" w:lineRule="auto"/>
        <w:jc w:val="left"/>
      </w:pPr>
    </w:p>
    <w:p w14:paraId="4B27DD8B" w14:textId="588679BB" w:rsidR="0060768E" w:rsidRDefault="0060768E" w:rsidP="00B51897">
      <w:pPr>
        <w:numPr>
          <w:ilvl w:val="0"/>
          <w:numId w:val="0"/>
        </w:numPr>
        <w:spacing w:line="240" w:lineRule="auto"/>
        <w:jc w:val="left"/>
      </w:pPr>
      <w:r w:rsidRPr="0060768E">
        <w:rPr>
          <w:u w:val="single"/>
        </w:rPr>
        <w:t>Keywords</w:t>
      </w:r>
      <w:r>
        <w:t xml:space="preserve"> : </w:t>
      </w:r>
      <w:r w:rsidRPr="0060768E">
        <w:t xml:space="preserve">provisional measures - plausibility of alleged rights - irreparable </w:t>
      </w:r>
      <w:r>
        <w:t>prejudice</w:t>
      </w:r>
      <w:r w:rsidRPr="0060768E">
        <w:t xml:space="preserve"> - law of provisional measures - international court of justice</w:t>
      </w:r>
    </w:p>
    <w:p w14:paraId="2CE3750E" w14:textId="77777777" w:rsidR="005D027A" w:rsidRDefault="005D027A" w:rsidP="00B51897">
      <w:pPr>
        <w:numPr>
          <w:ilvl w:val="0"/>
          <w:numId w:val="0"/>
        </w:numPr>
        <w:spacing w:line="240" w:lineRule="auto"/>
        <w:jc w:val="left"/>
      </w:pPr>
    </w:p>
    <w:p w14:paraId="3D25C335" w14:textId="77777777" w:rsidR="0060768E" w:rsidRDefault="0060768E" w:rsidP="008974AF">
      <w:pPr>
        <w:numPr>
          <w:ilvl w:val="0"/>
          <w:numId w:val="0"/>
        </w:numPr>
        <w:spacing w:line="240" w:lineRule="auto"/>
      </w:pPr>
    </w:p>
    <w:p w14:paraId="0009841A" w14:textId="0C9D88E2" w:rsidR="00B247A1" w:rsidRDefault="006C69C9" w:rsidP="008974AF">
      <w:pPr>
        <w:numPr>
          <w:ilvl w:val="0"/>
          <w:numId w:val="0"/>
        </w:numPr>
        <w:spacing w:line="240" w:lineRule="auto"/>
      </w:pPr>
      <w:r>
        <w:lastRenderedPageBreak/>
        <w:t xml:space="preserve">Après une année de </w:t>
      </w:r>
      <w:r w:rsidR="00A472CB">
        <w:t>relative accalmie</w:t>
      </w:r>
      <w:r>
        <w:t xml:space="preserve"> à la Cour</w:t>
      </w:r>
      <w:r>
        <w:rPr>
          <w:rStyle w:val="Appelnotedebasdep"/>
        </w:rPr>
        <w:footnoteReference w:id="3"/>
      </w:r>
      <w:r w:rsidR="001C015B">
        <w:t>, les ordonnances relatives aux mesures conservatoires demandées respectivement par l</w:t>
      </w:r>
      <w:r w:rsidR="005431F2">
        <w:t>’</w:t>
      </w:r>
      <w:r w:rsidR="001C015B">
        <w:t>Arménie et l</w:t>
      </w:r>
      <w:r w:rsidR="005431F2">
        <w:t>’</w:t>
      </w:r>
      <w:r w:rsidR="001C015B">
        <w:t xml:space="preserve">Azerbaïdjan dans les deux différends qui opposent ces États devant la Cour </w:t>
      </w:r>
      <w:r w:rsidR="00A472CB">
        <w:t>sans doute aussi</w:t>
      </w:r>
      <w:r w:rsidR="001C015B">
        <w:t xml:space="preserve"> attendues</w:t>
      </w:r>
      <w:r w:rsidR="00A472CB">
        <w:t xml:space="preserve"> que celle survenue le 16 mars 2022 dans le nouveau différend entre l</w:t>
      </w:r>
      <w:r w:rsidR="005431F2">
        <w:t>’</w:t>
      </w:r>
      <w:r w:rsidR="00A472CB">
        <w:t>Ukraine et la Russie</w:t>
      </w:r>
      <w:bookmarkStart w:id="0" w:name="_Ref104359221"/>
      <w:r w:rsidR="00A472CB">
        <w:rPr>
          <w:rStyle w:val="Appelnotedebasdep"/>
        </w:rPr>
        <w:footnoteReference w:id="4"/>
      </w:r>
      <w:bookmarkEnd w:id="0"/>
      <w:r w:rsidR="001C015B">
        <w:t xml:space="preserve">. </w:t>
      </w:r>
      <w:r w:rsidR="00A472CB">
        <w:t>Ces ordonnances</w:t>
      </w:r>
      <w:r w:rsidR="001C015B">
        <w:t xml:space="preserve"> </w:t>
      </w:r>
      <w:r w:rsidR="004C1430">
        <w:t>apparaissent, d</w:t>
      </w:r>
      <w:r w:rsidR="005431F2">
        <w:t>’</w:t>
      </w:r>
      <w:r w:rsidR="004C1430">
        <w:t>une part, comme une alternative enfin crédible à « l</w:t>
      </w:r>
      <w:r w:rsidR="005431F2">
        <w:t>’</w:t>
      </w:r>
      <w:r w:rsidR="004C1430">
        <w:t>absence de perspectives »</w:t>
      </w:r>
      <w:r w:rsidR="004C1430">
        <w:rPr>
          <w:rStyle w:val="Appelnotedebasdep"/>
        </w:rPr>
        <w:footnoteReference w:id="5"/>
      </w:r>
      <w:r w:rsidR="004C1430">
        <w:t xml:space="preserve"> qui caractérisait jusqu</w:t>
      </w:r>
      <w:r w:rsidR="005431F2">
        <w:t>’</w:t>
      </w:r>
      <w:r w:rsidR="004C1430">
        <w:t>ici les différends entre les deux États – même si elles ne portent que sur certains aspects de ces litiges plus globaux</w:t>
      </w:r>
      <w:r w:rsidR="009C328C">
        <w:t xml:space="preserve"> – et viennent</w:t>
      </w:r>
      <w:r w:rsidR="009C328C" w:rsidRPr="009C328C">
        <w:t xml:space="preserve"> ainsi s</w:t>
      </w:r>
      <w:r w:rsidR="005431F2">
        <w:t>’</w:t>
      </w:r>
      <w:r w:rsidR="009C328C" w:rsidRPr="009C328C">
        <w:t xml:space="preserve">ajouter à la liste des nombreux </w:t>
      </w:r>
      <w:r w:rsidR="009C328C">
        <w:t>« </w:t>
      </w:r>
      <w:r w:rsidR="009C328C" w:rsidRPr="009C328C">
        <w:t>litiges actuellement pendants devant la Cour [qui] trouvent leurs racines dans des crises ou conflits internationaux qui comptent parmi les plus emblématiques de notre temps</w:t>
      </w:r>
      <w:r w:rsidR="009C328C">
        <w:t> »</w:t>
      </w:r>
      <w:bookmarkStart w:id="1" w:name="_Ref95791548"/>
      <w:r w:rsidR="009C328C">
        <w:rPr>
          <w:rStyle w:val="Appelnotedebasdep"/>
        </w:rPr>
        <w:footnoteReference w:id="6"/>
      </w:r>
      <w:bookmarkEnd w:id="1"/>
      <w:r w:rsidR="009C328C" w:rsidRPr="009C328C">
        <w:t xml:space="preserve">, ce qui a pu susciter </w:t>
      </w:r>
      <w:r w:rsidR="009C328C">
        <w:t>« </w:t>
      </w:r>
      <w:r w:rsidR="009C328C" w:rsidRPr="009C328C">
        <w:t>une certaine forme d</w:t>
      </w:r>
      <w:r w:rsidR="005431F2">
        <w:t>’</w:t>
      </w:r>
      <w:r w:rsidR="009C328C" w:rsidRPr="009C328C">
        <w:t>incrédulité</w:t>
      </w:r>
      <w:r w:rsidR="009C328C">
        <w:t> »</w:t>
      </w:r>
      <w:r w:rsidR="009C328C">
        <w:rPr>
          <w:rStyle w:val="Appelnotedebasdep"/>
        </w:rPr>
        <w:footnoteReference w:id="7"/>
      </w:r>
      <w:r w:rsidR="009C328C" w:rsidRPr="009C328C">
        <w:t>.</w:t>
      </w:r>
      <w:r w:rsidR="004C1430">
        <w:t xml:space="preserve"> Elles sont, d</w:t>
      </w:r>
      <w:r w:rsidR="005431F2">
        <w:t>’</w:t>
      </w:r>
      <w:r w:rsidR="004C1430">
        <w:t>autre part et du point de vue de la technique contentieuse</w:t>
      </w:r>
      <w:r w:rsidR="001C015B">
        <w:t>, les premières à faire sui</w:t>
      </w:r>
      <w:r w:rsidR="00FF6767">
        <w:t>t</w:t>
      </w:r>
      <w:r w:rsidR="001C015B">
        <w:t>e à la petite révolution opérée dans l</w:t>
      </w:r>
      <w:r w:rsidR="005431F2">
        <w:t>’</w:t>
      </w:r>
      <w:r w:rsidR="001C015B">
        <w:t xml:space="preserve">ordonnance </w:t>
      </w:r>
      <w:r w:rsidR="001C015B">
        <w:rPr>
          <w:i/>
          <w:iCs/>
        </w:rPr>
        <w:t>Gambie c. Myanmar</w:t>
      </w:r>
      <w:r w:rsidR="001C015B">
        <w:t xml:space="preserve"> en 2020</w:t>
      </w:r>
      <w:bookmarkStart w:id="2" w:name="_Ref95334796"/>
      <w:r w:rsidR="001C015B">
        <w:rPr>
          <w:rStyle w:val="Appelnotedebasdep"/>
        </w:rPr>
        <w:footnoteReference w:id="8"/>
      </w:r>
      <w:bookmarkEnd w:id="2"/>
      <w:r w:rsidR="001C015B">
        <w:t xml:space="preserve">, </w:t>
      </w:r>
      <w:r w:rsidR="00FF6767">
        <w:t>par laquelle la Cour avait jugé que le Myanmar « d[evait] fournir à la Cour un rapport sur l</w:t>
      </w:r>
      <w:r w:rsidR="005431F2">
        <w:t>’</w:t>
      </w:r>
      <w:r w:rsidR="00FF6767">
        <w:t>ensemble des mesures prises pour exécuter la présente ordonnance dans un délai de quatre mois à compter de la date de celle-ci, puis tous les six mois jusqu</w:t>
      </w:r>
      <w:r w:rsidR="005431F2">
        <w:t>’</w:t>
      </w:r>
      <w:r w:rsidR="00FF6767">
        <w:t>à ce que la Cour ait rendu sa décision définitive sur l</w:t>
      </w:r>
      <w:r w:rsidR="005431F2">
        <w:t>’</w:t>
      </w:r>
      <w:r w:rsidR="00FF6767">
        <w:t>affaire »</w:t>
      </w:r>
      <w:bookmarkStart w:id="3" w:name="_Ref95784866"/>
      <w:r w:rsidR="00FF6767">
        <w:rPr>
          <w:rStyle w:val="Appelnotedebasdep"/>
        </w:rPr>
        <w:footnoteReference w:id="9"/>
      </w:r>
      <w:bookmarkEnd w:id="3"/>
      <w:r w:rsidR="00FF6767">
        <w:t>. Les parties aux deux affaires commentées n</w:t>
      </w:r>
      <w:r w:rsidR="005431F2">
        <w:t>’</w:t>
      </w:r>
      <w:r w:rsidR="00FF6767">
        <w:t>avaient pas manqué d</w:t>
      </w:r>
      <w:r w:rsidR="005431F2">
        <w:t>’</w:t>
      </w:r>
      <w:r w:rsidR="00FF6767">
        <w:t>adjoindre à leu</w:t>
      </w:r>
      <w:r w:rsidR="006D35BF">
        <w:t>rs requêtes une demande</w:t>
      </w:r>
      <w:r w:rsidR="00FF6767">
        <w:t xml:space="preserve"> </w:t>
      </w:r>
      <w:r w:rsidR="006D35BF">
        <w:t>d</w:t>
      </w:r>
      <w:r w:rsidR="005431F2">
        <w:t>’</w:t>
      </w:r>
      <w:r w:rsidR="00FF6767">
        <w:t>indication d</w:t>
      </w:r>
      <w:r w:rsidR="005431F2">
        <w:t>’</w:t>
      </w:r>
      <w:r w:rsidR="00FF6767">
        <w:t xml:space="preserve">une mesure relative à ce suivi, espérant </w:t>
      </w:r>
      <w:r w:rsidR="008974AF">
        <w:t xml:space="preserve">– en vain – </w:t>
      </w:r>
      <w:r w:rsidR="00FF6767">
        <w:t>sa systématisation</w:t>
      </w:r>
      <w:r w:rsidR="008974AF">
        <w:t>.</w:t>
      </w:r>
      <w:r w:rsidR="006D35BF">
        <w:t xml:space="preserve"> L</w:t>
      </w:r>
      <w:r w:rsidR="005431F2">
        <w:t>’</w:t>
      </w:r>
      <w:r w:rsidR="006D35BF">
        <w:t>on peut, d</w:t>
      </w:r>
      <w:r w:rsidR="005431F2">
        <w:t>’</w:t>
      </w:r>
      <w:r w:rsidR="006D35BF">
        <w:t>ailleurs, regretter l</w:t>
      </w:r>
      <w:r w:rsidR="005431F2">
        <w:t>’</w:t>
      </w:r>
      <w:r w:rsidR="006D35BF">
        <w:t>absence de motivation de la Cour qui se réfère sobrement aux « circonstances particulières de l</w:t>
      </w:r>
      <w:r w:rsidR="005431F2">
        <w:t>’</w:t>
      </w:r>
      <w:r w:rsidR="006D35BF">
        <w:t>espèce »</w:t>
      </w:r>
      <w:r w:rsidR="006D35BF">
        <w:rPr>
          <w:rStyle w:val="Appelnotedebasdep"/>
        </w:rPr>
        <w:footnoteReference w:id="10"/>
      </w:r>
      <w:r w:rsidR="00B37150">
        <w:t xml:space="preserve"> pour rejeter les demandes de remises de rapports.</w:t>
      </w:r>
    </w:p>
    <w:p w14:paraId="081D8548" w14:textId="77777777" w:rsidR="008974AF" w:rsidRDefault="008974AF" w:rsidP="00B51897">
      <w:pPr>
        <w:numPr>
          <w:ilvl w:val="0"/>
          <w:numId w:val="0"/>
        </w:numPr>
        <w:spacing w:line="240" w:lineRule="auto"/>
        <w:jc w:val="left"/>
      </w:pPr>
    </w:p>
    <w:p w14:paraId="6F8ED899" w14:textId="0EC6E6FD" w:rsidR="008974AF" w:rsidRDefault="008974AF" w:rsidP="006C5A92">
      <w:pPr>
        <w:numPr>
          <w:ilvl w:val="0"/>
          <w:numId w:val="0"/>
        </w:numPr>
        <w:spacing w:line="240" w:lineRule="auto"/>
      </w:pPr>
      <w:r>
        <w:t>Avant d</w:t>
      </w:r>
      <w:r w:rsidR="005431F2">
        <w:t>’</w:t>
      </w:r>
      <w:r>
        <w:t>aborder le contenu des deux ordonnances, par laquelle la Cour fait usage de la plénitude de ses compétences en indiquant plusieurs des mesures requises – mais pa</w:t>
      </w:r>
      <w:r w:rsidR="00EE500E">
        <w:t>s l</w:t>
      </w:r>
      <w:r w:rsidR="005431F2">
        <w:t>’</w:t>
      </w:r>
      <w:r w:rsidR="00EE500E">
        <w:t>intégralité d</w:t>
      </w:r>
      <w:r w:rsidR="005431F2">
        <w:t>’</w:t>
      </w:r>
      <w:r w:rsidR="00EE500E">
        <w:t>entre elles</w:t>
      </w:r>
      <w:r w:rsidR="006D35BF">
        <w:t xml:space="preserve">, </w:t>
      </w:r>
      <w:r w:rsidR="00B37150">
        <w:t>comme on vient de le voir</w:t>
      </w:r>
      <w:r>
        <w:t xml:space="preserve"> – auxquelles elle adjoint dans chaque affaire une mesure supplémentaire non requise, il faut revenir sur le contexte de leur indication.</w:t>
      </w:r>
    </w:p>
    <w:p w14:paraId="56184AFA" w14:textId="77777777" w:rsidR="008974AF" w:rsidRDefault="008974AF" w:rsidP="00B51897">
      <w:pPr>
        <w:numPr>
          <w:ilvl w:val="0"/>
          <w:numId w:val="0"/>
        </w:numPr>
        <w:spacing w:line="240" w:lineRule="auto"/>
        <w:jc w:val="left"/>
      </w:pPr>
    </w:p>
    <w:p w14:paraId="7D014816" w14:textId="7DFC3F5C" w:rsidR="008974AF" w:rsidRDefault="008974AF" w:rsidP="00BE22F8">
      <w:pPr>
        <w:numPr>
          <w:ilvl w:val="0"/>
          <w:numId w:val="0"/>
        </w:numPr>
        <w:spacing w:line="240" w:lineRule="auto"/>
      </w:pPr>
      <w:r>
        <w:lastRenderedPageBreak/>
        <w:t>Le 16 septembre 2021, l</w:t>
      </w:r>
      <w:r w:rsidR="005431F2">
        <w:t>’</w:t>
      </w:r>
      <w:r>
        <w:t>Arménie a saisi la Cour d</w:t>
      </w:r>
      <w:r w:rsidR="005431F2">
        <w:t>’</w:t>
      </w:r>
      <w:r>
        <w:t>une demande introductive d</w:t>
      </w:r>
      <w:r w:rsidR="005431F2">
        <w:t>’</w:t>
      </w:r>
      <w:r>
        <w:t>instance contre l</w:t>
      </w:r>
      <w:r w:rsidR="005431F2">
        <w:t>’</w:t>
      </w:r>
      <w:r>
        <w:t>Azerbaïdjan. Fondant la compétence de la Cour sur l</w:t>
      </w:r>
      <w:r w:rsidR="005431F2">
        <w:t>’</w:t>
      </w:r>
      <w:r>
        <w:t>article 22 de la Convention internationale du 21 décembre 1965 sur l</w:t>
      </w:r>
      <w:r w:rsidR="005431F2">
        <w:t>’</w:t>
      </w:r>
      <w:r>
        <w:t xml:space="preserve">élimination de toutes les formes de discrimination raciale (ci-après : la « CIEDR »), elle a accompagné </w:t>
      </w:r>
      <w:r w:rsidR="00A00FF4">
        <w:t>sa requête d</w:t>
      </w:r>
      <w:r w:rsidR="005431F2">
        <w:t>’</w:t>
      </w:r>
      <w:r w:rsidR="00A00FF4">
        <w:t>une demande en indication de huit mesures conservatoires</w:t>
      </w:r>
      <w:r w:rsidR="004C5A43">
        <w:rPr>
          <w:rStyle w:val="Appelnotedebasdep"/>
        </w:rPr>
        <w:footnoteReference w:id="11"/>
      </w:r>
      <w:r w:rsidR="00A00FF4">
        <w:t>. Les audiences ont été organisées les 14 et</w:t>
      </w:r>
      <w:r w:rsidR="006C5A92">
        <w:t xml:space="preserve"> </w:t>
      </w:r>
      <w:r w:rsidR="00A00FF4">
        <w:t>15 octobre 2021, soit près d</w:t>
      </w:r>
      <w:r w:rsidR="005431F2">
        <w:t>’</w:t>
      </w:r>
      <w:r w:rsidR="00A00FF4">
        <w:t>un mois après l</w:t>
      </w:r>
      <w:r w:rsidR="005431F2">
        <w:t>’</w:t>
      </w:r>
      <w:r w:rsidR="00A00FF4">
        <w:t xml:space="preserve">introduction de la requête ; il a fallu attendre près de deux mois supplémentaires pour que la Cour rende son ordonnance. </w:t>
      </w:r>
      <w:r w:rsidR="006F73CD">
        <w:t>Autrement dit, il s</w:t>
      </w:r>
      <w:r w:rsidR="005431F2">
        <w:t>’</w:t>
      </w:r>
      <w:r w:rsidR="006F73CD">
        <w:t>est écoulé deux mois et trois semaines entre l</w:t>
      </w:r>
      <w:r w:rsidR="005431F2">
        <w:t>’</w:t>
      </w:r>
      <w:r w:rsidR="006F73CD">
        <w:t>introduction de la requête et l</w:t>
      </w:r>
      <w:r w:rsidR="005431F2">
        <w:t>’</w:t>
      </w:r>
      <w:r w:rsidR="006F73CD">
        <w:t>indication des mesures conservatoires, ce qui est relativement long</w:t>
      </w:r>
      <w:bookmarkStart w:id="4" w:name="_Ref90284720"/>
      <w:r w:rsidR="006F73CD">
        <w:rPr>
          <w:rStyle w:val="Appelnotedebasdep"/>
        </w:rPr>
        <w:footnoteReference w:id="12"/>
      </w:r>
      <w:bookmarkEnd w:id="4"/>
      <w:r w:rsidR="006F73CD">
        <w:t xml:space="preserve">. </w:t>
      </w:r>
      <w:r w:rsidR="00A00FF4">
        <w:t>Comme nous avons eu l</w:t>
      </w:r>
      <w:r w:rsidR="005431F2">
        <w:t>’</w:t>
      </w:r>
      <w:r w:rsidR="00A00FF4">
        <w:t>occasion de le relever par ailleurs</w:t>
      </w:r>
      <w:r w:rsidR="00A00FF4">
        <w:rPr>
          <w:rStyle w:val="Appelnotedebasdep"/>
        </w:rPr>
        <w:footnoteReference w:id="13"/>
      </w:r>
      <w:r w:rsidR="00A00FF4">
        <w:t>,</w:t>
      </w:r>
      <w:r w:rsidR="006F73CD">
        <w:t xml:space="preserve"> la Cour ne donne pas toujours plein effet à l</w:t>
      </w:r>
      <w:r w:rsidR="005431F2">
        <w:t>’</w:t>
      </w:r>
      <w:r w:rsidR="006F73CD">
        <w:t>article 74§1 de son Règlement, selon lequel la « </w:t>
      </w:r>
      <w:r w:rsidR="006F73CD" w:rsidRPr="00AE0C67">
        <w:t>demande en indication de mesures conservatoires a priorité sur toutes autres affaires</w:t>
      </w:r>
      <w:r w:rsidR="006F73CD">
        <w:t> »</w:t>
      </w:r>
      <w:bookmarkStart w:id="5" w:name="_Ref32497422"/>
      <w:r w:rsidR="006F73CD">
        <w:rPr>
          <w:rStyle w:val="Appelnotedebasdep"/>
        </w:rPr>
        <w:footnoteReference w:id="14"/>
      </w:r>
      <w:bookmarkEnd w:id="5"/>
      <w:r w:rsidR="006F73CD">
        <w:t> ; à tout le moins se permet-elle de moduler l</w:t>
      </w:r>
      <w:r w:rsidR="005431F2">
        <w:t>’</w:t>
      </w:r>
      <w:r w:rsidR="006F73CD">
        <w:t>effectivité de cet article selon le degré d</w:t>
      </w:r>
      <w:r w:rsidR="005431F2">
        <w:t>’</w:t>
      </w:r>
      <w:r w:rsidR="006F73CD">
        <w:t>urgence ou de gravité de l</w:t>
      </w:r>
      <w:r w:rsidR="005431F2">
        <w:t>’</w:t>
      </w:r>
      <w:r w:rsidR="006F73CD">
        <w:t>affaire telle qu</w:t>
      </w:r>
      <w:r w:rsidR="005431F2">
        <w:t>’</w:t>
      </w:r>
      <w:r w:rsidR="006F73CD">
        <w:t xml:space="preserve">elle la perçoit </w:t>
      </w:r>
      <w:r w:rsidR="006F73CD">
        <w:rPr>
          <w:i/>
          <w:iCs/>
        </w:rPr>
        <w:t>prima facie</w:t>
      </w:r>
      <w:r w:rsidR="006F73CD">
        <w:t>. En l</w:t>
      </w:r>
      <w:r w:rsidR="005431F2">
        <w:t>’</w:t>
      </w:r>
      <w:r w:rsidR="006F73CD">
        <w:t>espèce, aucune affaire n</w:t>
      </w:r>
      <w:r w:rsidR="005431F2">
        <w:t>’</w:t>
      </w:r>
      <w:r w:rsidR="006F73CD">
        <w:t>ayant fait l</w:t>
      </w:r>
      <w:r w:rsidR="005431F2">
        <w:t>’</w:t>
      </w:r>
      <w:r w:rsidR="006F73CD">
        <w:t>objet d</w:t>
      </w:r>
      <w:r w:rsidR="005431F2">
        <w:t>’</w:t>
      </w:r>
      <w:r w:rsidR="006F73CD">
        <w:t>une ordonnance ou d</w:t>
      </w:r>
      <w:r w:rsidR="005431F2">
        <w:t>’</w:t>
      </w:r>
      <w:r w:rsidR="006F73CD">
        <w:t>un arrêt entre l</w:t>
      </w:r>
      <w:r w:rsidR="005431F2">
        <w:t>’</w:t>
      </w:r>
      <w:r w:rsidR="006F73CD">
        <w:t>organisation des audiences et l</w:t>
      </w:r>
      <w:r w:rsidR="005431F2">
        <w:t>’</w:t>
      </w:r>
      <w:r w:rsidR="006F73CD">
        <w:t>indication des mesures conservatoires dans ces deux litiges, la question ne se pose pas en termes de « priorité » d</w:t>
      </w:r>
      <w:r w:rsidR="005431F2">
        <w:t>’</w:t>
      </w:r>
      <w:r w:rsidR="006F73CD">
        <w:t>une affaire sur l</w:t>
      </w:r>
      <w:r w:rsidR="005431F2">
        <w:t>’</w:t>
      </w:r>
      <w:r w:rsidR="006F73CD">
        <w:t>autre, mais plutôt de latence à géométrie variable de la Cour</w:t>
      </w:r>
      <w:r w:rsidR="002F381A">
        <w:t>.</w:t>
      </w:r>
      <w:r w:rsidR="006C5A92">
        <w:t xml:space="preserve"> Celle-ci s</w:t>
      </w:r>
      <w:r w:rsidR="005431F2">
        <w:t>’</w:t>
      </w:r>
      <w:r w:rsidR="006C5A92">
        <w:t>explique également, en l</w:t>
      </w:r>
      <w:r w:rsidR="005431F2">
        <w:t>’</w:t>
      </w:r>
      <w:r w:rsidR="006C5A92">
        <w:t>espèce, par l</w:t>
      </w:r>
      <w:r w:rsidR="005431F2">
        <w:t>’</w:t>
      </w:r>
      <w:r w:rsidR="006C5A92">
        <w:t>enchevêtrement d</w:t>
      </w:r>
      <w:r w:rsidR="005431F2">
        <w:t>’</w:t>
      </w:r>
      <w:r w:rsidR="006C5A92">
        <w:t>une seconde procédure.</w:t>
      </w:r>
      <w:r w:rsidR="007C39CD">
        <w:t xml:space="preserve"> </w:t>
      </w:r>
      <w:r w:rsidR="006C5A92">
        <w:t>Le 23 septembre 2021, soit une semaine après la saisine de l</w:t>
      </w:r>
      <w:r w:rsidR="005431F2">
        <w:t>’</w:t>
      </w:r>
      <w:r w:rsidR="006C5A92">
        <w:t>Arménie, l</w:t>
      </w:r>
      <w:r w:rsidR="005431F2">
        <w:t>’</w:t>
      </w:r>
      <w:r w:rsidR="006C5A92">
        <w:t>Azerbaïdjan a en effet saisi la Cour d</w:t>
      </w:r>
      <w:r w:rsidR="005431F2">
        <w:t>’</w:t>
      </w:r>
      <w:r w:rsidR="006C5A92">
        <w:t>une autre requête, fondée elle aussi sur l</w:t>
      </w:r>
      <w:r w:rsidR="005431F2">
        <w:t>’</w:t>
      </w:r>
      <w:r w:rsidR="006C5A92">
        <w:t>article 22 de la CIEDR, et assortie elle aussi d</w:t>
      </w:r>
      <w:r w:rsidR="005431F2">
        <w:t>’</w:t>
      </w:r>
      <w:r w:rsidR="006C5A92">
        <w:t>une demande en indication de mesures conservatoires. Les audiences</w:t>
      </w:r>
      <w:r w:rsidR="007C39CD">
        <w:t>, au cours desquelles l</w:t>
      </w:r>
      <w:r w:rsidR="005431F2">
        <w:t>’</w:t>
      </w:r>
      <w:r w:rsidR="007C39CD">
        <w:t>Azerbaïdjan a requis l</w:t>
      </w:r>
      <w:r w:rsidR="005431F2">
        <w:t>’</w:t>
      </w:r>
      <w:r w:rsidR="007C39CD">
        <w:t>indication de six mesures conservatoires au total – dont la fourniture d</w:t>
      </w:r>
      <w:r w:rsidR="005431F2">
        <w:t>’</w:t>
      </w:r>
      <w:r w:rsidR="007C39CD">
        <w:t xml:space="preserve">un rapport régulier, </w:t>
      </w:r>
      <w:r w:rsidR="007C39CD">
        <w:lastRenderedPageBreak/>
        <w:t>par l</w:t>
      </w:r>
      <w:r w:rsidR="005431F2">
        <w:t>’</w:t>
      </w:r>
      <w:r w:rsidR="007C39CD">
        <w:t>Arménie, sur l</w:t>
      </w:r>
      <w:r w:rsidR="005431F2">
        <w:t>’</w:t>
      </w:r>
      <w:r w:rsidR="007C39CD">
        <w:t>application des cinq mesures principales</w:t>
      </w:r>
      <w:r w:rsidR="00BE22F8">
        <w:rPr>
          <w:rStyle w:val="Appelnotedebasdep"/>
        </w:rPr>
        <w:footnoteReference w:id="15"/>
      </w:r>
      <w:r w:rsidR="007C39CD">
        <w:t xml:space="preserve"> –,</w:t>
      </w:r>
      <w:r w:rsidR="006C5A92">
        <w:t xml:space="preserve"> ont été organisées dans la continuité directe de celles tenues dans l</w:t>
      </w:r>
      <w:r w:rsidR="005431F2">
        <w:t>’</w:t>
      </w:r>
      <w:r w:rsidR="006C5A92">
        <w:t xml:space="preserve">affaire </w:t>
      </w:r>
      <w:r w:rsidR="006C5A92" w:rsidRPr="006C5A92">
        <w:rPr>
          <w:i/>
          <w:iCs/>
        </w:rPr>
        <w:t>Arménie c. Azerbaïdjan</w:t>
      </w:r>
      <w:r w:rsidR="006C5A92">
        <w:t>, les lundi 18 et mardi 19 octobre.</w:t>
      </w:r>
      <w:r w:rsidR="007C39CD">
        <w:t xml:space="preserve"> </w:t>
      </w:r>
    </w:p>
    <w:p w14:paraId="35376A15" w14:textId="77777777" w:rsidR="00974998" w:rsidRDefault="00974998" w:rsidP="00BE22F8">
      <w:pPr>
        <w:numPr>
          <w:ilvl w:val="0"/>
          <w:numId w:val="0"/>
        </w:numPr>
        <w:spacing w:line="240" w:lineRule="auto"/>
      </w:pPr>
    </w:p>
    <w:p w14:paraId="5915F6EC" w14:textId="00D40401" w:rsidR="00202339" w:rsidRPr="006D35BF" w:rsidRDefault="00974998" w:rsidP="006D35BF">
      <w:pPr>
        <w:numPr>
          <w:ilvl w:val="0"/>
          <w:numId w:val="0"/>
        </w:numPr>
        <w:spacing w:line="240" w:lineRule="auto"/>
        <w:rPr>
          <w:b/>
          <w:bCs/>
          <w:u w:val="single"/>
        </w:rPr>
      </w:pPr>
      <w:r>
        <w:t>Dans les deux ordonnances rendues le même jour sur ces deux affaires, la Cour procède à un examen classique des critères qu</w:t>
      </w:r>
      <w:r w:rsidR="005431F2">
        <w:t>’</w:t>
      </w:r>
      <w:r>
        <w:t>elle a fixés en vue de l</w:t>
      </w:r>
      <w:r w:rsidR="005431F2">
        <w:t>’</w:t>
      </w:r>
      <w:r>
        <w:t>indication de mesures conservatoires</w:t>
      </w:r>
      <w:r w:rsidR="00A61223">
        <w:t>. Elle confirme ainsi</w:t>
      </w:r>
      <w:r>
        <w:t xml:space="preserve"> la marginalisation de certains d</w:t>
      </w:r>
      <w:r w:rsidR="005431F2">
        <w:t>’</w:t>
      </w:r>
      <w:r>
        <w:t xml:space="preserve">entre eux </w:t>
      </w:r>
      <w:r w:rsidR="00A61223">
        <w:t xml:space="preserve">depuis </w:t>
      </w:r>
      <w:r>
        <w:t>ces dernières années</w:t>
      </w:r>
      <w:r w:rsidR="00A61223">
        <w:t>,</w:t>
      </w:r>
      <w:r w:rsidR="0049190E">
        <w:t xml:space="preserve"> mais </w:t>
      </w:r>
      <w:r w:rsidR="00A61223">
        <w:t>présente également</w:t>
      </w:r>
      <w:r w:rsidR="0049190E">
        <w:t xml:space="preserve"> certaines difficultés rédactionnelles ou logiques</w:t>
      </w:r>
      <w:r w:rsidR="006D35BF">
        <w:t xml:space="preserve">. </w:t>
      </w:r>
      <w:r w:rsidR="0002572F">
        <w:t xml:space="preserve">La Cour a </w:t>
      </w:r>
      <w:r w:rsidR="006D35BF">
        <w:t xml:space="preserve">en effet </w:t>
      </w:r>
      <w:r w:rsidR="0002572F">
        <w:t>dégagé quatre principales conditions – ou séries de conditions – dont la réunion est nécessaire à l</w:t>
      </w:r>
      <w:r w:rsidR="005431F2">
        <w:t>’</w:t>
      </w:r>
      <w:r w:rsidR="0002572F">
        <w:t>indication de mesures conservatoires, dans l</w:t>
      </w:r>
      <w:r w:rsidR="005431F2">
        <w:t>’</w:t>
      </w:r>
      <w:r w:rsidR="0002572F">
        <w:t>attente du traitement, l</w:t>
      </w:r>
      <w:r w:rsidR="005431F2">
        <w:t>’</w:t>
      </w:r>
      <w:r w:rsidR="0002572F">
        <w:t>urgence passée, des exceptions préliminaires et du fond. Deux d</w:t>
      </w:r>
      <w:r w:rsidR="005431F2">
        <w:t>’</w:t>
      </w:r>
      <w:r w:rsidR="0002572F">
        <w:t>entre elles</w:t>
      </w:r>
      <w:r w:rsidR="00782C8B">
        <w:t>,</w:t>
      </w:r>
      <w:r w:rsidR="0002572F">
        <w:t xml:space="preserve"> la compétence </w:t>
      </w:r>
      <w:r w:rsidR="0002572F">
        <w:rPr>
          <w:i/>
          <w:iCs/>
        </w:rPr>
        <w:t>prima facie</w:t>
      </w:r>
      <w:r w:rsidR="0002572F">
        <w:t xml:space="preserve"> et la plausibilité des droits allégués</w:t>
      </w:r>
      <w:r w:rsidR="00782C8B">
        <w:t>,</w:t>
      </w:r>
      <w:r w:rsidR="0002572F">
        <w:t xml:space="preserve"> ne font pas l</w:t>
      </w:r>
      <w:r w:rsidR="005431F2">
        <w:t>’</w:t>
      </w:r>
      <w:r w:rsidR="0002572F">
        <w:t>objet de développements particuliers dans les ordonnances commentées</w:t>
      </w:r>
      <w:r w:rsidR="006D35BF">
        <w:t>,</w:t>
      </w:r>
      <w:r w:rsidR="00782C8B">
        <w:t xml:space="preserve"> </w:t>
      </w:r>
      <w:r w:rsidR="00A61223">
        <w:t>ce qui peut être regretté</w:t>
      </w:r>
      <w:r w:rsidR="0002572F">
        <w:t xml:space="preserve"> (</w:t>
      </w:r>
      <w:r w:rsidR="006D35BF">
        <w:rPr>
          <w:b/>
          <w:bCs/>
        </w:rPr>
        <w:t>I</w:t>
      </w:r>
      <w:r w:rsidR="0002572F">
        <w:t>). En revanche, la Cour confirme l</w:t>
      </w:r>
      <w:r w:rsidR="005431F2">
        <w:t>’</w:t>
      </w:r>
      <w:r w:rsidR="0002572F">
        <w:t>affaiblissement de la portée des deux dernières conditions qu</w:t>
      </w:r>
      <w:r w:rsidR="005431F2">
        <w:t>’</w:t>
      </w:r>
      <w:r w:rsidR="0002572F">
        <w:t>elle examine ensemble : l</w:t>
      </w:r>
      <w:r w:rsidR="005431F2">
        <w:t>’</w:t>
      </w:r>
      <w:r w:rsidR="0002572F">
        <w:t>existence d</w:t>
      </w:r>
      <w:r w:rsidR="005431F2">
        <w:t>’</w:t>
      </w:r>
      <w:r w:rsidR="0002572F">
        <w:t>un risque de préjudice irréparable et l</w:t>
      </w:r>
      <w:r w:rsidR="005431F2">
        <w:t>’</w:t>
      </w:r>
      <w:r w:rsidR="0002572F">
        <w:t>urgence de la demande (</w:t>
      </w:r>
      <w:r w:rsidR="006D35BF">
        <w:rPr>
          <w:b/>
          <w:bCs/>
        </w:rPr>
        <w:t>II</w:t>
      </w:r>
      <w:r w:rsidR="0002572F">
        <w:t>).</w:t>
      </w:r>
    </w:p>
    <w:p w14:paraId="2B8DDA6C" w14:textId="77777777" w:rsidR="00575029" w:rsidRDefault="00575029" w:rsidP="00575029">
      <w:pPr>
        <w:numPr>
          <w:ilvl w:val="0"/>
          <w:numId w:val="0"/>
        </w:numPr>
        <w:spacing w:line="240" w:lineRule="auto"/>
        <w:jc w:val="left"/>
        <w:rPr>
          <w:b/>
          <w:bCs/>
        </w:rPr>
      </w:pPr>
    </w:p>
    <w:p w14:paraId="5A13F2E3" w14:textId="007902C8" w:rsidR="00B247A1" w:rsidRPr="00575029" w:rsidRDefault="00575029" w:rsidP="00575029">
      <w:pPr>
        <w:numPr>
          <w:ilvl w:val="0"/>
          <w:numId w:val="0"/>
        </w:numPr>
        <w:spacing w:line="240" w:lineRule="auto"/>
        <w:jc w:val="left"/>
        <w:rPr>
          <w:smallCaps/>
        </w:rPr>
      </w:pPr>
      <w:r w:rsidRPr="00575029">
        <w:rPr>
          <w:smallCaps/>
        </w:rPr>
        <w:t xml:space="preserve">I. </w:t>
      </w:r>
      <w:r w:rsidR="006E2DE1" w:rsidRPr="00575029">
        <w:rPr>
          <w:smallCaps/>
        </w:rPr>
        <w:t>L</w:t>
      </w:r>
      <w:r w:rsidR="005431F2">
        <w:rPr>
          <w:smallCaps/>
        </w:rPr>
        <w:t>’</w:t>
      </w:r>
      <w:r w:rsidR="006E2DE1" w:rsidRPr="00575029">
        <w:rPr>
          <w:smallCaps/>
        </w:rPr>
        <w:t>ex</w:t>
      </w:r>
      <w:r w:rsidR="009140A5">
        <w:rPr>
          <w:smallCaps/>
        </w:rPr>
        <w:t>amen expéditif</w:t>
      </w:r>
      <w:r w:rsidR="006E2DE1" w:rsidRPr="00575029">
        <w:rPr>
          <w:smallCaps/>
        </w:rPr>
        <w:t xml:space="preserve"> des conditions de compétence et de plausibilité des droits</w:t>
      </w:r>
    </w:p>
    <w:p w14:paraId="4A59D92A" w14:textId="77777777" w:rsidR="0012157D" w:rsidRDefault="0012157D" w:rsidP="0002572F">
      <w:pPr>
        <w:pStyle w:val="Paragraphedeliste"/>
        <w:spacing w:line="240" w:lineRule="auto"/>
        <w:jc w:val="left"/>
      </w:pPr>
    </w:p>
    <w:p w14:paraId="73ECECE8" w14:textId="79819049" w:rsidR="0002572F" w:rsidRPr="0002572F" w:rsidRDefault="0012157D" w:rsidP="0012157D">
      <w:pPr>
        <w:pStyle w:val="Paragraphedeliste"/>
        <w:spacing w:line="240" w:lineRule="auto"/>
      </w:pPr>
      <w:r>
        <w:t>Deux points n</w:t>
      </w:r>
      <w:r w:rsidR="005431F2">
        <w:t>’</w:t>
      </w:r>
      <w:r>
        <w:t>ont pas soulevé de difficulté dans les affaires commentées. D</w:t>
      </w:r>
      <w:r w:rsidR="005431F2">
        <w:t>’</w:t>
      </w:r>
      <w:r>
        <w:t>une part, la</w:t>
      </w:r>
      <w:r w:rsidR="0002572F" w:rsidRPr="00E65749">
        <w:t xml:space="preserve"> Cour n</w:t>
      </w:r>
      <w:r w:rsidR="005431F2">
        <w:t>’</w:t>
      </w:r>
      <w:r w:rsidR="0002572F" w:rsidRPr="00E65749">
        <w:t xml:space="preserve">exerce </w:t>
      </w:r>
      <w:r w:rsidR="0002572F">
        <w:t>« </w:t>
      </w:r>
      <w:r w:rsidR="0002572F" w:rsidRPr="00E65749">
        <w:t>son pouvoir d</w:t>
      </w:r>
      <w:r w:rsidR="005431F2">
        <w:t>’</w:t>
      </w:r>
      <w:r w:rsidR="0002572F" w:rsidRPr="00E65749">
        <w:t>indiquer des mesures conservatoires que si les droits invoqués dans la requête paraissent de prime abord relever de la juridiction de la Cour</w:t>
      </w:r>
      <w:r w:rsidR="0002572F">
        <w:t> »</w:t>
      </w:r>
      <w:r w:rsidR="0002572F">
        <w:rPr>
          <w:rStyle w:val="Appelnotedebasdep"/>
        </w:rPr>
        <w:footnoteReference w:id="16"/>
      </w:r>
      <w:r w:rsidR="008773FB">
        <w:t xml:space="preserve"> (</w:t>
      </w:r>
      <w:r w:rsidR="00575029">
        <w:t>A</w:t>
      </w:r>
      <w:r w:rsidR="008773FB">
        <w:t>)</w:t>
      </w:r>
      <w:r>
        <w:t> ; d</w:t>
      </w:r>
      <w:r w:rsidR="005431F2">
        <w:t>’</w:t>
      </w:r>
      <w:r>
        <w:t xml:space="preserve">autre part, elle juge nécessaire de vérifier </w:t>
      </w:r>
      <w:r w:rsidR="0002572F">
        <w:t>si les droits allégués lui paraissent au moins « plausibles</w:t>
      </w:r>
      <w:r w:rsidR="008773FB">
        <w:t> » (</w:t>
      </w:r>
      <w:r w:rsidR="00575029">
        <w:t>B</w:t>
      </w:r>
      <w:r w:rsidR="008773FB">
        <w:t>).</w:t>
      </w:r>
      <w:r w:rsidR="0002572F">
        <w:t xml:space="preserve"> </w:t>
      </w:r>
    </w:p>
    <w:p w14:paraId="63497983" w14:textId="77777777" w:rsidR="004D27D3" w:rsidRDefault="004D27D3" w:rsidP="004D27D3">
      <w:pPr>
        <w:pStyle w:val="Paragraphedeliste"/>
        <w:spacing w:line="240" w:lineRule="auto"/>
        <w:jc w:val="left"/>
      </w:pPr>
    </w:p>
    <w:p w14:paraId="14C792E6" w14:textId="7D347A28" w:rsidR="004D27D3" w:rsidRPr="00575029" w:rsidRDefault="00575029" w:rsidP="00575029">
      <w:pPr>
        <w:numPr>
          <w:ilvl w:val="0"/>
          <w:numId w:val="0"/>
        </w:numPr>
        <w:spacing w:line="240" w:lineRule="auto"/>
        <w:jc w:val="left"/>
        <w:rPr>
          <w:smallCaps/>
          <w:u w:val="single"/>
        </w:rPr>
      </w:pPr>
      <w:r w:rsidRPr="00575029">
        <w:rPr>
          <w:smallCaps/>
          <w:u w:val="single"/>
        </w:rPr>
        <w:t xml:space="preserve">A. </w:t>
      </w:r>
      <w:r w:rsidR="00A61223">
        <w:rPr>
          <w:smallCaps/>
          <w:u w:val="single"/>
        </w:rPr>
        <w:t>L</w:t>
      </w:r>
      <w:r w:rsidR="005431F2">
        <w:rPr>
          <w:smallCaps/>
          <w:u w:val="single"/>
        </w:rPr>
        <w:t>’</w:t>
      </w:r>
      <w:r w:rsidR="00A61223">
        <w:rPr>
          <w:smallCaps/>
          <w:u w:val="single"/>
        </w:rPr>
        <w:t>examen rapide</w:t>
      </w:r>
      <w:r w:rsidR="005C6D64" w:rsidRPr="00575029">
        <w:rPr>
          <w:smallCaps/>
          <w:u w:val="single"/>
        </w:rPr>
        <w:t xml:space="preserve"> </w:t>
      </w:r>
      <w:r w:rsidR="00A61223">
        <w:rPr>
          <w:smallCaps/>
          <w:u w:val="single"/>
        </w:rPr>
        <w:t>de</w:t>
      </w:r>
      <w:r w:rsidR="005C6D64" w:rsidRPr="00575029">
        <w:rPr>
          <w:smallCaps/>
          <w:u w:val="single"/>
        </w:rPr>
        <w:t xml:space="preserve"> la compétence </w:t>
      </w:r>
      <w:r w:rsidR="005C6D64" w:rsidRPr="00575029">
        <w:rPr>
          <w:i/>
          <w:iCs/>
          <w:smallCaps/>
          <w:u w:val="single"/>
        </w:rPr>
        <w:t>prima facie</w:t>
      </w:r>
    </w:p>
    <w:p w14:paraId="475B4225" w14:textId="77777777" w:rsidR="00882E56" w:rsidRDefault="00882E56" w:rsidP="0002572F">
      <w:pPr>
        <w:pStyle w:val="Paragraphedeliste"/>
        <w:spacing w:line="240" w:lineRule="auto"/>
        <w:jc w:val="left"/>
      </w:pPr>
    </w:p>
    <w:p w14:paraId="13054EF3" w14:textId="39916132" w:rsidR="0002572F" w:rsidRDefault="00882E56" w:rsidP="00DA79F1">
      <w:pPr>
        <w:pStyle w:val="Paragraphedeliste"/>
        <w:spacing w:line="240" w:lineRule="auto"/>
      </w:pPr>
      <w:r>
        <w:t>Ce n</w:t>
      </w:r>
      <w:r w:rsidR="005431F2">
        <w:t>’</w:t>
      </w:r>
      <w:r>
        <w:t>est que</w:t>
      </w:r>
      <w:r w:rsidR="0002572F">
        <w:t xml:space="preserve"> </w:t>
      </w:r>
      <w:r w:rsidR="0002572F" w:rsidRPr="00612C8F">
        <w:t>lorsqu</w:t>
      </w:r>
      <w:r w:rsidR="0002572F">
        <w:t>e la Cour</w:t>
      </w:r>
      <w:r w:rsidR="0002572F" w:rsidRPr="00612C8F">
        <w:t xml:space="preserve"> « n</w:t>
      </w:r>
      <w:r w:rsidR="005431F2">
        <w:t>’</w:t>
      </w:r>
      <w:r w:rsidR="0002572F" w:rsidRPr="00612C8F">
        <w:t>a manifestement pas compétence pour connaître d</w:t>
      </w:r>
      <w:r w:rsidR="005431F2">
        <w:t>’</w:t>
      </w:r>
      <w:r w:rsidR="0002572F" w:rsidRPr="00612C8F">
        <w:t>une requête</w:t>
      </w:r>
      <w:r>
        <w:t> » qu</w:t>
      </w:r>
      <w:r w:rsidR="005431F2">
        <w:t>’</w:t>
      </w:r>
      <w:r>
        <w:t>elle refuse d</w:t>
      </w:r>
      <w:r w:rsidR="005431F2">
        <w:t>’</w:t>
      </w:r>
      <w:r>
        <w:t>examiner les autres conditions posées à l</w:t>
      </w:r>
      <w:r w:rsidR="005431F2">
        <w:t>’</w:t>
      </w:r>
      <w:r>
        <w:t>indication des mesures conservatoires </w:t>
      </w:r>
      <w:r w:rsidR="0002572F" w:rsidRPr="00612C8F">
        <w:t>»</w:t>
      </w:r>
      <w:r w:rsidR="0002572F">
        <w:rPr>
          <w:rStyle w:val="Appelnotedebasdep"/>
        </w:rPr>
        <w:footnoteReference w:id="17"/>
      </w:r>
      <w:r w:rsidR="0002572F">
        <w:t xml:space="preserve">. Selon </w:t>
      </w:r>
      <w:r>
        <w:t>la</w:t>
      </w:r>
      <w:r w:rsidR="0002572F">
        <w:t xml:space="preserve"> formule classique, la Cour « </w:t>
      </w:r>
      <w:r w:rsidR="0002572F" w:rsidRPr="00D8063E">
        <w:t>ne peut indiquer des mesures conservatoires que s</w:t>
      </w:r>
      <w:r w:rsidR="005431F2">
        <w:t>’</w:t>
      </w:r>
      <w:r w:rsidR="0002572F" w:rsidRPr="00D8063E">
        <w:t xml:space="preserve">il existe, </w:t>
      </w:r>
      <w:r w:rsidR="0002572F" w:rsidRPr="00D8063E">
        <w:rPr>
          <w:i/>
          <w:iCs/>
        </w:rPr>
        <w:t>prima facie</w:t>
      </w:r>
      <w:r w:rsidR="0002572F" w:rsidRPr="00D8063E">
        <w:t>, une base sur laquelle sa compétence pourrait être fondée, mais n</w:t>
      </w:r>
      <w:r w:rsidR="005431F2">
        <w:t>’</w:t>
      </w:r>
      <w:r w:rsidR="0002572F" w:rsidRPr="00D8063E">
        <w:t>a pas besoin de s</w:t>
      </w:r>
      <w:r w:rsidR="005431F2">
        <w:t>’</w:t>
      </w:r>
      <w:r w:rsidR="0002572F" w:rsidRPr="00D8063E">
        <w:t>assurer de manière définitive qu</w:t>
      </w:r>
      <w:r w:rsidR="005431F2">
        <w:t>’</w:t>
      </w:r>
      <w:r w:rsidR="0002572F" w:rsidRPr="00D8063E">
        <w:t>elle a compétence quant au fond de l</w:t>
      </w:r>
      <w:r w:rsidR="005431F2">
        <w:t>’</w:t>
      </w:r>
      <w:r w:rsidR="0002572F" w:rsidRPr="00D8063E">
        <w:t>affaire</w:t>
      </w:r>
      <w:r w:rsidR="0002572F">
        <w:t> »</w:t>
      </w:r>
      <w:bookmarkStart w:id="6" w:name="_Ref31448124"/>
      <w:r w:rsidR="0002572F">
        <w:rPr>
          <w:rStyle w:val="Appelnotedebasdep"/>
        </w:rPr>
        <w:footnoteReference w:id="18"/>
      </w:r>
      <w:bookmarkEnd w:id="6"/>
      <w:r w:rsidR="0002572F">
        <w:t>.</w:t>
      </w:r>
    </w:p>
    <w:p w14:paraId="4DB27B05" w14:textId="77777777" w:rsidR="00ED3ECD" w:rsidRDefault="00ED3ECD" w:rsidP="0002572F">
      <w:pPr>
        <w:pStyle w:val="Paragraphedeliste"/>
        <w:spacing w:line="240" w:lineRule="auto"/>
        <w:jc w:val="left"/>
      </w:pPr>
    </w:p>
    <w:p w14:paraId="5326583D" w14:textId="32F52E36" w:rsidR="008433FC" w:rsidRDefault="00ED3ECD" w:rsidP="008433FC">
      <w:pPr>
        <w:pStyle w:val="Paragraphedeliste"/>
        <w:spacing w:line="240" w:lineRule="auto"/>
      </w:pPr>
      <w:r>
        <w:t>En l</w:t>
      </w:r>
      <w:r w:rsidR="005431F2">
        <w:t>’</w:t>
      </w:r>
      <w:r>
        <w:t xml:space="preserve">espèce, les deux affaires ne semblaient pas poser de difficulté particulière. </w:t>
      </w:r>
      <w:r w:rsidR="006D4685">
        <w:t>Dans la mesure où elles étaient</w:t>
      </w:r>
      <w:r>
        <w:t xml:space="preserve"> toutes deux</w:t>
      </w:r>
      <w:r w:rsidR="006D4685">
        <w:t xml:space="preserve"> fondées</w:t>
      </w:r>
      <w:r>
        <w:t xml:space="preserve"> sur l</w:t>
      </w:r>
      <w:r w:rsidR="005431F2">
        <w:t>’</w:t>
      </w:r>
      <w:r>
        <w:t>article 22 de la CIEDR</w:t>
      </w:r>
      <w:r w:rsidR="006D4685">
        <w:rPr>
          <w:rStyle w:val="Appelnotedebasdep"/>
        </w:rPr>
        <w:footnoteReference w:id="19"/>
      </w:r>
      <w:r w:rsidR="006D4685">
        <w:t xml:space="preserve">, il appartenait à la Cour </w:t>
      </w:r>
      <w:r w:rsidR="006D4685">
        <w:lastRenderedPageBreak/>
        <w:t>d</w:t>
      </w:r>
      <w:r w:rsidR="005431F2">
        <w:t>’</w:t>
      </w:r>
      <w:r w:rsidR="006D4685">
        <w:t>examiner si les différentes conditions posées par cette clause compromissoire étaient remplies. Celle-ci juge sans difficulté qu</w:t>
      </w:r>
      <w:r w:rsidR="005431F2">
        <w:t>’</w:t>
      </w:r>
      <w:r w:rsidR="006D4685">
        <w:t>il existe un différend sur le point de savoir si l</w:t>
      </w:r>
      <w:r w:rsidR="005431F2">
        <w:t>’</w:t>
      </w:r>
      <w:r w:rsidR="006D4685">
        <w:t>Azerbaïdjan respecte ses engagements au titre de la CIEDR</w:t>
      </w:r>
      <w:r w:rsidR="006D4685">
        <w:rPr>
          <w:rStyle w:val="Appelnotedebasdep"/>
        </w:rPr>
        <w:footnoteReference w:id="20"/>
      </w:r>
      <w:r w:rsidR="006D4685">
        <w:t>, et que « certains au moins des actes et omissions que l</w:t>
      </w:r>
      <w:r w:rsidR="005431F2">
        <w:t>’</w:t>
      </w:r>
      <w:r w:rsidR="006D4685">
        <w:t>Azerbaïdjan reproche à l</w:t>
      </w:r>
      <w:r w:rsidR="005431F2">
        <w:t>’</w:t>
      </w:r>
      <w:r w:rsidR="006D4685">
        <w:t xml:space="preserve">Arménie » entrent dans le champ de la compétence </w:t>
      </w:r>
      <w:r w:rsidR="006D4685">
        <w:rPr>
          <w:i/>
          <w:iCs/>
        </w:rPr>
        <w:t>ratione materiae</w:t>
      </w:r>
      <w:r w:rsidR="006D4685">
        <w:t xml:space="preserve"> prévue par l</w:t>
      </w:r>
      <w:r w:rsidR="005431F2">
        <w:t>’</w:t>
      </w:r>
      <w:r w:rsidR="006D4685">
        <w:t>article 22</w:t>
      </w:r>
      <w:r w:rsidR="006D4685">
        <w:rPr>
          <w:rStyle w:val="Appelnotedebasdep"/>
        </w:rPr>
        <w:footnoteReference w:id="21"/>
      </w:r>
      <w:r w:rsidR="006D4685">
        <w:t>.</w:t>
      </w:r>
      <w:r w:rsidR="008433FC">
        <w:t xml:space="preserve"> La question de l</w:t>
      </w:r>
      <w:r w:rsidR="005431F2">
        <w:t>’</w:t>
      </w:r>
      <w:r w:rsidR="008433FC">
        <w:t>épuisement des conditions procédurales posées par l</w:t>
      </w:r>
      <w:r w:rsidR="005431F2">
        <w:t>’</w:t>
      </w:r>
      <w:r w:rsidR="008433FC">
        <w:t>article 22 de la CIEDR a néanmoins fait l</w:t>
      </w:r>
      <w:r w:rsidR="005431F2">
        <w:t>’</w:t>
      </w:r>
      <w:r w:rsidR="008433FC">
        <w:t>objet de débats.</w:t>
      </w:r>
    </w:p>
    <w:p w14:paraId="01140BCF" w14:textId="77777777" w:rsidR="008433FC" w:rsidRDefault="008433FC" w:rsidP="008433FC">
      <w:pPr>
        <w:pStyle w:val="Paragraphedeliste"/>
        <w:spacing w:line="240" w:lineRule="auto"/>
        <w:jc w:val="left"/>
      </w:pPr>
    </w:p>
    <w:p w14:paraId="7915AA09" w14:textId="737B4BEA" w:rsidR="008433FC" w:rsidRDefault="008433FC" w:rsidP="00505706">
      <w:pPr>
        <w:pStyle w:val="Paragraphedeliste"/>
        <w:spacing w:line="240" w:lineRule="auto"/>
      </w:pPr>
      <w:r>
        <w:t>L</w:t>
      </w:r>
      <w:r w:rsidR="005431F2">
        <w:t>’</w:t>
      </w:r>
      <w:r>
        <w:t>article 22 pose trois conditions à la compétence de la Cour. Pour être porté devant la Cour, le différend ne doit pas avoir « été réglé par voie de négociation ou au moyen des procédures expressément prévues » par la CIEDR, ni faire l</w:t>
      </w:r>
      <w:r w:rsidR="005431F2">
        <w:t>’</w:t>
      </w:r>
      <w:r>
        <w:t>objet d</w:t>
      </w:r>
      <w:r w:rsidR="005431F2">
        <w:t>’</w:t>
      </w:r>
      <w:r>
        <w:t>un autre mode de règlement convenu entre les parties. La question de savoir si les conditions de négociation et de règlement par les procédures prévues par la CIEDR étaient alternatives ou cumulatives a</w:t>
      </w:r>
      <w:r w:rsidR="00EF6BCB">
        <w:t>vait d</w:t>
      </w:r>
      <w:r w:rsidR="005431F2">
        <w:t>’</w:t>
      </w:r>
      <w:r w:rsidR="00EF6BCB">
        <w:t>ores-et-déjà</w:t>
      </w:r>
      <w:r>
        <w:t xml:space="preserve"> fait l</w:t>
      </w:r>
      <w:r w:rsidR="005431F2">
        <w:t>’</w:t>
      </w:r>
      <w:r>
        <w:t>objet d</w:t>
      </w:r>
      <w:r w:rsidR="005431F2">
        <w:t>’</w:t>
      </w:r>
      <w:r>
        <w:t>âpres débats devant la Cour. Dans l</w:t>
      </w:r>
      <w:r w:rsidR="005431F2">
        <w:t>’</w:t>
      </w:r>
      <w:r>
        <w:t xml:space="preserve">affaire </w:t>
      </w:r>
      <w:r>
        <w:rPr>
          <w:i/>
        </w:rPr>
        <w:t>Géorgie c. Russie</w:t>
      </w:r>
      <w:r>
        <w:t>, la Cour n</w:t>
      </w:r>
      <w:r w:rsidR="005431F2">
        <w:t>’</w:t>
      </w:r>
      <w:r>
        <w:t>avait pas eu à y répondre au stade des mesures conservatoires</w:t>
      </w:r>
      <w:bookmarkStart w:id="7" w:name="_Ref104360622"/>
      <w:r>
        <w:rPr>
          <w:rStyle w:val="Appelnotedebasdep"/>
        </w:rPr>
        <w:footnoteReference w:id="22"/>
      </w:r>
      <w:bookmarkEnd w:id="7"/>
      <w:r>
        <w:t>, n</w:t>
      </w:r>
      <w:r w:rsidR="005431F2">
        <w:t>’</w:t>
      </w:r>
      <w:r>
        <w:t>avait pas jugé utile de le faire au stade des exceptions préliminaires</w:t>
      </w:r>
      <w:r>
        <w:rPr>
          <w:rStyle w:val="Appelnotedebasdep"/>
        </w:rPr>
        <w:footnoteReference w:id="23"/>
      </w:r>
      <w:r>
        <w:t xml:space="preserve">. </w:t>
      </w:r>
      <w:r w:rsidR="00505706">
        <w:t>Dans</w:t>
      </w:r>
      <w:r>
        <w:t xml:space="preserve"> l</w:t>
      </w:r>
      <w:r w:rsidR="005431F2">
        <w:t>’</w:t>
      </w:r>
      <w:r>
        <w:t xml:space="preserve">affaire </w:t>
      </w:r>
      <w:r>
        <w:rPr>
          <w:i/>
        </w:rPr>
        <w:t>Ukraine c. Russie</w:t>
      </w:r>
      <w:r>
        <w:t xml:space="preserve">, elle a </w:t>
      </w:r>
      <w:r w:rsidR="00505706">
        <w:t xml:space="preserve">ensuite </w:t>
      </w:r>
      <w:r>
        <w:t xml:space="preserve">jugé </w:t>
      </w:r>
      <w:r w:rsidRPr="008A2E67">
        <w:t>qu</w:t>
      </w:r>
      <w:r w:rsidR="005431F2">
        <w:t>’</w:t>
      </w:r>
      <w:r w:rsidRPr="008A2E67">
        <w:t>elle</w:t>
      </w:r>
      <w:r>
        <w:t xml:space="preserve"> n</w:t>
      </w:r>
      <w:r w:rsidR="005431F2">
        <w:t>’</w:t>
      </w:r>
      <w:r>
        <w:t xml:space="preserve">avait pas à se prononcer </w:t>
      </w:r>
      <w:r w:rsidR="00505706">
        <w:t>sur ce point</w:t>
      </w:r>
      <w:r>
        <w:t xml:space="preserve"> au stade de la compétence </w:t>
      </w:r>
      <w:r>
        <w:rPr>
          <w:i/>
        </w:rPr>
        <w:t>prima facie</w:t>
      </w:r>
      <w:r w:rsidRPr="0053181C">
        <w:rPr>
          <w:rStyle w:val="Appelnotedebasdep"/>
        </w:rPr>
        <w:footnoteReference w:id="24"/>
      </w:r>
      <w:r w:rsidR="00505706">
        <w:t>, avant de se résoudre à aborder la question de front dans son arrêt sur les exceptions préliminaires. Analysant l</w:t>
      </w:r>
      <w:r w:rsidR="005431F2">
        <w:t>’</w:t>
      </w:r>
      <w:r w:rsidR="00505706">
        <w:t xml:space="preserve">article 22 sous plusieurs prismes, la Cour </w:t>
      </w:r>
      <w:r w:rsidR="008E6364">
        <w:t>avait</w:t>
      </w:r>
      <w:r w:rsidR="00505706">
        <w:t xml:space="preserve"> finalement </w:t>
      </w:r>
      <w:r w:rsidR="008E6364">
        <w:t xml:space="preserve">conclu </w:t>
      </w:r>
      <w:r w:rsidR="00505706">
        <w:t>« </w:t>
      </w:r>
      <w:r w:rsidR="006F4D85" w:rsidRPr="006F4D85">
        <w:t>que l</w:t>
      </w:r>
      <w:r w:rsidR="005431F2">
        <w:t>’</w:t>
      </w:r>
      <w:r w:rsidR="006F4D85" w:rsidRPr="006F4D85">
        <w:t>article 22 de la CIEDR subordonne sa compétence au respect de conditions préalables de caractère alternatif</w:t>
      </w:r>
      <w:r w:rsidR="006F4D85">
        <w:t> »</w:t>
      </w:r>
      <w:r w:rsidR="00505706">
        <w:rPr>
          <w:rStyle w:val="Appelnotedebasdep"/>
        </w:rPr>
        <w:footnoteReference w:id="25"/>
      </w:r>
      <w:r w:rsidR="006F4D85">
        <w:t xml:space="preserve">. </w:t>
      </w:r>
      <w:r w:rsidR="008E6364">
        <w:t>Dans les présentes affaires, l</w:t>
      </w:r>
      <w:r w:rsidR="0065511C">
        <w:t>a Cour s</w:t>
      </w:r>
      <w:r w:rsidR="005431F2">
        <w:t>’</w:t>
      </w:r>
      <w:r w:rsidR="0065511C">
        <w:t>est dès lors</w:t>
      </w:r>
      <w:r w:rsidR="006F4D85">
        <w:t xml:space="preserve"> – et dans la mesure où aucune des parties n</w:t>
      </w:r>
      <w:r w:rsidR="005431F2">
        <w:t>’</w:t>
      </w:r>
      <w:r w:rsidR="006F4D85">
        <w:t xml:space="preserve">a remis en cause cette appréciation </w:t>
      </w:r>
      <w:r w:rsidR="0065511C">
        <w:t>–</w:t>
      </w:r>
      <w:r w:rsidR="006F4D85">
        <w:t xml:space="preserve"> </w:t>
      </w:r>
      <w:r w:rsidR="0065511C">
        <w:t>bornée à examiner l</w:t>
      </w:r>
      <w:r w:rsidR="005431F2">
        <w:t>’</w:t>
      </w:r>
      <w:r w:rsidR="0065511C">
        <w:t>existence</w:t>
      </w:r>
      <w:r w:rsidR="004154FE">
        <w:t xml:space="preserve"> d</w:t>
      </w:r>
      <w:r w:rsidR="005431F2">
        <w:t>’</w:t>
      </w:r>
      <w:r w:rsidR="004154FE">
        <w:t>un différend concernant l</w:t>
      </w:r>
      <w:r w:rsidR="005431F2">
        <w:t>’</w:t>
      </w:r>
      <w:r w:rsidR="004154FE">
        <w:t>application ou l</w:t>
      </w:r>
      <w:r w:rsidR="005431F2">
        <w:t>’</w:t>
      </w:r>
      <w:r w:rsidR="004154FE">
        <w:t>interprétation de la CIEDR, l</w:t>
      </w:r>
      <w:r w:rsidR="005431F2">
        <w:t>’</w:t>
      </w:r>
      <w:r w:rsidR="004154FE">
        <w:t>engagement</w:t>
      </w:r>
      <w:r w:rsidR="0065511C">
        <w:t xml:space="preserve"> </w:t>
      </w:r>
      <w:r w:rsidR="004154FE">
        <w:t>puis</w:t>
      </w:r>
      <w:r w:rsidR="0065511C">
        <w:t xml:space="preserve"> l</w:t>
      </w:r>
      <w:r w:rsidR="005431F2">
        <w:t>’</w:t>
      </w:r>
      <w:r w:rsidR="0065511C">
        <w:t>échec de</w:t>
      </w:r>
      <w:r w:rsidR="00EF6BCB">
        <w:t>s</w:t>
      </w:r>
      <w:r w:rsidR="0065511C">
        <w:t xml:space="preserve"> négociations</w:t>
      </w:r>
      <w:r w:rsidR="004154FE">
        <w:t>.</w:t>
      </w:r>
    </w:p>
    <w:p w14:paraId="0DF29E41" w14:textId="4D250405" w:rsidR="009140A5" w:rsidRDefault="009140A5" w:rsidP="00505706">
      <w:pPr>
        <w:pStyle w:val="Paragraphedeliste"/>
        <w:spacing w:line="240" w:lineRule="auto"/>
      </w:pPr>
    </w:p>
    <w:p w14:paraId="39D3EE08" w14:textId="17EA511E" w:rsidR="009140A5" w:rsidRPr="009140A5" w:rsidRDefault="00D85670" w:rsidP="00505706">
      <w:pPr>
        <w:pStyle w:val="Paragraphedeliste"/>
        <w:spacing w:line="240" w:lineRule="auto"/>
      </w:pPr>
      <w:r>
        <w:t>Bien que l</w:t>
      </w:r>
      <w:r w:rsidR="005431F2">
        <w:t>’</w:t>
      </w:r>
      <w:r>
        <w:t>Azerbaïdjan ait notamment plaidé que les plaintes de l</w:t>
      </w:r>
      <w:r w:rsidR="005431F2">
        <w:t>’</w:t>
      </w:r>
      <w:r>
        <w:t>Arménie n</w:t>
      </w:r>
      <w:r w:rsidR="005431F2">
        <w:t>’</w:t>
      </w:r>
      <w:r>
        <w:t>avaient d</w:t>
      </w:r>
      <w:r w:rsidR="005431F2">
        <w:t>’</w:t>
      </w:r>
      <w:r>
        <w:t>autre but que de porter leur situation à l</w:t>
      </w:r>
      <w:r w:rsidR="005431F2">
        <w:t>’</w:t>
      </w:r>
      <w:r>
        <w:t>attention de la communauté internationale et qu</w:t>
      </w:r>
      <w:r w:rsidR="005431F2">
        <w:t>’</w:t>
      </w:r>
      <w:r>
        <w:t>elles n</w:t>
      </w:r>
      <w:r w:rsidR="005431F2">
        <w:t>’</w:t>
      </w:r>
      <w:r>
        <w:t>avaient « absolument aucun rapport avec la discrimination raciale »</w:t>
      </w:r>
      <w:r>
        <w:rPr>
          <w:rStyle w:val="Appelnotedebasdep"/>
        </w:rPr>
        <w:footnoteReference w:id="26"/>
      </w:r>
      <w:r>
        <w:t>, l</w:t>
      </w:r>
      <w:r w:rsidR="005431F2">
        <w:t>’</w:t>
      </w:r>
      <w:r>
        <w:t>existence d</w:t>
      </w:r>
      <w:r w:rsidR="005431F2">
        <w:t>’</w:t>
      </w:r>
      <w:r>
        <w:t>un différend basé sur la CIEDR ne soul</w:t>
      </w:r>
      <w:r w:rsidR="00D3318B">
        <w:t>evait</w:t>
      </w:r>
      <w:r>
        <w:t>, dans les deux cas, pas de doute raisonnable au stade de l</w:t>
      </w:r>
      <w:r w:rsidR="005431F2">
        <w:t>’</w:t>
      </w:r>
      <w:r>
        <w:t xml:space="preserve">examen </w:t>
      </w:r>
      <w:r>
        <w:rPr>
          <w:i/>
          <w:iCs/>
        </w:rPr>
        <w:t>prima facie</w:t>
      </w:r>
      <w:r>
        <w:t>, les échanges de lettres préalables mentionnant clairement la question du respect de ces engagements par l</w:t>
      </w:r>
      <w:r w:rsidR="005431F2">
        <w:t>’</w:t>
      </w:r>
      <w:r>
        <w:t>Azerbaïdjan</w:t>
      </w:r>
      <w:r w:rsidR="00D3318B">
        <w:t xml:space="preserve"> comme par l</w:t>
      </w:r>
      <w:r w:rsidR="005431F2">
        <w:t>’</w:t>
      </w:r>
      <w:r w:rsidR="00D3318B">
        <w:t>Arménie</w:t>
      </w:r>
      <w:r>
        <w:rPr>
          <w:rStyle w:val="Appelnotedebasdep"/>
        </w:rPr>
        <w:footnoteReference w:id="27"/>
      </w:r>
      <w:r>
        <w:t>.</w:t>
      </w:r>
      <w:r w:rsidR="00D3318B">
        <w:t xml:space="preserve"> </w:t>
      </w:r>
      <w:r w:rsidR="009140A5">
        <w:t xml:space="preserve">Les négociations engagées </w:t>
      </w:r>
      <w:r w:rsidR="0017641D">
        <w:t xml:space="preserve">respectivement par les deux États </w:t>
      </w:r>
      <w:r w:rsidR="009140A5">
        <w:t xml:space="preserve">se sont </w:t>
      </w:r>
      <w:r w:rsidR="00D3318B">
        <w:t>par la suite</w:t>
      </w:r>
      <w:r w:rsidR="009140A5">
        <w:t xml:space="preserve"> heurtées à </w:t>
      </w:r>
      <w:r w:rsidR="00D3318B">
        <w:t>des</w:t>
      </w:r>
      <w:r w:rsidR="00825BE4">
        <w:t xml:space="preserve"> impasse</w:t>
      </w:r>
      <w:r w:rsidR="00D3318B">
        <w:t>s</w:t>
      </w:r>
      <w:r w:rsidR="00825BE4">
        <w:t>,</w:t>
      </w:r>
      <w:r w:rsidR="009140A5">
        <w:t xml:space="preserve"> les positions des parties n</w:t>
      </w:r>
      <w:r w:rsidR="005431F2">
        <w:t>’</w:t>
      </w:r>
      <w:r w:rsidR="009140A5">
        <w:t>ayant pas évolué</w:t>
      </w:r>
      <w:r w:rsidR="009140A5">
        <w:rPr>
          <w:rStyle w:val="Appelnotedebasdep"/>
        </w:rPr>
        <w:footnoteReference w:id="28"/>
      </w:r>
      <w:r w:rsidR="0017641D">
        <w:t xml:space="preserve"> et ces dernières </w:t>
      </w:r>
      <w:r w:rsidR="00DE3E38">
        <w:t>l</w:t>
      </w:r>
      <w:r w:rsidR="005431F2">
        <w:t>’</w:t>
      </w:r>
      <w:r w:rsidR="0017641D">
        <w:t xml:space="preserve">ayant </w:t>
      </w:r>
      <w:r w:rsidR="00DE3E38">
        <w:t>d</w:t>
      </w:r>
      <w:r w:rsidR="005431F2">
        <w:t>’</w:t>
      </w:r>
      <w:r w:rsidR="00DE3E38">
        <w:t>ailleurs</w:t>
      </w:r>
      <w:r w:rsidR="0017641D">
        <w:t xml:space="preserve"> admis</w:t>
      </w:r>
      <w:r w:rsidR="0017641D">
        <w:rPr>
          <w:rStyle w:val="Appelnotedebasdep"/>
        </w:rPr>
        <w:footnoteReference w:id="29"/>
      </w:r>
      <w:r w:rsidR="0017641D">
        <w:t>.</w:t>
      </w:r>
      <w:r w:rsidR="00825BE4">
        <w:t xml:space="preserve"> </w:t>
      </w:r>
      <w:r w:rsidR="009670A3">
        <w:t>Elles</w:t>
      </w:r>
      <w:r w:rsidR="00825BE4">
        <w:t xml:space="preserve"> paraissent </w:t>
      </w:r>
      <w:r w:rsidR="009670A3">
        <w:t xml:space="preserve">donc bien, au moins </w:t>
      </w:r>
      <w:r w:rsidR="009670A3">
        <w:rPr>
          <w:i/>
          <w:iCs/>
        </w:rPr>
        <w:t xml:space="preserve">prima </w:t>
      </w:r>
      <w:r w:rsidR="009670A3" w:rsidRPr="009670A3">
        <w:rPr>
          <w:i/>
          <w:iCs/>
        </w:rPr>
        <w:t>facie</w:t>
      </w:r>
      <w:r w:rsidR="009670A3">
        <w:t xml:space="preserve">, </w:t>
      </w:r>
      <w:r w:rsidR="00825BE4">
        <w:t xml:space="preserve">avoir </w:t>
      </w:r>
      <w:r w:rsidR="00825BE4" w:rsidRPr="00825BE4">
        <w:t xml:space="preserve">abouti à </w:t>
      </w:r>
      <w:r w:rsidR="00825BE4">
        <w:t>« </w:t>
      </w:r>
      <w:r w:rsidR="00825BE4" w:rsidRPr="00825BE4">
        <w:t xml:space="preserve">un point mort [...], à un </w:t>
      </w:r>
      <w:r w:rsidR="00825BE4" w:rsidRPr="00825BE4">
        <w:rPr>
          <w:i/>
          <w:iCs/>
        </w:rPr>
        <w:t xml:space="preserve">non </w:t>
      </w:r>
      <w:r w:rsidR="00825BE4" w:rsidRPr="00825BE4">
        <w:rPr>
          <w:i/>
          <w:iCs/>
        </w:rPr>
        <w:lastRenderedPageBreak/>
        <w:t>possumus</w:t>
      </w:r>
      <w:r w:rsidR="00825BE4" w:rsidRPr="00825BE4">
        <w:t xml:space="preserve"> ou à un </w:t>
      </w:r>
      <w:r w:rsidR="00825BE4" w:rsidRPr="00825BE4">
        <w:rPr>
          <w:i/>
          <w:iCs/>
        </w:rPr>
        <w:t>non volumus</w:t>
      </w:r>
      <w:r w:rsidR="00825BE4" w:rsidRPr="00825BE4">
        <w:t xml:space="preserve"> péremptoire de l</w:t>
      </w:r>
      <w:r w:rsidR="005431F2">
        <w:t>’</w:t>
      </w:r>
      <w:r w:rsidR="00825BE4" w:rsidRPr="00825BE4">
        <w:t>une des Parties [...] de nature à rendre superflue une discussion nouvelle des points de vue</w:t>
      </w:r>
      <w:r w:rsidR="00825BE4">
        <w:t> »</w:t>
      </w:r>
      <w:r w:rsidR="00825BE4">
        <w:rPr>
          <w:rStyle w:val="Appelnotedebasdep"/>
        </w:rPr>
        <w:footnoteReference w:id="30"/>
      </w:r>
      <w:r w:rsidR="00825BE4">
        <w:t>.</w:t>
      </w:r>
    </w:p>
    <w:p w14:paraId="6E4278CE" w14:textId="77777777" w:rsidR="0002572F" w:rsidRDefault="0002572F" w:rsidP="0002572F">
      <w:pPr>
        <w:pStyle w:val="Paragraphedeliste"/>
        <w:spacing w:line="240" w:lineRule="auto"/>
        <w:jc w:val="left"/>
      </w:pPr>
    </w:p>
    <w:p w14:paraId="072163C9" w14:textId="537FB78D" w:rsidR="004D27D3" w:rsidRPr="00575029" w:rsidRDefault="00575029" w:rsidP="00575029">
      <w:pPr>
        <w:pStyle w:val="THESE1"/>
        <w:ind w:left="0"/>
        <w:rPr>
          <w:smallCaps/>
        </w:rPr>
      </w:pPr>
      <w:r w:rsidRPr="00575029">
        <w:rPr>
          <w:smallCaps/>
        </w:rPr>
        <w:t>B. u</w:t>
      </w:r>
      <w:r w:rsidR="00AD5FB9" w:rsidRPr="00575029">
        <w:rPr>
          <w:smallCaps/>
        </w:rPr>
        <w:t xml:space="preserve">n </w:t>
      </w:r>
      <w:r w:rsidR="005C6D64" w:rsidRPr="00575029">
        <w:rPr>
          <w:smallCaps/>
        </w:rPr>
        <w:t xml:space="preserve">examen </w:t>
      </w:r>
      <w:r w:rsidR="004F0324">
        <w:rPr>
          <w:smallCaps/>
        </w:rPr>
        <w:t>assoupli</w:t>
      </w:r>
      <w:r w:rsidR="005C6D64" w:rsidRPr="00575029">
        <w:rPr>
          <w:smallCaps/>
        </w:rPr>
        <w:t xml:space="preserve"> de la plausibilité des droits allégués</w:t>
      </w:r>
    </w:p>
    <w:p w14:paraId="26CB4910" w14:textId="5FBEB2BE" w:rsidR="00A15324" w:rsidRDefault="00A15324" w:rsidP="00A15324">
      <w:pPr>
        <w:pStyle w:val="Paragraphedeliste"/>
        <w:spacing w:line="240" w:lineRule="auto"/>
        <w:jc w:val="left"/>
      </w:pPr>
    </w:p>
    <w:p w14:paraId="3F1CC1C9" w14:textId="4A7BB825" w:rsidR="000A6D1E" w:rsidRDefault="008C2071" w:rsidP="00984E04">
      <w:pPr>
        <w:pStyle w:val="Paragraphedeliste"/>
        <w:spacing w:line="240" w:lineRule="auto"/>
      </w:pPr>
      <w:r>
        <w:t xml:space="preserve">Depuis 2009, la Cour considère que son pouvoir </w:t>
      </w:r>
      <w:r w:rsidRPr="008C2071">
        <w:t>« d</w:t>
      </w:r>
      <w:r w:rsidR="005431F2">
        <w:t>’</w:t>
      </w:r>
      <w:r w:rsidRPr="008C2071">
        <w:t>indiquer des mesures conservatoires ne devrait être exercé que si les droits allégués par une partie apparaissent au moins plausibles</w:t>
      </w:r>
      <w:r w:rsidR="00667BAB">
        <w:t> </w:t>
      </w:r>
      <w:r w:rsidRPr="008C2071">
        <w:t>»</w:t>
      </w:r>
      <w:r>
        <w:rPr>
          <w:rStyle w:val="Appelnotedebasdep"/>
        </w:rPr>
        <w:footnoteReference w:id="31"/>
      </w:r>
      <w:r w:rsidR="000A6D1E">
        <w:t>. Elle ajoute qu</w:t>
      </w:r>
      <w:r w:rsidR="005431F2">
        <w:t>’</w:t>
      </w:r>
      <w:r w:rsidR="000A6D1E">
        <w:t>un « lien doit exister entre les droits dont la protection est recherchée et les mesures conservatoires demandées »</w:t>
      </w:r>
      <w:r w:rsidR="000A6D1E">
        <w:rPr>
          <w:rStyle w:val="Appelnotedebasdep"/>
        </w:rPr>
        <w:footnoteReference w:id="32"/>
      </w:r>
      <w:r w:rsidR="000A6D1E">
        <w:t>.</w:t>
      </w:r>
    </w:p>
    <w:p w14:paraId="3057F5BA" w14:textId="77777777" w:rsidR="000A6D1E" w:rsidRDefault="000A6D1E" w:rsidP="00984E04">
      <w:pPr>
        <w:pStyle w:val="Paragraphedeliste"/>
        <w:spacing w:line="240" w:lineRule="auto"/>
      </w:pPr>
    </w:p>
    <w:p w14:paraId="31DC0B40" w14:textId="63FE4BE6" w:rsidR="00A15324" w:rsidRPr="000A6D1E" w:rsidRDefault="00667BAB" w:rsidP="00984E04">
      <w:pPr>
        <w:pStyle w:val="Paragraphedeliste"/>
        <w:spacing w:line="240" w:lineRule="auto"/>
      </w:pPr>
      <w:r>
        <w:t xml:space="preserve">Elle apprécie cependant de manière particulièrement souple ce </w:t>
      </w:r>
      <w:r w:rsidR="000A6D1E">
        <w:t xml:space="preserve">double </w:t>
      </w:r>
      <w:r>
        <w:t>critère qui n</w:t>
      </w:r>
      <w:r w:rsidR="005431F2">
        <w:t>’</w:t>
      </w:r>
      <w:r>
        <w:t>est, d</w:t>
      </w:r>
      <w:r w:rsidR="005431F2">
        <w:t>’</w:t>
      </w:r>
      <w:r>
        <w:t>ailleurs, pas toujours particulièrement clair. Il lui suffit parfois qu</w:t>
      </w:r>
      <w:r w:rsidR="005431F2">
        <w:t>’</w:t>
      </w:r>
      <w:r>
        <w:t>au moins certains des droits allégués apparaissent plausibles</w:t>
      </w:r>
      <w:r w:rsidR="005437BD">
        <w:rPr>
          <w:rStyle w:val="Appelnotedebasdep"/>
        </w:rPr>
        <w:footnoteReference w:id="33"/>
      </w:r>
      <w:r w:rsidR="00AD5FB9">
        <w:t>, de sorte qu</w:t>
      </w:r>
      <w:r w:rsidR="005431F2">
        <w:t>’</w:t>
      </w:r>
      <w:r w:rsidR="00AD5FB9">
        <w:t>il n</w:t>
      </w:r>
      <w:r w:rsidR="005431F2">
        <w:t>’</w:t>
      </w:r>
      <w:r w:rsidR="00AD5FB9">
        <w:t>est pas gênant que l</w:t>
      </w:r>
      <w:r w:rsidR="005431F2">
        <w:t>’</w:t>
      </w:r>
      <w:r w:rsidR="00AD5FB9">
        <w:t>ensemble des droits invoqués ne soient pas « plausiblement considérés »</w:t>
      </w:r>
      <w:r w:rsidR="00AD5FB9" w:rsidRPr="00AD5FB9">
        <w:rPr>
          <w:rStyle w:val="Appelnotedebasdep"/>
        </w:rPr>
        <w:t xml:space="preserve"> </w:t>
      </w:r>
      <w:bookmarkStart w:id="8" w:name="_Ref95337509"/>
      <w:r w:rsidR="00AD5FB9">
        <w:rPr>
          <w:rStyle w:val="Appelnotedebasdep"/>
        </w:rPr>
        <w:footnoteReference w:id="34"/>
      </w:r>
      <w:bookmarkEnd w:id="8"/>
      <w:r w:rsidR="00AD5FB9">
        <w:t xml:space="preserve"> comme pouvant, </w:t>
      </w:r>
      <w:r w:rsidR="00AD5FB9">
        <w:rPr>
          <w:i/>
          <w:iCs/>
        </w:rPr>
        <w:t>in fine</w:t>
      </w:r>
      <w:r w:rsidR="00AD5FB9">
        <w:t>, l</w:t>
      </w:r>
      <w:r w:rsidR="005431F2">
        <w:t>’</w:t>
      </w:r>
      <w:r w:rsidR="00AD5FB9">
        <w:t>être. La Cour adopte</w:t>
      </w:r>
      <w:r w:rsidR="000A6D1E">
        <w:t xml:space="preserve"> dans l</w:t>
      </w:r>
      <w:r w:rsidR="005431F2">
        <w:t>’</w:t>
      </w:r>
      <w:r w:rsidR="000A6D1E">
        <w:t>ensemble</w:t>
      </w:r>
      <w:r w:rsidR="00AD5FB9">
        <w:t xml:space="preserve"> une approche de moins en moins formaliste au fil du temps, </w:t>
      </w:r>
      <w:r w:rsidR="00E5252B">
        <w:t xml:space="preserve">notamment </w:t>
      </w:r>
      <w:r w:rsidR="000A6D1E">
        <w:t>en</w:t>
      </w:r>
      <w:r w:rsidR="00E03D84">
        <w:t xml:space="preserve"> se fondant sur un nombre parfois restreint de « faits et circonstances »</w:t>
      </w:r>
      <w:r w:rsidR="00E03D84">
        <w:rPr>
          <w:rStyle w:val="Appelnotedebasdep"/>
        </w:rPr>
        <w:footnoteReference w:id="35"/>
      </w:r>
      <w:r w:rsidR="000A6D1E">
        <w:t xml:space="preserve"> </w:t>
      </w:r>
      <w:r w:rsidR="00E03D84">
        <w:t>pour constater la plausibilité des droits allégués</w:t>
      </w:r>
      <w:r w:rsidR="000A6D1E">
        <w:t>, décentrant</w:t>
      </w:r>
      <w:r w:rsidR="00CC75CB">
        <w:t xml:space="preserve"> par la même occasion</w:t>
      </w:r>
      <w:r w:rsidR="000A6D1E">
        <w:t xml:space="preserve"> l</w:t>
      </w:r>
      <w:r w:rsidR="005431F2">
        <w:t>’</w:t>
      </w:r>
      <w:r w:rsidR="000A6D1E">
        <w:t>analyse purement juridique au profit d</w:t>
      </w:r>
      <w:r w:rsidR="00CC75CB">
        <w:t>e ce que l</w:t>
      </w:r>
      <w:r w:rsidR="005431F2">
        <w:t>’</w:t>
      </w:r>
      <w:r w:rsidR="00CC75CB">
        <w:t>on pourrait considérer comme une</w:t>
      </w:r>
      <w:r w:rsidR="000A6D1E">
        <w:t xml:space="preserve"> sorte d</w:t>
      </w:r>
      <w:r w:rsidR="005431F2">
        <w:t>’</w:t>
      </w:r>
      <w:r w:rsidR="000A6D1E">
        <w:t xml:space="preserve">appréciation </w:t>
      </w:r>
      <w:r w:rsidR="000A6D1E">
        <w:rPr>
          <w:i/>
          <w:iCs/>
        </w:rPr>
        <w:t>prima facie</w:t>
      </w:r>
      <w:r w:rsidR="000A6D1E">
        <w:t xml:space="preserve"> du fond.</w:t>
      </w:r>
    </w:p>
    <w:p w14:paraId="5DD34EBC" w14:textId="648F602D" w:rsidR="00984E04" w:rsidRDefault="00984E04" w:rsidP="00984E04">
      <w:pPr>
        <w:pStyle w:val="Paragraphedeliste"/>
        <w:spacing w:line="240" w:lineRule="auto"/>
      </w:pPr>
    </w:p>
    <w:p w14:paraId="75269FF5" w14:textId="7278922B" w:rsidR="00010B7C" w:rsidRDefault="000603C9" w:rsidP="00984E04">
      <w:pPr>
        <w:pStyle w:val="Paragraphedeliste"/>
        <w:spacing w:line="240" w:lineRule="auto"/>
      </w:pPr>
      <w:r>
        <w:t>Les deux ordonnances commentées s</w:t>
      </w:r>
      <w:r w:rsidR="005431F2">
        <w:t>’</w:t>
      </w:r>
      <w:r>
        <w:t xml:space="preserve">inscrivent dans cette </w:t>
      </w:r>
      <w:r w:rsidR="00E5252B">
        <w:t>évolution jurisprudentielle globalement favorable aux demandeurs, puisqu</w:t>
      </w:r>
      <w:r w:rsidR="005431F2">
        <w:t>’</w:t>
      </w:r>
      <w:r w:rsidR="00E5252B">
        <w:t>elle conduit à abaisser le seuil d</w:t>
      </w:r>
      <w:r w:rsidR="005431F2">
        <w:t>’</w:t>
      </w:r>
      <w:r w:rsidR="00E5252B">
        <w:t>exigences de la « plausibilité » des droits allégués – ce qui n</w:t>
      </w:r>
      <w:r w:rsidR="005431F2">
        <w:t>’</w:t>
      </w:r>
      <w:r w:rsidR="00E5252B">
        <w:t>empêche pas la Cour d</w:t>
      </w:r>
      <w:r w:rsidR="005431F2">
        <w:t>’</w:t>
      </w:r>
      <w:r w:rsidR="00E5252B">
        <w:t>opérer à l</w:t>
      </w:r>
      <w:r w:rsidR="005431F2">
        <w:t>’</w:t>
      </w:r>
      <w:r w:rsidR="00E5252B">
        <w:t>occasion un contrôle plus restrictif du lien entre ceux-ci et les mesures requises</w:t>
      </w:r>
      <w:r w:rsidR="00E5252B">
        <w:rPr>
          <w:rStyle w:val="Appelnotedebasdep"/>
        </w:rPr>
        <w:footnoteReference w:id="36"/>
      </w:r>
      <w:r w:rsidR="00E5252B">
        <w:t xml:space="preserve">. </w:t>
      </w:r>
      <w:r w:rsidR="003B6DBA">
        <w:t>On peut s</w:t>
      </w:r>
      <w:r w:rsidR="005431F2">
        <w:t>’</w:t>
      </w:r>
      <w:r w:rsidR="003B6DBA">
        <w:t>en féliciter, en ce que ce mouvement conduit naturellement les États à solliciter de manière plus régulière la Cour, et renforce donc la confiance portée dans la justice internationale : la Cour sait s</w:t>
      </w:r>
      <w:r w:rsidR="005431F2">
        <w:t>’</w:t>
      </w:r>
      <w:r w:rsidR="003B6DBA">
        <w:t>adapter à l</w:t>
      </w:r>
      <w:r w:rsidR="005431F2">
        <w:t>’</w:t>
      </w:r>
      <w:r w:rsidR="003B6DBA">
        <w:t>évolution de l</w:t>
      </w:r>
      <w:r w:rsidR="005431F2">
        <w:t>’</w:t>
      </w:r>
      <w:r w:rsidR="003B6DBA">
        <w:t>opinion publique internationale, peut-être à la recherche d</w:t>
      </w:r>
      <w:r w:rsidR="005431F2">
        <w:t>’</w:t>
      </w:r>
      <w:r w:rsidR="003B6DBA">
        <w:t>une « humanisation » du droit international</w:t>
      </w:r>
      <w:r w:rsidR="003B6DBA">
        <w:rPr>
          <w:rStyle w:val="Appelnotedebasdep"/>
        </w:rPr>
        <w:footnoteReference w:id="37"/>
      </w:r>
      <w:r w:rsidR="003B6DBA">
        <w:t xml:space="preserve"> qui passe certainement par une appréciation souple de ce critère</w:t>
      </w:r>
      <w:r w:rsidR="0027495D">
        <w:t xml:space="preserve"> somme toute récent – et </w:t>
      </w:r>
      <w:r w:rsidR="00010B7C">
        <w:t xml:space="preserve">fortement </w:t>
      </w:r>
      <w:r w:rsidR="0027495D">
        <w:t>critiqué par certains juges</w:t>
      </w:r>
      <w:r w:rsidR="0027495D">
        <w:rPr>
          <w:rStyle w:val="Appelnotedebasdep"/>
        </w:rPr>
        <w:footnoteReference w:id="38"/>
      </w:r>
      <w:r w:rsidR="003B6DBA">
        <w:t xml:space="preserve">. Il est également loisible de souligner les difficultés logiques </w:t>
      </w:r>
      <w:r w:rsidR="00010B7C">
        <w:t>que cette souplesse</w:t>
      </w:r>
      <w:r w:rsidR="003B6DBA">
        <w:t xml:space="preserve"> induit. </w:t>
      </w:r>
    </w:p>
    <w:p w14:paraId="7DB3841D" w14:textId="77777777" w:rsidR="00010B7C" w:rsidRDefault="00010B7C" w:rsidP="00984E04">
      <w:pPr>
        <w:pStyle w:val="Paragraphedeliste"/>
        <w:spacing w:line="240" w:lineRule="auto"/>
      </w:pPr>
    </w:p>
    <w:p w14:paraId="0E6F9058" w14:textId="00F66274" w:rsidR="008A72CA" w:rsidRDefault="003B6DBA" w:rsidP="00984E04">
      <w:pPr>
        <w:pStyle w:val="Paragraphedeliste"/>
        <w:spacing w:line="240" w:lineRule="auto"/>
      </w:pPr>
      <w:r>
        <w:t>D</w:t>
      </w:r>
      <w:r w:rsidR="005431F2">
        <w:t>’</w:t>
      </w:r>
      <w:r>
        <w:t>emblée, l</w:t>
      </w:r>
      <w:r w:rsidR="00E5252B">
        <w:t xml:space="preserve">a question apparaissait </w:t>
      </w:r>
      <w:r>
        <w:t>en effet</w:t>
      </w:r>
      <w:r w:rsidR="00E5252B">
        <w:t xml:space="preserve"> complexe</w:t>
      </w:r>
      <w:r w:rsidR="00400B15">
        <w:t xml:space="preserve"> </w:t>
      </w:r>
      <w:r w:rsidR="00E5252B">
        <w:t>puisque déterminer la plausibilité des droits allégués par l</w:t>
      </w:r>
      <w:r w:rsidR="005431F2">
        <w:t>’</w:t>
      </w:r>
      <w:r w:rsidR="00E5252B">
        <w:t xml:space="preserve">Arménie </w:t>
      </w:r>
      <w:r w:rsidR="00E314BB">
        <w:t>comme l</w:t>
      </w:r>
      <w:r w:rsidR="005431F2">
        <w:t>’</w:t>
      </w:r>
      <w:r w:rsidR="00E314BB">
        <w:t xml:space="preserve">Azerbaïdjan </w:t>
      </w:r>
      <w:r w:rsidR="00E5252B">
        <w:t>impliquait d</w:t>
      </w:r>
      <w:r w:rsidR="005431F2">
        <w:t>’</w:t>
      </w:r>
      <w:r w:rsidR="00E5252B">
        <w:t xml:space="preserve">examiner, sans se prononcer définitivement, </w:t>
      </w:r>
      <w:r w:rsidR="00400B15">
        <w:t xml:space="preserve">si les actes dénoncés pouvaient être considérés comme pouvant plausiblement </w:t>
      </w:r>
      <w:r w:rsidR="00400B15">
        <w:lastRenderedPageBreak/>
        <w:t>relever d</w:t>
      </w:r>
      <w:r w:rsidR="005431F2">
        <w:t>’</w:t>
      </w:r>
      <w:r w:rsidR="00400B15">
        <w:t>une discrimination raciale au sens de la Convention</w:t>
      </w:r>
      <w:r w:rsidR="00400B15">
        <w:rPr>
          <w:rStyle w:val="Appelnotedebasdep"/>
        </w:rPr>
        <w:footnoteReference w:id="39"/>
      </w:r>
      <w:r w:rsidR="00400B15">
        <w:t>.</w:t>
      </w:r>
      <w:r w:rsidR="00175313">
        <w:t xml:space="preserve"> Il s</w:t>
      </w:r>
      <w:r w:rsidR="005431F2">
        <w:t>’</w:t>
      </w:r>
      <w:r w:rsidR="00175313">
        <w:t>agit donc, là encore, d</w:t>
      </w:r>
      <w:r w:rsidR="005431F2">
        <w:t>’</w:t>
      </w:r>
      <w:r w:rsidR="00175313">
        <w:t xml:space="preserve">opérer une première appréciation globale </w:t>
      </w:r>
      <w:r w:rsidR="00BC6035">
        <w:t>de la crédibilité d</w:t>
      </w:r>
      <w:r w:rsidR="00175313">
        <w:t>u fond de l</w:t>
      </w:r>
      <w:r w:rsidR="005431F2">
        <w:t>’</w:t>
      </w:r>
      <w:r w:rsidR="00175313">
        <w:t>affaire sans</w:t>
      </w:r>
      <w:r w:rsidR="00BC6035">
        <w:t xml:space="preserve"> pour autant</w:t>
      </w:r>
      <w:r w:rsidR="00175313">
        <w:t xml:space="preserve"> en préjuger ; cela est d</w:t>
      </w:r>
      <w:r w:rsidR="005431F2">
        <w:t>’</w:t>
      </w:r>
      <w:r w:rsidR="00175313">
        <w:t xml:space="preserve">ailleurs, malgré les précautions sémantiques de la Cour, confirmé par </w:t>
      </w:r>
      <w:r w:rsidR="00D9040C">
        <w:t xml:space="preserve">son </w:t>
      </w:r>
      <w:r w:rsidR="00175313">
        <w:t xml:space="preserve">utilisation </w:t>
      </w:r>
      <w:r w:rsidR="00BC6035">
        <w:t>du champ lexical de la « preuve » manquante</w:t>
      </w:r>
      <w:r w:rsidR="00D9040C">
        <w:t xml:space="preserve"> pour justifier certaines exclusions de la plausibilité. Ainsi, </w:t>
      </w:r>
      <w:r w:rsidR="00175313">
        <w:t>l</w:t>
      </w:r>
      <w:r w:rsidR="005431F2">
        <w:t>’</w:t>
      </w:r>
      <w:r w:rsidR="00175313">
        <w:t>absence « d</w:t>
      </w:r>
      <w:r w:rsidR="005431F2">
        <w:t>’</w:t>
      </w:r>
      <w:r w:rsidR="00175313">
        <w:t>éléments de preuve démontrant que le comportement allégué » entre dans le champ de la Convention</w:t>
      </w:r>
      <w:r w:rsidR="00175313">
        <w:rPr>
          <w:rStyle w:val="Appelnotedebasdep"/>
        </w:rPr>
        <w:footnoteReference w:id="40"/>
      </w:r>
      <w:r w:rsidR="00175313">
        <w:t xml:space="preserve"> </w:t>
      </w:r>
      <w:r w:rsidR="00D9040C">
        <w:t>et</w:t>
      </w:r>
      <w:r w:rsidR="00175313">
        <w:t xml:space="preserve"> l</w:t>
      </w:r>
      <w:r w:rsidR="005431F2">
        <w:t>’</w:t>
      </w:r>
      <w:r w:rsidR="00175313">
        <w:t>absence de présentation « à la Cour de preuve que [l]es personnes demeurent en détention en raison de leur origine nationale ou ethnique »</w:t>
      </w:r>
      <w:r w:rsidR="00175313">
        <w:rPr>
          <w:rStyle w:val="Appelnotedebasdep"/>
        </w:rPr>
        <w:footnoteReference w:id="41"/>
      </w:r>
      <w:r w:rsidR="00D9040C">
        <w:t xml:space="preserve"> conduisent la Cour à écarter du champ de la plausibilité plusieurs droits allégués, et il paraît  dès lors douteux que ceux-ci puissent, au stade ultérieur de la procédure et sauf apport de preuves supplémentaires, être considérés comme méconnus par l</w:t>
      </w:r>
      <w:r w:rsidR="005431F2">
        <w:t>’</w:t>
      </w:r>
      <w:r w:rsidR="00D9040C">
        <w:t>autre partie au fond.</w:t>
      </w:r>
      <w:r w:rsidR="00175313">
        <w:t xml:space="preserve"> </w:t>
      </w:r>
      <w:r w:rsidR="00400B15">
        <w:t>Comme dans l</w:t>
      </w:r>
      <w:r w:rsidR="005431F2">
        <w:t>’</w:t>
      </w:r>
      <w:r w:rsidR="00400B15">
        <w:t xml:space="preserve">affaire </w:t>
      </w:r>
      <w:r w:rsidR="00400B15">
        <w:rPr>
          <w:i/>
          <w:iCs/>
        </w:rPr>
        <w:t>Qatar c. Émirats arabes unis</w:t>
      </w:r>
      <w:r w:rsidR="00400B15">
        <w:t>, la Cour considère</w:t>
      </w:r>
      <w:r w:rsidR="00D9040C">
        <w:t xml:space="preserve"> cependant et</w:t>
      </w:r>
      <w:r w:rsidR="00400B15">
        <w:t xml:space="preserve"> </w:t>
      </w:r>
      <w:r w:rsidR="00E314BB">
        <w:t>dans les deux cas que</w:t>
      </w:r>
      <w:r w:rsidR="00400B15">
        <w:t xml:space="preserve"> « certains au moins des droits revendiqués</w:t>
      </w:r>
      <w:r w:rsidR="00E314BB">
        <w:t> »</w:t>
      </w:r>
      <w:r w:rsidR="00400B15">
        <w:t xml:space="preserve"> par l</w:t>
      </w:r>
      <w:r w:rsidR="005431F2">
        <w:t>’</w:t>
      </w:r>
      <w:r w:rsidR="00400B15">
        <w:t>Arménie</w:t>
      </w:r>
      <w:r w:rsidR="00E314BB">
        <w:rPr>
          <w:rStyle w:val="Appelnotedebasdep"/>
        </w:rPr>
        <w:footnoteReference w:id="42"/>
      </w:r>
      <w:r w:rsidR="00E314BB">
        <w:t xml:space="preserve"> et l</w:t>
      </w:r>
      <w:r w:rsidR="005431F2">
        <w:t>’</w:t>
      </w:r>
      <w:r w:rsidR="00E314BB">
        <w:t>Azerbaïdjan</w:t>
      </w:r>
      <w:r w:rsidR="00E314BB">
        <w:rPr>
          <w:rStyle w:val="Appelnotedebasdep"/>
        </w:rPr>
        <w:footnoteReference w:id="43"/>
      </w:r>
      <w:r w:rsidR="00E314BB">
        <w:t xml:space="preserve"> </w:t>
      </w:r>
      <w:r w:rsidR="00400B15">
        <w:t>sont</w:t>
      </w:r>
      <w:r w:rsidR="00E314BB">
        <w:t>, « au vu des informations que les Parties lui ont soumises »,</w:t>
      </w:r>
      <w:r w:rsidR="00400B15">
        <w:t xml:space="preserve"> des droits </w:t>
      </w:r>
      <w:r w:rsidR="00E314BB">
        <w:t>« </w:t>
      </w:r>
      <w:r w:rsidR="00400B15">
        <w:t>plausibles au regard de la convention »</w:t>
      </w:r>
      <w:r w:rsidR="00E314BB">
        <w:t>. Dans l</w:t>
      </w:r>
      <w:r w:rsidR="005431F2">
        <w:t>’</w:t>
      </w:r>
      <w:r w:rsidR="00E314BB">
        <w:t xml:space="preserve">ordonnance </w:t>
      </w:r>
      <w:r w:rsidR="00E314BB">
        <w:rPr>
          <w:i/>
          <w:iCs/>
        </w:rPr>
        <w:t xml:space="preserve">Arménie c. </w:t>
      </w:r>
      <w:r w:rsidR="00E314BB" w:rsidRPr="00E314BB">
        <w:rPr>
          <w:i/>
          <w:iCs/>
        </w:rPr>
        <w:t>Azerbaïdjan</w:t>
      </w:r>
      <w:r w:rsidR="00E314BB">
        <w:t xml:space="preserve">, la Cour est peu loquace et exclut </w:t>
      </w:r>
      <w:r w:rsidR="007456BB">
        <w:t xml:space="preserve">seulement </w:t>
      </w:r>
      <w:r w:rsidR="00E314BB">
        <w:t xml:space="preserve">expressément </w:t>
      </w:r>
      <w:r w:rsidR="007456BB">
        <w:t>du spectre de la plausibilité le droit allégué au rapatriement de toutes les personnes qualifiées par l</w:t>
      </w:r>
      <w:r w:rsidR="005431F2">
        <w:t>’</w:t>
      </w:r>
      <w:r w:rsidR="007456BB">
        <w:t>Arménie de prisonniers de guerre et de détenus civils</w:t>
      </w:r>
      <w:r w:rsidR="00E314BB">
        <w:rPr>
          <w:rStyle w:val="Appelnotedebasdep"/>
        </w:rPr>
        <w:footnoteReference w:id="44"/>
      </w:r>
      <w:r w:rsidR="008F2DA0">
        <w:t>.</w:t>
      </w:r>
      <w:r w:rsidR="004F0324">
        <w:t xml:space="preserve"> </w:t>
      </w:r>
      <w:r w:rsidR="008F2DA0">
        <w:t>E</w:t>
      </w:r>
      <w:r w:rsidR="004F0324">
        <w:t>lle retient en outre, sans le justifier, la plausibilité des droits supposément violés du fait de « dégradation et profanation du patrimoine culturel arménien »</w:t>
      </w:r>
      <w:r w:rsidR="004F0324">
        <w:rPr>
          <w:rStyle w:val="Appelnotedebasdep"/>
        </w:rPr>
        <w:footnoteReference w:id="45"/>
      </w:r>
      <w:r w:rsidR="008F2DA0">
        <w:t xml:space="preserve">, ce qui peut surprendre dans la mesure où les articles invoqués par le demandeur ne protègent pas directement </w:t>
      </w:r>
      <w:r w:rsidR="00E706CA">
        <w:t>le patrimoine culturel</w:t>
      </w:r>
      <w:r w:rsidR="00E706CA">
        <w:rPr>
          <w:rStyle w:val="Appelnotedebasdep"/>
        </w:rPr>
        <w:footnoteReference w:id="46"/>
      </w:r>
      <w:r w:rsidR="008F2DA0">
        <w:t xml:space="preserve"> ; </w:t>
      </w:r>
      <w:r w:rsidR="00E706CA">
        <w:t>d</w:t>
      </w:r>
      <w:r w:rsidR="005431F2">
        <w:t>’</w:t>
      </w:r>
      <w:r w:rsidR="00E706CA">
        <w:t>ailleurs</w:t>
      </w:r>
      <w:r w:rsidR="008F2DA0">
        <w:t>, le terme de « profanation » est empreint d</w:t>
      </w:r>
      <w:r w:rsidR="005431F2">
        <w:t>’</w:t>
      </w:r>
      <w:r w:rsidR="008F2DA0">
        <w:t>une connotation religieuse qui n</w:t>
      </w:r>
      <w:r w:rsidR="005431F2">
        <w:t>’</w:t>
      </w:r>
      <w:r w:rsidR="008F2DA0">
        <w:t>est pas examinée au stade de la plausibilité, mais seulement établie, sans motivation, au stade du lien entre les mesures sollicitées et les droits consacrés – alors même que la CIEDR ne consacre aucun droit semblable</w:t>
      </w:r>
      <w:r w:rsidR="008F2DA0">
        <w:rPr>
          <w:rStyle w:val="Appelnotedebasdep"/>
        </w:rPr>
        <w:footnoteReference w:id="47"/>
      </w:r>
      <w:r w:rsidR="00E314BB">
        <w:t>. Dans la seconde ordonnance, la Cour n</w:t>
      </w:r>
      <w:r w:rsidR="005431F2">
        <w:t>’</w:t>
      </w:r>
      <w:r w:rsidR="00E314BB">
        <w:t>est guère beaucoup plus prolixe et écarte</w:t>
      </w:r>
      <w:r w:rsidR="002D161A">
        <w:t xml:space="preserve"> uniquement</w:t>
      </w:r>
      <w:r w:rsidR="00E314BB">
        <w:t xml:space="preserve"> </w:t>
      </w:r>
      <w:r w:rsidR="00175313">
        <w:t>la plausibilité du droit, revendiqué par l</w:t>
      </w:r>
      <w:r w:rsidR="005431F2">
        <w:t>’</w:t>
      </w:r>
      <w:r w:rsidR="00175313">
        <w:t>Azerbaïdjan, à ce que l</w:t>
      </w:r>
      <w:r w:rsidR="005431F2">
        <w:t>’</w:t>
      </w:r>
      <w:r w:rsidR="00175313">
        <w:t>Arménie prenne des mesures pour permettre à son voisin de procéder au déminage ou de cesser définitivement ses opérations de minage</w:t>
      </w:r>
      <w:r w:rsidR="002D161A">
        <w:rPr>
          <w:rStyle w:val="Appelnotedebasdep"/>
        </w:rPr>
        <w:footnoteReference w:id="48"/>
      </w:r>
      <w:r w:rsidR="00175313">
        <w:t>.</w:t>
      </w:r>
    </w:p>
    <w:p w14:paraId="576473B6" w14:textId="43B7F2A5" w:rsidR="0045527D" w:rsidRDefault="0045527D" w:rsidP="00984E04">
      <w:pPr>
        <w:pStyle w:val="Paragraphedeliste"/>
        <w:spacing w:line="240" w:lineRule="auto"/>
      </w:pPr>
    </w:p>
    <w:p w14:paraId="6BCF11B8" w14:textId="3304E83A" w:rsidR="00D47785" w:rsidRDefault="0045527D" w:rsidP="00984E04">
      <w:pPr>
        <w:pStyle w:val="Paragraphedeliste"/>
        <w:spacing w:line="240" w:lineRule="auto"/>
      </w:pPr>
      <w:r>
        <w:t>L</w:t>
      </w:r>
      <w:r w:rsidR="005431F2">
        <w:t>’</w:t>
      </w:r>
      <w:r>
        <w:t xml:space="preserve">examen des liens entre les droits considérés comme plausibles et les mesures requises appelle plus de commentaires. </w:t>
      </w:r>
      <w:r w:rsidR="00304FB1">
        <w:t>La jurisprudence demeure en construction sur ce point. Dans l</w:t>
      </w:r>
      <w:r w:rsidR="005431F2">
        <w:t>’</w:t>
      </w:r>
      <w:r w:rsidR="00304FB1">
        <w:t xml:space="preserve">affaire </w:t>
      </w:r>
      <w:r w:rsidR="00304FB1">
        <w:rPr>
          <w:i/>
          <w:iCs/>
        </w:rPr>
        <w:t>Iran c. États-Unis</w:t>
      </w:r>
      <w:r w:rsidR="00304FB1">
        <w:t>, la Cour avait été particulièrement prudente, jugeant que « [d]</w:t>
      </w:r>
      <w:r w:rsidR="00304FB1" w:rsidRPr="00304FB1">
        <w:t xml:space="preserve">e </w:t>
      </w:r>
      <w:r w:rsidR="00131003">
        <w:t xml:space="preserve">[son] </w:t>
      </w:r>
      <w:r w:rsidR="00304FB1" w:rsidRPr="00304FB1">
        <w:t xml:space="preserve">avis </w:t>
      </w:r>
      <w:r w:rsidR="00131003">
        <w:t>[…],</w:t>
      </w:r>
      <w:r w:rsidR="00304FB1" w:rsidRPr="00304FB1">
        <w:t xml:space="preserve"> certains aspects des mesures demandées par l</w:t>
      </w:r>
      <w:r w:rsidR="005431F2">
        <w:t>’</w:t>
      </w:r>
      <w:r w:rsidR="00304FB1" w:rsidRPr="00304FB1">
        <w:t>Iran en vue de garantir la liberté de commerce et d</w:t>
      </w:r>
      <w:r w:rsidR="005431F2">
        <w:t>’</w:t>
      </w:r>
      <w:r w:rsidR="00304FB1" w:rsidRPr="00304FB1">
        <w:t>échanges s</w:t>
      </w:r>
      <w:r w:rsidR="005431F2">
        <w:t>’</w:t>
      </w:r>
      <w:r w:rsidR="00304FB1" w:rsidRPr="00304FB1">
        <w:t>agissant des biens et services susmentionnés peuvent être considérés comme étant liés aux droits qu</w:t>
      </w:r>
      <w:r w:rsidR="005431F2">
        <w:t>’</w:t>
      </w:r>
      <w:r w:rsidR="00304FB1" w:rsidRPr="00304FB1">
        <w:t>elle a jugés plausibles, parmi ceux dont la protection est recherchée</w:t>
      </w:r>
      <w:r w:rsidR="00304FB1">
        <w:t> »</w:t>
      </w:r>
      <w:r w:rsidR="00304FB1">
        <w:rPr>
          <w:rStyle w:val="Appelnotedebasdep"/>
        </w:rPr>
        <w:footnoteReference w:id="49"/>
      </w:r>
      <w:r w:rsidR="00304FB1" w:rsidRPr="00304FB1">
        <w:t>.</w:t>
      </w:r>
      <w:r>
        <w:t xml:space="preserve"> </w:t>
      </w:r>
      <w:r w:rsidR="00B43A50">
        <w:t>Dans l</w:t>
      </w:r>
      <w:r w:rsidR="005431F2">
        <w:t>’</w:t>
      </w:r>
      <w:r w:rsidR="00B43A50">
        <w:t xml:space="preserve">ordonnance </w:t>
      </w:r>
      <w:r w:rsidR="00B43A50">
        <w:rPr>
          <w:i/>
          <w:iCs/>
        </w:rPr>
        <w:t>Gambie c. Myanmar</w:t>
      </w:r>
      <w:r w:rsidR="00B43A50">
        <w:t>, la Cour est à la fois plus prolixe et moins prudente, en ne motiv</w:t>
      </w:r>
      <w:r w:rsidR="00D47785">
        <w:t>ant</w:t>
      </w:r>
      <w:r w:rsidR="00B43A50">
        <w:t xml:space="preserve"> pas du tout </w:t>
      </w:r>
      <w:r w:rsidR="00482252">
        <w:t>le rejet</w:t>
      </w:r>
      <w:r w:rsidR="00B43A50">
        <w:t xml:space="preserve"> de la sixième mesure requise</w:t>
      </w:r>
      <w:r w:rsidR="00482252">
        <w:t xml:space="preserve"> au stade de l</w:t>
      </w:r>
      <w:r w:rsidR="005431F2">
        <w:t>’</w:t>
      </w:r>
      <w:r w:rsidR="00482252">
        <w:t>examen de ce lien, sans que l</w:t>
      </w:r>
      <w:r w:rsidR="005431F2">
        <w:t>’</w:t>
      </w:r>
      <w:r w:rsidR="00482252">
        <w:t>on puisse déterminer si ce rejet n</w:t>
      </w:r>
      <w:r w:rsidR="005431F2">
        <w:t>’</w:t>
      </w:r>
      <w:r w:rsidR="00482252">
        <w:t>est pas plutôt dû à l</w:t>
      </w:r>
      <w:r w:rsidR="005431F2">
        <w:t>’</w:t>
      </w:r>
      <w:r w:rsidR="00482252">
        <w:t xml:space="preserve">absence </w:t>
      </w:r>
      <w:r w:rsidR="00482252">
        <w:lastRenderedPageBreak/>
        <w:t>de nécessité de la mesure requise</w:t>
      </w:r>
      <w:r w:rsidR="00B43A50">
        <w:rPr>
          <w:rStyle w:val="Appelnotedebasdep"/>
        </w:rPr>
        <w:footnoteReference w:id="50"/>
      </w:r>
      <w:r w:rsidR="00B43A50">
        <w:t>.</w:t>
      </w:r>
      <w:r w:rsidR="00D47785">
        <w:t xml:space="preserve"> Il était donc attendu une clarification de ce critère et, surtout, de la méthode appliquée par la Cour à son propos</w:t>
      </w:r>
      <w:r w:rsidR="00C87672">
        <w:rPr>
          <w:rStyle w:val="Appelnotedebasdep"/>
        </w:rPr>
        <w:footnoteReference w:id="51"/>
      </w:r>
      <w:r w:rsidR="00D47785">
        <w:t>.</w:t>
      </w:r>
      <w:r w:rsidR="00B43A50">
        <w:t xml:space="preserve"> </w:t>
      </w:r>
    </w:p>
    <w:p w14:paraId="327A6136" w14:textId="77777777" w:rsidR="00D47785" w:rsidRDefault="00D47785" w:rsidP="00984E04">
      <w:pPr>
        <w:pStyle w:val="Paragraphedeliste"/>
        <w:spacing w:line="240" w:lineRule="auto"/>
      </w:pPr>
    </w:p>
    <w:p w14:paraId="2E6EFF7B" w14:textId="5F9BF5F5" w:rsidR="008A72CA" w:rsidRDefault="0045527D" w:rsidP="00984E04">
      <w:pPr>
        <w:pStyle w:val="Paragraphedeliste"/>
        <w:spacing w:line="240" w:lineRule="auto"/>
      </w:pPr>
      <w:r>
        <w:t>Dans l</w:t>
      </w:r>
      <w:r w:rsidR="005431F2">
        <w:t>’</w:t>
      </w:r>
      <w:r>
        <w:t xml:space="preserve">affaire </w:t>
      </w:r>
      <w:r>
        <w:rPr>
          <w:i/>
          <w:iCs/>
        </w:rPr>
        <w:t>Arménie c. Azerbaïdjan</w:t>
      </w:r>
      <w:r>
        <w:t xml:space="preserve">, </w:t>
      </w:r>
      <w:r w:rsidR="00D47785">
        <w:t>celle-ci s</w:t>
      </w:r>
      <w:r w:rsidR="005431F2">
        <w:t>’</w:t>
      </w:r>
      <w:r w:rsidR="00D47785">
        <w:t>annonce prudente, en annonçant – semble-t-il de manière exhaustive – les mesures qu</w:t>
      </w:r>
      <w:r w:rsidR="005431F2">
        <w:t>’</w:t>
      </w:r>
      <w:r w:rsidR="00D47785">
        <w:t>elle considère en lien avec les droits plausibles dont la protection est recherchée</w:t>
      </w:r>
      <w:r w:rsidR="00D47785">
        <w:rPr>
          <w:rStyle w:val="Appelnotedebasdep"/>
        </w:rPr>
        <w:footnoteReference w:id="52"/>
      </w:r>
      <w:r w:rsidR="00D47785">
        <w:t>. Rappelant qu</w:t>
      </w:r>
      <w:r w:rsidR="005431F2">
        <w:t>’</w:t>
      </w:r>
      <w:r w:rsidR="00D47785">
        <w:t>elle n</w:t>
      </w:r>
      <w:r w:rsidR="005431F2">
        <w:t>’</w:t>
      </w:r>
      <w:r w:rsidR="00D47785">
        <w:t>a pas considéré tous les droits allégués comme plausibles, la Cour conclut « qu</w:t>
      </w:r>
      <w:r w:rsidR="005431F2">
        <w:t>’</w:t>
      </w:r>
      <w:r w:rsidR="00D47785">
        <w:t xml:space="preserve">un lien existe entre </w:t>
      </w:r>
      <w:r w:rsidR="00D47785" w:rsidRPr="00D47785">
        <w:rPr>
          <w:i/>
          <w:iCs/>
        </w:rPr>
        <w:t>certains</w:t>
      </w:r>
      <w:r w:rsidR="00D47785">
        <w:t xml:space="preserve"> des droits revendiqués par l</w:t>
      </w:r>
      <w:r w:rsidR="005431F2">
        <w:t>’</w:t>
      </w:r>
      <w:r w:rsidR="00D47785">
        <w:t xml:space="preserve">Arménie et </w:t>
      </w:r>
      <w:r w:rsidR="00D47785" w:rsidRPr="00D47785">
        <w:rPr>
          <w:i/>
          <w:iCs/>
        </w:rPr>
        <w:t>certaines</w:t>
      </w:r>
      <w:r w:rsidR="00D47785">
        <w:t xml:space="preserve"> des mesures conservatoires sollicitées »</w:t>
      </w:r>
      <w:r w:rsidR="00D47785">
        <w:rPr>
          <w:rStyle w:val="Appelnotedebasdep"/>
        </w:rPr>
        <w:footnoteReference w:id="53"/>
      </w:r>
      <w:r w:rsidR="00D47785">
        <w:t>, ce qui amène deux remarques. D</w:t>
      </w:r>
      <w:r w:rsidR="005431F2">
        <w:t>’</w:t>
      </w:r>
      <w:r w:rsidR="00D47785">
        <w:t xml:space="preserve">une part, il est regrettable </w:t>
      </w:r>
      <w:r w:rsidR="0086095F">
        <w:t>que la Cour ne soit pas plus précise : il n</w:t>
      </w:r>
      <w:r w:rsidR="005431F2">
        <w:t>’</w:t>
      </w:r>
      <w:r w:rsidR="0086095F">
        <w:t>est pas possible, à la lecture du raisonnement, de déterminer expressément quelle mesure a été considérée comme liée à quel droit allégué, et la formule adoptée induit qu</w:t>
      </w:r>
      <w:r w:rsidR="005431F2">
        <w:t>’</w:t>
      </w:r>
      <w:r w:rsidR="0086095F">
        <w:t>au-delà des mesures en lien avec des droits écartés comme non plausibles, seules « certaines » des mesures restantes</w:t>
      </w:r>
      <w:r w:rsidR="009A45F1">
        <w:t>, non identifiées,</w:t>
      </w:r>
      <w:r w:rsidR="0086095F">
        <w:t xml:space="preserve"> sont considérées comme en lien avec les droits retenus par la Cour. Il aurait sans doute été préférable, à cet égard, d</w:t>
      </w:r>
      <w:r w:rsidR="005431F2">
        <w:t>’</w:t>
      </w:r>
      <w:r w:rsidR="0086095F">
        <w:t>indiquer précisément quelles mesures sont à ce stade rejetées, comme ce fut le cas dans l</w:t>
      </w:r>
      <w:r w:rsidR="005431F2">
        <w:t>’</w:t>
      </w:r>
      <w:r w:rsidR="0086095F">
        <w:t xml:space="preserve">ordonnance </w:t>
      </w:r>
      <w:r w:rsidR="0086095F">
        <w:rPr>
          <w:i/>
          <w:iCs/>
        </w:rPr>
        <w:t>Gambie c. Myanmar</w:t>
      </w:r>
      <w:r w:rsidR="0086095F">
        <w:t xml:space="preserve"> – mais en motivant chacun de ces rejets. D</w:t>
      </w:r>
      <w:r w:rsidR="005431F2">
        <w:t>’</w:t>
      </w:r>
      <w:r w:rsidR="0086095F">
        <w:t>autre part</w:t>
      </w:r>
      <w:r w:rsidR="00A94A67">
        <w:t xml:space="preserve"> et dans le même sens</w:t>
      </w:r>
      <w:r w:rsidR="0086095F">
        <w:t>, la formule retenue n</w:t>
      </w:r>
      <w:r w:rsidR="005431F2">
        <w:t>’</w:t>
      </w:r>
      <w:r w:rsidR="0086095F">
        <w:t xml:space="preserve">est pas </w:t>
      </w:r>
      <w:r w:rsidR="00A94A67">
        <w:t>identique à</w:t>
      </w:r>
      <w:r w:rsidR="0086095F">
        <w:t xml:space="preserve"> celle reprise plus loin dans la même ordonnance, la Cour indiquant alors qu</w:t>
      </w:r>
      <w:r w:rsidR="005431F2">
        <w:t>’</w:t>
      </w:r>
      <w:r w:rsidR="0086095F">
        <w:t xml:space="preserve">elle a « déjà conclu à la plausibilité de certains des droits invoqués par la demanderesse et à </w:t>
      </w:r>
      <w:r w:rsidR="0086095F" w:rsidRPr="00F45671">
        <w:rPr>
          <w:i/>
          <w:iCs/>
        </w:rPr>
        <w:t>l</w:t>
      </w:r>
      <w:r w:rsidR="005431F2">
        <w:rPr>
          <w:i/>
          <w:iCs/>
        </w:rPr>
        <w:t>’</w:t>
      </w:r>
      <w:r w:rsidR="0086095F" w:rsidRPr="00F45671">
        <w:rPr>
          <w:i/>
          <w:iCs/>
        </w:rPr>
        <w:t>existence d</w:t>
      </w:r>
      <w:r w:rsidR="005431F2">
        <w:rPr>
          <w:i/>
          <w:iCs/>
        </w:rPr>
        <w:t>’</w:t>
      </w:r>
      <w:r w:rsidR="0086095F" w:rsidRPr="00F45671">
        <w:rPr>
          <w:i/>
          <w:iCs/>
        </w:rPr>
        <w:t>un lien entre ceux-ci et les mesures conservatoires sollicitées</w:t>
      </w:r>
      <w:r w:rsidR="0086095F">
        <w:t> »</w:t>
      </w:r>
      <w:r w:rsidR="0086095F">
        <w:rPr>
          <w:rStyle w:val="Appelnotedebasdep"/>
        </w:rPr>
        <w:footnoteReference w:id="54"/>
      </w:r>
      <w:r w:rsidR="00F45671">
        <w:t>. Si l</w:t>
      </w:r>
      <w:r w:rsidR="005431F2">
        <w:t>’</w:t>
      </w:r>
      <w:r w:rsidR="00F45671">
        <w:t>on peut penser qu</w:t>
      </w:r>
      <w:r w:rsidR="005431F2">
        <w:t>’</w:t>
      </w:r>
      <w:r w:rsidR="00F45671">
        <w:t>il ne s</w:t>
      </w:r>
      <w:r w:rsidR="005431F2">
        <w:t>’</w:t>
      </w:r>
      <w:r w:rsidR="00F45671">
        <w:t>agit que d</w:t>
      </w:r>
      <w:r w:rsidR="005431F2">
        <w:t>’</w:t>
      </w:r>
      <w:r w:rsidR="00F45671">
        <w:t>un défaut de rédaction</w:t>
      </w:r>
      <w:r w:rsidR="00CB6B67">
        <w:t xml:space="preserve"> </w:t>
      </w:r>
      <w:r w:rsidR="004650B4">
        <w:t>– la version anglaise étant identique et maintenant l</w:t>
      </w:r>
      <w:r w:rsidR="005431F2">
        <w:t>’</w:t>
      </w:r>
      <w:r w:rsidR="004650B4">
        <w:t xml:space="preserve">ambiguïté </w:t>
      </w:r>
      <w:r w:rsidR="00A94A67">
        <w:t>–, cette absence de parallélisme interroge quant à l</w:t>
      </w:r>
      <w:r w:rsidR="005431F2">
        <w:t>’</w:t>
      </w:r>
      <w:r w:rsidR="00A94A67">
        <w:t>utilité des précautions sémantiques prises seulement partiellement par la Cour.</w:t>
      </w:r>
    </w:p>
    <w:p w14:paraId="75F63BED" w14:textId="0265ED62" w:rsidR="00A94A67" w:rsidRDefault="00A94A67" w:rsidP="00984E04">
      <w:pPr>
        <w:pStyle w:val="Paragraphedeliste"/>
        <w:spacing w:line="240" w:lineRule="auto"/>
      </w:pPr>
    </w:p>
    <w:p w14:paraId="1B508CDD" w14:textId="07905813" w:rsidR="00A94A67" w:rsidRPr="009A45F1" w:rsidRDefault="00A94A67" w:rsidP="00984E04">
      <w:pPr>
        <w:pStyle w:val="Paragraphedeliste"/>
        <w:spacing w:line="240" w:lineRule="auto"/>
      </w:pPr>
      <w:r>
        <w:t>L</w:t>
      </w:r>
      <w:r w:rsidR="005431F2">
        <w:t>’</w:t>
      </w:r>
      <w:r>
        <w:t xml:space="preserve">ordonnance </w:t>
      </w:r>
      <w:r>
        <w:rPr>
          <w:i/>
          <w:iCs/>
        </w:rPr>
        <w:t>Azerbaïdjan c. Arménie</w:t>
      </w:r>
      <w:r>
        <w:t xml:space="preserve"> est plus précise et</w:t>
      </w:r>
      <w:r w:rsidR="00EA3198">
        <w:t>,</w:t>
      </w:r>
      <w:r>
        <w:t xml:space="preserve"> à cet égard</w:t>
      </w:r>
      <w:r w:rsidR="00EA3198">
        <w:t>,</w:t>
      </w:r>
      <w:r>
        <w:t xml:space="preserve"> plus satisfaisante, puisqu</w:t>
      </w:r>
      <w:r w:rsidR="005431F2">
        <w:t>’</w:t>
      </w:r>
      <w:r>
        <w:t>elle ne retient que l</w:t>
      </w:r>
      <w:r w:rsidR="005431F2">
        <w:t>’</w:t>
      </w:r>
      <w:r>
        <w:t>une seule des mesures requises : celle tendant à ce qu</w:t>
      </w:r>
      <w:r w:rsidR="005431F2">
        <w:t>’</w:t>
      </w:r>
      <w:r>
        <w:t>aucune « organisation ou personne privée sur le territoire de l</w:t>
      </w:r>
      <w:r w:rsidR="005431F2">
        <w:t>’</w:t>
      </w:r>
      <w:r>
        <w:t>Arménie ne se livre à des faits » incompatibles avec la Convention</w:t>
      </w:r>
      <w:r>
        <w:rPr>
          <w:rStyle w:val="Appelnotedebasdep"/>
        </w:rPr>
        <w:footnoteReference w:id="55"/>
      </w:r>
      <w:r>
        <w:t>.</w:t>
      </w:r>
      <w:r w:rsidR="00701240">
        <w:t xml:space="preserve"> La Cour ne peut qu</w:t>
      </w:r>
      <w:r w:rsidR="005431F2">
        <w:t>’</w:t>
      </w:r>
      <w:r w:rsidR="00701240">
        <w:t>en déduire qu</w:t>
      </w:r>
      <w:r w:rsidR="005431F2">
        <w:t>’</w:t>
      </w:r>
      <w:r w:rsidR="00701240">
        <w:t>un « lien existe entre certains des droits revendiqués par l</w:t>
      </w:r>
      <w:r w:rsidR="005431F2">
        <w:t>’</w:t>
      </w:r>
      <w:r w:rsidR="00701240">
        <w:t xml:space="preserve">Azerbaïdjan et </w:t>
      </w:r>
      <w:r w:rsidR="00701240">
        <w:rPr>
          <w:i/>
          <w:iCs/>
        </w:rPr>
        <w:t>l</w:t>
      </w:r>
      <w:r w:rsidR="005431F2">
        <w:rPr>
          <w:i/>
          <w:iCs/>
        </w:rPr>
        <w:t>’</w:t>
      </w:r>
      <w:r w:rsidR="00701240">
        <w:rPr>
          <w:i/>
          <w:iCs/>
        </w:rPr>
        <w:t>une</w:t>
      </w:r>
      <w:r w:rsidR="00701240">
        <w:t xml:space="preserve"> des mesures conservatoires sollicitées »</w:t>
      </w:r>
      <w:r w:rsidR="00701240">
        <w:rPr>
          <w:rStyle w:val="Appelnotedebasdep"/>
        </w:rPr>
        <w:footnoteReference w:id="56"/>
      </w:r>
      <w:r w:rsidR="009A45F1">
        <w:t xml:space="preserve"> – ce qui confirme, si besoin était, que toutes les mesures ne sont pas nécessairement en lien avec les droits plausibles retenus, et qu</w:t>
      </w:r>
      <w:r w:rsidR="005431F2">
        <w:t>’</w:t>
      </w:r>
      <w:r w:rsidR="009A45F1">
        <w:t>une clarification de la formule employée dans l</w:t>
      </w:r>
      <w:r w:rsidR="005431F2">
        <w:t>’</w:t>
      </w:r>
      <w:r w:rsidR="009A45F1">
        <w:t xml:space="preserve">ordonnance </w:t>
      </w:r>
      <w:r w:rsidR="009A45F1">
        <w:rPr>
          <w:i/>
          <w:iCs/>
        </w:rPr>
        <w:t xml:space="preserve">Arménie c. Azerbaïdjan </w:t>
      </w:r>
      <w:r w:rsidR="009A45F1">
        <w:t xml:space="preserve">serait bienvenue. Il est, cependant, très surprenant que la Cour reprenne sa formulation « type » plus loin, indiquant là aussi avoir « déjà conclu à la plausibilité de certains des droits invoqués par le demandeur et à </w:t>
      </w:r>
      <w:r w:rsidR="009A45F1" w:rsidRPr="00F45671">
        <w:rPr>
          <w:i/>
          <w:iCs/>
        </w:rPr>
        <w:t>l</w:t>
      </w:r>
      <w:r w:rsidR="005431F2">
        <w:rPr>
          <w:i/>
          <w:iCs/>
        </w:rPr>
        <w:t>’</w:t>
      </w:r>
      <w:r w:rsidR="009A45F1" w:rsidRPr="00F45671">
        <w:rPr>
          <w:i/>
          <w:iCs/>
        </w:rPr>
        <w:t>existence d</w:t>
      </w:r>
      <w:r w:rsidR="005431F2">
        <w:rPr>
          <w:i/>
          <w:iCs/>
        </w:rPr>
        <w:t>’</w:t>
      </w:r>
      <w:r w:rsidR="009A45F1" w:rsidRPr="00F45671">
        <w:rPr>
          <w:i/>
          <w:iCs/>
        </w:rPr>
        <w:t>un lien entre ceux-ci et les mesures conservatoires sollicitées</w:t>
      </w:r>
      <w:r w:rsidR="009A45F1">
        <w:t> »</w:t>
      </w:r>
      <w:r w:rsidR="009A45F1">
        <w:rPr>
          <w:rStyle w:val="Appelnotedebasdep"/>
        </w:rPr>
        <w:footnoteReference w:id="57"/>
      </w:r>
      <w:r w:rsidR="009A45F1">
        <w:t>. Alors que cette expression apparaissait tout au plus comme un raccourci argumentatif regrettable dans l</w:t>
      </w:r>
      <w:r w:rsidR="005431F2">
        <w:t>’</w:t>
      </w:r>
      <w:r w:rsidR="009A45F1">
        <w:t xml:space="preserve">ordonnance </w:t>
      </w:r>
      <w:r w:rsidR="009A45F1">
        <w:rPr>
          <w:i/>
          <w:iCs/>
        </w:rPr>
        <w:lastRenderedPageBreak/>
        <w:t>Arménie c. Azerbaïdjan</w:t>
      </w:r>
      <w:r w:rsidR="009A45F1">
        <w:t>, il s</w:t>
      </w:r>
      <w:r w:rsidR="005431F2">
        <w:t>’</w:t>
      </w:r>
      <w:r w:rsidR="009A45F1">
        <w:t>agit là d</w:t>
      </w:r>
      <w:r w:rsidR="005431F2">
        <w:t>’</w:t>
      </w:r>
      <w:r w:rsidR="009A45F1">
        <w:t>une véritable erreu</w:t>
      </w:r>
      <w:r w:rsidR="00BF187F">
        <w:t>r, puisqu</w:t>
      </w:r>
      <w:r w:rsidR="005431F2">
        <w:t>’</w:t>
      </w:r>
      <w:r w:rsidR="00BF187F">
        <w:t>elle dit précisément l</w:t>
      </w:r>
      <w:r w:rsidR="005431F2">
        <w:t>’</w:t>
      </w:r>
      <w:r w:rsidR="00BF187F">
        <w:t>inverse de ce qui a été jugé quelques paragraphes plus haut. On ne peut qu</w:t>
      </w:r>
      <w:r w:rsidR="005431F2">
        <w:t>’</w:t>
      </w:r>
      <w:r w:rsidR="00BF187F">
        <w:t>en conclure que la rédaction des arrêts de la Cour, dont on sait qu</w:t>
      </w:r>
      <w:r w:rsidR="005431F2">
        <w:t>’</w:t>
      </w:r>
      <w:r w:rsidR="00BF187F">
        <w:t>elle est réalisée à plusieurs mains</w:t>
      </w:r>
      <w:r w:rsidR="00934ABA">
        <w:t xml:space="preserve"> et qu</w:t>
      </w:r>
      <w:r w:rsidR="005431F2">
        <w:t>’</w:t>
      </w:r>
      <w:r w:rsidR="00934ABA">
        <w:t>elle implique maintes subtilités</w:t>
      </w:r>
      <w:r w:rsidR="00BF187F">
        <w:rPr>
          <w:rStyle w:val="Appelnotedebasdep"/>
        </w:rPr>
        <w:footnoteReference w:id="58"/>
      </w:r>
      <w:r w:rsidR="00BF187F">
        <w:t>, peut encore être améliorée</w:t>
      </w:r>
      <w:r w:rsidR="00934ABA">
        <w:t>.</w:t>
      </w:r>
    </w:p>
    <w:p w14:paraId="13EFAA67" w14:textId="77777777" w:rsidR="00A15324" w:rsidRDefault="00A15324" w:rsidP="00A15324">
      <w:pPr>
        <w:pStyle w:val="Paragraphedeliste"/>
        <w:spacing w:line="240" w:lineRule="auto"/>
        <w:jc w:val="left"/>
      </w:pPr>
    </w:p>
    <w:p w14:paraId="71C8D790" w14:textId="6A1AF4C9" w:rsidR="00B247A1" w:rsidRPr="00575029" w:rsidRDefault="00575029" w:rsidP="00575029">
      <w:pPr>
        <w:numPr>
          <w:ilvl w:val="0"/>
          <w:numId w:val="0"/>
        </w:numPr>
        <w:spacing w:line="240" w:lineRule="auto"/>
        <w:jc w:val="left"/>
        <w:rPr>
          <w:smallCaps/>
        </w:rPr>
      </w:pPr>
      <w:r w:rsidRPr="00575029">
        <w:rPr>
          <w:smallCaps/>
        </w:rPr>
        <w:t xml:space="preserve">II. </w:t>
      </w:r>
      <w:r w:rsidR="006E2DE1" w:rsidRPr="00575029">
        <w:rPr>
          <w:smallCaps/>
        </w:rPr>
        <w:t>La marginalisation confirmée du critère du</w:t>
      </w:r>
      <w:r w:rsidR="00B247A1" w:rsidRPr="00575029">
        <w:rPr>
          <w:smallCaps/>
        </w:rPr>
        <w:t xml:space="preserve"> préjudice irréparable</w:t>
      </w:r>
      <w:r w:rsidR="006E2DE1" w:rsidRPr="00575029">
        <w:rPr>
          <w:smallCaps/>
        </w:rPr>
        <w:t xml:space="preserve"> et de l</w:t>
      </w:r>
      <w:r w:rsidR="005431F2">
        <w:rPr>
          <w:smallCaps/>
        </w:rPr>
        <w:t>’</w:t>
      </w:r>
      <w:r w:rsidR="006E2DE1" w:rsidRPr="00575029">
        <w:rPr>
          <w:smallCaps/>
        </w:rPr>
        <w:t>urgence</w:t>
      </w:r>
    </w:p>
    <w:p w14:paraId="4102AE77" w14:textId="2BC2BC7C" w:rsidR="005C6D64" w:rsidRDefault="005C6D64" w:rsidP="005C6D64">
      <w:pPr>
        <w:pStyle w:val="Paragraphedeliste"/>
        <w:spacing w:line="240" w:lineRule="auto"/>
        <w:jc w:val="left"/>
      </w:pPr>
    </w:p>
    <w:p w14:paraId="68C5A12F" w14:textId="27BFB0FA" w:rsidR="00EA3198" w:rsidRPr="00951EE6" w:rsidRDefault="00951EE6" w:rsidP="005C128C">
      <w:pPr>
        <w:pStyle w:val="Paragraphedeliste"/>
        <w:spacing w:line="240" w:lineRule="auto"/>
      </w:pPr>
      <w:r>
        <w:t xml:space="preserve">Une fois sa compétence </w:t>
      </w:r>
      <w:r>
        <w:rPr>
          <w:i/>
          <w:iCs/>
        </w:rPr>
        <w:t>prima facie</w:t>
      </w:r>
      <w:r>
        <w:t xml:space="preserve"> et le double critère de la plausibilité des droits allégués et des liens qu</w:t>
      </w:r>
      <w:r w:rsidR="005431F2">
        <w:t>’</w:t>
      </w:r>
      <w:r>
        <w:t>entretiennent les mesures requises avec ces derniers établis, la Cour doit déterminer « s</w:t>
      </w:r>
      <w:r w:rsidR="005431F2">
        <w:t>’</w:t>
      </w:r>
      <w:r>
        <w:t>il existe un risque réel et imminent qu</w:t>
      </w:r>
      <w:r w:rsidR="005431F2">
        <w:t>’</w:t>
      </w:r>
      <w:r>
        <w:t>un préjudice irréparable soit causé aux droits revendiqués avant que la Cour ne rende sa décision définitive »</w:t>
      </w:r>
      <w:r>
        <w:rPr>
          <w:rStyle w:val="Appelnotedebasdep"/>
        </w:rPr>
        <w:footnoteReference w:id="59"/>
      </w:r>
      <w:r>
        <w:t xml:space="preserve">. </w:t>
      </w:r>
      <w:r w:rsidR="0062556E">
        <w:t>Il en découle deux critères supplémentaires analysés ensemble, que l</w:t>
      </w:r>
      <w:r w:rsidR="005431F2">
        <w:t>’</w:t>
      </w:r>
      <w:r w:rsidR="0062556E">
        <w:t>appréhension contemporaine par la Cour tend à assouplir : l</w:t>
      </w:r>
      <w:r w:rsidR="005431F2">
        <w:t>’</w:t>
      </w:r>
      <w:r w:rsidR="0062556E">
        <w:t>existence d</w:t>
      </w:r>
      <w:r w:rsidR="005431F2">
        <w:t>’</w:t>
      </w:r>
      <w:r w:rsidR="0062556E">
        <w:t>un préjudice irréparable (</w:t>
      </w:r>
      <w:r w:rsidR="00575029">
        <w:t>A</w:t>
      </w:r>
      <w:r w:rsidR="0062556E">
        <w:t xml:space="preserve">) et </w:t>
      </w:r>
      <w:r w:rsidR="005C128C">
        <w:t>le</w:t>
      </w:r>
      <w:r w:rsidR="0062556E">
        <w:t xml:space="preserve"> risque </w:t>
      </w:r>
      <w:r w:rsidR="005C128C">
        <w:t>qu</w:t>
      </w:r>
      <w:r w:rsidR="005431F2">
        <w:t>’</w:t>
      </w:r>
      <w:r w:rsidR="005C128C">
        <w:t>il</w:t>
      </w:r>
      <w:r w:rsidR="0062556E">
        <w:t xml:space="preserve"> </w:t>
      </w:r>
      <w:r w:rsidR="005C128C">
        <w:t>survienne</w:t>
      </w:r>
      <w:r w:rsidR="0062556E">
        <w:t xml:space="preserve"> </w:t>
      </w:r>
      <w:r w:rsidR="005C128C">
        <w:t>incessamment</w:t>
      </w:r>
      <w:r w:rsidR="0062556E">
        <w:t>, c</w:t>
      </w:r>
      <w:r w:rsidR="005431F2">
        <w:t>’</w:t>
      </w:r>
      <w:r w:rsidR="0062556E">
        <w:t>est-à-dire l</w:t>
      </w:r>
      <w:r w:rsidR="005431F2">
        <w:t>’</w:t>
      </w:r>
      <w:r w:rsidR="0062556E">
        <w:t>existence d</w:t>
      </w:r>
      <w:r w:rsidR="005431F2">
        <w:t>’</w:t>
      </w:r>
      <w:r w:rsidR="0062556E">
        <w:t>une urgence (</w:t>
      </w:r>
      <w:r w:rsidR="00575029">
        <w:t>B</w:t>
      </w:r>
      <w:r w:rsidR="0062556E">
        <w:t>).</w:t>
      </w:r>
    </w:p>
    <w:p w14:paraId="3212FF9C" w14:textId="77777777" w:rsidR="00EA3198" w:rsidRPr="00575029" w:rsidRDefault="00EA3198" w:rsidP="005C6D64">
      <w:pPr>
        <w:pStyle w:val="Paragraphedeliste"/>
        <w:spacing w:line="240" w:lineRule="auto"/>
        <w:jc w:val="left"/>
        <w:rPr>
          <w:smallCaps/>
        </w:rPr>
      </w:pPr>
    </w:p>
    <w:p w14:paraId="1EEBEE83" w14:textId="7CBBDC36" w:rsidR="005C6D64" w:rsidRPr="00575029" w:rsidRDefault="00575029" w:rsidP="00575029">
      <w:pPr>
        <w:pStyle w:val="THESE1"/>
        <w:ind w:left="0"/>
        <w:rPr>
          <w:smallCaps/>
          <w:u w:val="none"/>
        </w:rPr>
      </w:pPr>
      <w:r w:rsidRPr="00575029">
        <w:rPr>
          <w:smallCaps/>
          <w:u w:val="none"/>
        </w:rPr>
        <w:t>A. l</w:t>
      </w:r>
      <w:r w:rsidR="005431F2">
        <w:rPr>
          <w:smallCaps/>
          <w:u w:val="none"/>
        </w:rPr>
        <w:t>’</w:t>
      </w:r>
      <w:r w:rsidR="00B053A9" w:rsidRPr="00575029">
        <w:rPr>
          <w:smallCaps/>
          <w:u w:val="none"/>
        </w:rPr>
        <w:t xml:space="preserve">appréciation souple du </w:t>
      </w:r>
      <w:r w:rsidR="005C6D64" w:rsidRPr="00575029">
        <w:rPr>
          <w:smallCaps/>
          <w:u w:val="none"/>
        </w:rPr>
        <w:t xml:space="preserve">caractère « irréparable » du </w:t>
      </w:r>
      <w:r w:rsidR="0062556E" w:rsidRPr="00575029">
        <w:rPr>
          <w:smallCaps/>
          <w:u w:val="none"/>
        </w:rPr>
        <w:t xml:space="preserve">préjudice </w:t>
      </w:r>
    </w:p>
    <w:p w14:paraId="63A0DC8D" w14:textId="2D39F1B4" w:rsidR="005C128C" w:rsidRDefault="005C128C" w:rsidP="005C128C">
      <w:pPr>
        <w:pStyle w:val="Paragraphedeliste"/>
        <w:spacing w:line="240" w:lineRule="auto"/>
        <w:jc w:val="left"/>
      </w:pPr>
    </w:p>
    <w:p w14:paraId="46B5B2C7" w14:textId="50CDE678" w:rsidR="001D45BC" w:rsidRDefault="009916C0" w:rsidP="001D45BC">
      <w:pPr>
        <w:pStyle w:val="Paragraphedeliste"/>
        <w:spacing w:line="240" w:lineRule="auto"/>
      </w:pPr>
      <w:r>
        <w:t>La jurisprudence de la Cour s</w:t>
      </w:r>
      <w:r w:rsidR="005431F2">
        <w:t>’</w:t>
      </w:r>
      <w:r>
        <w:t>inscrit indubitablement, depuis quelques années, dans une dynamique d</w:t>
      </w:r>
      <w:r w:rsidR="005431F2">
        <w:t>’</w:t>
      </w:r>
      <w:r>
        <w:t>assouplissement de l</w:t>
      </w:r>
      <w:r w:rsidR="005431F2">
        <w:t>’</w:t>
      </w:r>
      <w:r>
        <w:t>exigence d</w:t>
      </w:r>
      <w:r w:rsidR="005431F2">
        <w:t>’</w:t>
      </w:r>
      <w:r>
        <w:t>un risque de préjudicie irréparable. Il faut concéder que « [d]éterminer ce qui constitue un préjudice irréparable dans les cas d</w:t>
      </w:r>
      <w:r w:rsidR="005431F2">
        <w:t>’</w:t>
      </w:r>
      <w:r>
        <w:t>espèce n</w:t>
      </w:r>
      <w:r w:rsidR="005431F2">
        <w:t>’</w:t>
      </w:r>
      <w:r>
        <w:t>est pas nécessairement facile »</w:t>
      </w:r>
      <w:bookmarkStart w:id="9" w:name="_Ref95690478"/>
      <w:r>
        <w:rPr>
          <w:rStyle w:val="Appelnotedebasdep"/>
        </w:rPr>
        <w:footnoteReference w:id="60"/>
      </w:r>
      <w:bookmarkEnd w:id="9"/>
      <w:r>
        <w:t>.</w:t>
      </w:r>
      <w:r w:rsidR="006A4198">
        <w:t xml:space="preserve"> L</w:t>
      </w:r>
      <w:r w:rsidR="005431F2">
        <w:t>’</w:t>
      </w:r>
      <w:r w:rsidR="006A4198">
        <w:t>examen de la jurisprudence montre que la Cour a tendance à considérer l</w:t>
      </w:r>
      <w:r w:rsidR="005431F2">
        <w:t>’</w:t>
      </w:r>
      <w:r w:rsidR="006A4198">
        <w:t>existence d</w:t>
      </w:r>
      <w:r w:rsidR="005431F2">
        <w:t>’</w:t>
      </w:r>
      <w:r w:rsidR="006A4198">
        <w:t>un tel risque lorsqu</w:t>
      </w:r>
      <w:r w:rsidR="005431F2">
        <w:t>’</w:t>
      </w:r>
      <w:r w:rsidR="006A4198">
        <w:t>il existe un danger que le jugement final ne puisse être exécuté du fait de la survenance, faute de mesures conservatoires, de violations ou de faits rendant impossible l</w:t>
      </w:r>
      <w:r w:rsidR="005431F2">
        <w:t>’</w:t>
      </w:r>
      <w:r w:rsidR="006A4198">
        <w:t>exécution de l</w:t>
      </w:r>
      <w:r w:rsidR="005431F2">
        <w:t>’</w:t>
      </w:r>
      <w:r w:rsidR="006A4198">
        <w:t>arrêt ultérieur, mais également lorsque qu</w:t>
      </w:r>
      <w:r w:rsidR="005431F2">
        <w:t>’</w:t>
      </w:r>
      <w:r w:rsidR="006A4198">
        <w:t>elle estime « que l</w:t>
      </w:r>
      <w:r w:rsidR="005431F2">
        <w:t>’</w:t>
      </w:r>
      <w:r w:rsidR="006A4198">
        <w:t>atteinte aux droits du demandeur est intolérable au regard de la gravité des conséquences qui en découleraient et qu</w:t>
      </w:r>
      <w:r w:rsidR="005431F2">
        <w:t>’</w:t>
      </w:r>
      <w:r w:rsidR="006A4198">
        <w:t>il serait inadéquat de l</w:t>
      </w:r>
      <w:r w:rsidR="005431F2">
        <w:t>’</w:t>
      </w:r>
      <w:r w:rsidR="006A4198">
        <w:t xml:space="preserve">admettre </w:t>
      </w:r>
      <w:r w:rsidR="006A4198">
        <w:rPr>
          <w:i/>
          <w:iCs/>
        </w:rPr>
        <w:t>pendente litis</w:t>
      </w:r>
      <w:r w:rsidR="006A4198">
        <w:t> »</w:t>
      </w:r>
      <w:r w:rsidR="006A4198">
        <w:rPr>
          <w:rStyle w:val="Appelnotedebasdep"/>
        </w:rPr>
        <w:footnoteReference w:id="61"/>
      </w:r>
      <w:r w:rsidR="006A4198">
        <w:t>. S</w:t>
      </w:r>
      <w:r w:rsidR="005431F2">
        <w:t>’</w:t>
      </w:r>
      <w:r w:rsidR="006A4198">
        <w:t>il n</w:t>
      </w:r>
      <w:r w:rsidR="005431F2">
        <w:t>’</w:t>
      </w:r>
      <w:r w:rsidR="006A4198">
        <w:t xml:space="preserve">est pas douteux que la </w:t>
      </w:r>
      <w:r w:rsidR="005B6195">
        <w:t>programmation</w:t>
      </w:r>
      <w:r w:rsidR="006A4198">
        <w:t xml:space="preserve"> de</w:t>
      </w:r>
      <w:r w:rsidR="005B6195">
        <w:t xml:space="preserve"> la</w:t>
      </w:r>
      <w:r w:rsidR="006A4198">
        <w:t xml:space="preserve"> mise à mort d</w:t>
      </w:r>
      <w:r w:rsidR="005431F2">
        <w:t>’</w:t>
      </w:r>
      <w:r w:rsidR="006A4198">
        <w:t>une personne dont la situation juridique fait précisément l</w:t>
      </w:r>
      <w:r w:rsidR="005431F2">
        <w:t>’</w:t>
      </w:r>
      <w:r w:rsidR="006A4198">
        <w:t>objet du différend constitue objectivement un tel risque</w:t>
      </w:r>
      <w:r w:rsidR="006A4198">
        <w:rPr>
          <w:rStyle w:val="Appelnotedebasdep"/>
        </w:rPr>
        <w:footnoteReference w:id="62"/>
      </w:r>
      <w:r w:rsidR="006A4198">
        <w:t xml:space="preserve">, </w:t>
      </w:r>
      <w:r w:rsidR="001D45BC">
        <w:t>l</w:t>
      </w:r>
      <w:r w:rsidR="005431F2">
        <w:t>’</w:t>
      </w:r>
      <w:r w:rsidR="001D45BC">
        <w:t>appréciation de la « tolérabilité », de la « gravité » et du caractère « adéquat » ou non de l</w:t>
      </w:r>
      <w:r w:rsidR="005431F2">
        <w:t>’</w:t>
      </w:r>
      <w:r w:rsidR="001D45BC">
        <w:t>admission du risque de préjudice est bien plus délicate. Elle est conjoncturelle, relative et subjective ; elle fait appel à ce que le juge international considèrera comme éthique ou non éthique, dans un contexte donné. Or, le seuil de tolérabilité d</w:t>
      </w:r>
      <w:r w:rsidR="005431F2">
        <w:t>’</w:t>
      </w:r>
      <w:r w:rsidR="001D45BC">
        <w:t xml:space="preserve">un risque de violation de certains droits allégués, notamment </w:t>
      </w:r>
      <w:r w:rsidR="001D45BC">
        <w:lastRenderedPageBreak/>
        <w:t>lorsqu</w:t>
      </w:r>
      <w:r w:rsidR="005431F2">
        <w:t>’</w:t>
      </w:r>
      <w:r w:rsidR="001D45BC">
        <w:t>ils visent la protection de la population et de certains de ses droits fondamentaux, s</w:t>
      </w:r>
      <w:r w:rsidR="005431F2">
        <w:t>’</w:t>
      </w:r>
      <w:r w:rsidR="001D45BC">
        <w:t>avère actuellement bas à la Cour, ce dont il est loisible de se féliciter.</w:t>
      </w:r>
    </w:p>
    <w:p w14:paraId="46D9A044" w14:textId="77777777" w:rsidR="001D45BC" w:rsidRPr="001D45BC" w:rsidRDefault="001D45BC" w:rsidP="001D45BC">
      <w:pPr>
        <w:pStyle w:val="Paragraphedeliste"/>
        <w:spacing w:line="240" w:lineRule="auto"/>
        <w:rPr>
          <w:rFonts w:ascii="Times" w:hAnsi="Times"/>
          <w:szCs w:val="24"/>
        </w:rPr>
      </w:pPr>
    </w:p>
    <w:p w14:paraId="2768BC12" w14:textId="6E58968F" w:rsidR="005C128C" w:rsidRDefault="001D45BC" w:rsidP="001D45BC">
      <w:pPr>
        <w:pStyle w:val="Paragraphedeliste"/>
        <w:spacing w:line="240" w:lineRule="auto"/>
        <w:rPr>
          <w:rFonts w:ascii="Times" w:hAnsi="Times"/>
          <w:szCs w:val="24"/>
        </w:rPr>
      </w:pPr>
      <w:r w:rsidRPr="001D45BC">
        <w:rPr>
          <w:rFonts w:ascii="Times" w:hAnsi="Times"/>
          <w:szCs w:val="24"/>
        </w:rPr>
        <w:t>La Cour a eu l</w:t>
      </w:r>
      <w:r w:rsidR="005431F2">
        <w:rPr>
          <w:rFonts w:ascii="Times" w:hAnsi="Times"/>
          <w:szCs w:val="24"/>
        </w:rPr>
        <w:t>’</w:t>
      </w:r>
      <w:r w:rsidRPr="001D45BC">
        <w:rPr>
          <w:rFonts w:ascii="Times" w:hAnsi="Times"/>
          <w:szCs w:val="24"/>
        </w:rPr>
        <w:t>occasion de le confirmer dans l</w:t>
      </w:r>
      <w:r w:rsidR="005431F2">
        <w:rPr>
          <w:rFonts w:ascii="Times" w:hAnsi="Times"/>
          <w:szCs w:val="24"/>
        </w:rPr>
        <w:t>’</w:t>
      </w:r>
      <w:r w:rsidRPr="001D45BC">
        <w:rPr>
          <w:rFonts w:ascii="Times" w:hAnsi="Times"/>
          <w:szCs w:val="24"/>
        </w:rPr>
        <w:t xml:space="preserve">ordonnance </w:t>
      </w:r>
      <w:r w:rsidRPr="001D45BC">
        <w:rPr>
          <w:rFonts w:ascii="Times" w:hAnsi="Times"/>
          <w:i/>
          <w:iCs/>
          <w:szCs w:val="24"/>
        </w:rPr>
        <w:t>Qatar c. Émirats arabes unis</w:t>
      </w:r>
      <w:r w:rsidRPr="001D45BC">
        <w:rPr>
          <w:rFonts w:ascii="Times" w:hAnsi="Times"/>
          <w:szCs w:val="24"/>
        </w:rPr>
        <w:t>, en jugeant que</w:t>
      </w:r>
      <w:r w:rsidR="002F2333">
        <w:rPr>
          <w:rFonts w:ascii="Times" w:hAnsi="Times"/>
          <w:szCs w:val="24"/>
        </w:rPr>
        <w:t>,</w:t>
      </w:r>
      <w:r w:rsidRPr="001D45BC">
        <w:rPr>
          <w:rFonts w:ascii="Times" w:hAnsi="Times"/>
          <w:szCs w:val="24"/>
        </w:rPr>
        <w:t xml:space="preserve"> de son avis</w:t>
      </w:r>
      <w:r>
        <w:rPr>
          <w:rFonts w:ascii="Times" w:hAnsi="Times"/>
          <w:szCs w:val="24"/>
        </w:rPr>
        <w:t>, « </w:t>
      </w:r>
      <w:r w:rsidRPr="001D45BC">
        <w:rPr>
          <w:rFonts w:ascii="Times" w:hAnsi="Times"/>
          <w:szCs w:val="24"/>
        </w:rPr>
        <w:t>un préjudice peut être considéré comme irr</w:t>
      </w:r>
      <w:r>
        <w:rPr>
          <w:rFonts w:ascii="Times" w:hAnsi="Times"/>
          <w:szCs w:val="24"/>
        </w:rPr>
        <w:t>é</w:t>
      </w:r>
      <w:r w:rsidRPr="001D45BC">
        <w:rPr>
          <w:rFonts w:ascii="Times" w:hAnsi="Times"/>
          <w:szCs w:val="24"/>
        </w:rPr>
        <w:t>parable lorsqu</w:t>
      </w:r>
      <w:r w:rsidR="005431F2">
        <w:rPr>
          <w:rFonts w:ascii="Times" w:hAnsi="Times"/>
          <w:szCs w:val="24"/>
        </w:rPr>
        <w:t>’</w:t>
      </w:r>
      <w:r w:rsidRPr="001D45BC">
        <w:rPr>
          <w:rFonts w:ascii="Times" w:hAnsi="Times"/>
          <w:szCs w:val="24"/>
        </w:rPr>
        <w:t>il touche des personnes s</w:t>
      </w:r>
      <w:r>
        <w:rPr>
          <w:rFonts w:ascii="Times" w:hAnsi="Times"/>
          <w:szCs w:val="24"/>
        </w:rPr>
        <w:t>é</w:t>
      </w:r>
      <w:r w:rsidRPr="001D45BC">
        <w:rPr>
          <w:rFonts w:ascii="Times" w:hAnsi="Times"/>
          <w:szCs w:val="24"/>
        </w:rPr>
        <w:t>par</w:t>
      </w:r>
      <w:r>
        <w:rPr>
          <w:rFonts w:ascii="Times" w:hAnsi="Times"/>
          <w:szCs w:val="24"/>
        </w:rPr>
        <w:t>é</w:t>
      </w:r>
      <w:r w:rsidRPr="001D45BC">
        <w:rPr>
          <w:rFonts w:ascii="Times" w:hAnsi="Times"/>
          <w:szCs w:val="24"/>
        </w:rPr>
        <w:t>es de leur famille, de mani</w:t>
      </w:r>
      <w:r>
        <w:rPr>
          <w:rFonts w:ascii="Times" w:hAnsi="Times"/>
          <w:szCs w:val="24"/>
        </w:rPr>
        <w:t>è</w:t>
      </w:r>
      <w:r w:rsidRPr="001D45BC">
        <w:rPr>
          <w:rFonts w:ascii="Times" w:hAnsi="Times"/>
          <w:szCs w:val="24"/>
        </w:rPr>
        <w:t>re temporaire ou potentiellement continue, qui, de ce fait, endurent une souffrance psychologique ; lorsqu</w:t>
      </w:r>
      <w:r w:rsidR="005431F2">
        <w:rPr>
          <w:rFonts w:ascii="Times" w:hAnsi="Times"/>
          <w:szCs w:val="24"/>
        </w:rPr>
        <w:t>’</w:t>
      </w:r>
      <w:r w:rsidRPr="001D45BC">
        <w:rPr>
          <w:rFonts w:ascii="Times" w:hAnsi="Times"/>
          <w:szCs w:val="24"/>
        </w:rPr>
        <w:t xml:space="preserve">il touche des </w:t>
      </w:r>
      <w:r>
        <w:rPr>
          <w:rFonts w:ascii="Times" w:hAnsi="Times"/>
          <w:szCs w:val="24"/>
        </w:rPr>
        <w:t>é</w:t>
      </w:r>
      <w:r w:rsidRPr="001D45BC">
        <w:rPr>
          <w:rFonts w:ascii="Times" w:hAnsi="Times"/>
          <w:szCs w:val="24"/>
        </w:rPr>
        <w:t>l</w:t>
      </w:r>
      <w:r>
        <w:rPr>
          <w:rFonts w:ascii="Times" w:hAnsi="Times"/>
          <w:szCs w:val="24"/>
        </w:rPr>
        <w:t>è</w:t>
      </w:r>
      <w:r w:rsidRPr="001D45BC">
        <w:rPr>
          <w:rFonts w:ascii="Times" w:hAnsi="Times"/>
          <w:szCs w:val="24"/>
        </w:rPr>
        <w:t xml:space="preserve">ves ou </w:t>
      </w:r>
      <w:r>
        <w:rPr>
          <w:rFonts w:ascii="Times" w:hAnsi="Times"/>
          <w:szCs w:val="24"/>
        </w:rPr>
        <w:t>é</w:t>
      </w:r>
      <w:r w:rsidRPr="001D45BC">
        <w:rPr>
          <w:rFonts w:ascii="Times" w:hAnsi="Times"/>
          <w:szCs w:val="24"/>
        </w:rPr>
        <w:t>tudiants qui sont emp</w:t>
      </w:r>
      <w:r>
        <w:rPr>
          <w:rFonts w:ascii="Times" w:hAnsi="Times"/>
          <w:szCs w:val="24"/>
        </w:rPr>
        <w:t>ê</w:t>
      </w:r>
      <w:r w:rsidRPr="001D45BC">
        <w:rPr>
          <w:rFonts w:ascii="Times" w:hAnsi="Times"/>
          <w:szCs w:val="24"/>
        </w:rPr>
        <w:t>ch</w:t>
      </w:r>
      <w:r>
        <w:rPr>
          <w:rFonts w:ascii="Times" w:hAnsi="Times"/>
          <w:szCs w:val="24"/>
        </w:rPr>
        <w:t>é</w:t>
      </w:r>
      <w:r w:rsidRPr="001D45BC">
        <w:rPr>
          <w:rFonts w:ascii="Times" w:hAnsi="Times"/>
          <w:szCs w:val="24"/>
        </w:rPr>
        <w:t>s de se pr</w:t>
      </w:r>
      <w:r>
        <w:rPr>
          <w:rFonts w:ascii="Times" w:hAnsi="Times"/>
          <w:szCs w:val="24"/>
        </w:rPr>
        <w:t>é</w:t>
      </w:r>
      <w:r w:rsidRPr="001D45BC">
        <w:rPr>
          <w:rFonts w:ascii="Times" w:hAnsi="Times"/>
          <w:szCs w:val="24"/>
        </w:rPr>
        <w:t>sente</w:t>
      </w:r>
      <w:r>
        <w:rPr>
          <w:rFonts w:ascii="Times" w:hAnsi="Times"/>
          <w:szCs w:val="24"/>
        </w:rPr>
        <w:t xml:space="preserve">r à </w:t>
      </w:r>
      <w:r w:rsidRPr="001D45BC">
        <w:rPr>
          <w:rFonts w:ascii="Times" w:hAnsi="Times"/>
          <w:szCs w:val="24"/>
        </w:rPr>
        <w:t>des examens parce qu</w:t>
      </w:r>
      <w:r w:rsidR="005431F2">
        <w:rPr>
          <w:rFonts w:ascii="Times" w:hAnsi="Times"/>
          <w:szCs w:val="24"/>
        </w:rPr>
        <w:t>’</w:t>
      </w:r>
      <w:r w:rsidRPr="001D45BC">
        <w:rPr>
          <w:rFonts w:ascii="Times" w:hAnsi="Times"/>
          <w:szCs w:val="24"/>
        </w:rPr>
        <w:t xml:space="preserve">ils ont </w:t>
      </w:r>
      <w:r>
        <w:rPr>
          <w:rFonts w:ascii="Times" w:hAnsi="Times"/>
          <w:szCs w:val="24"/>
        </w:rPr>
        <w:t>é</w:t>
      </w:r>
      <w:r w:rsidRPr="001D45BC">
        <w:rPr>
          <w:rFonts w:ascii="Times" w:hAnsi="Times"/>
          <w:szCs w:val="24"/>
        </w:rPr>
        <w:t>t</w:t>
      </w:r>
      <w:r>
        <w:rPr>
          <w:rFonts w:ascii="Times" w:hAnsi="Times"/>
          <w:szCs w:val="24"/>
        </w:rPr>
        <w:t>é</w:t>
      </w:r>
      <w:r w:rsidRPr="001D45BC">
        <w:rPr>
          <w:rFonts w:ascii="Times" w:hAnsi="Times"/>
          <w:szCs w:val="24"/>
        </w:rPr>
        <w:t xml:space="preserve"> oblig</w:t>
      </w:r>
      <w:r>
        <w:rPr>
          <w:rFonts w:ascii="Times" w:hAnsi="Times"/>
          <w:szCs w:val="24"/>
        </w:rPr>
        <w:t>é</w:t>
      </w:r>
      <w:r w:rsidRPr="001D45BC">
        <w:rPr>
          <w:rFonts w:ascii="Times" w:hAnsi="Times"/>
          <w:szCs w:val="24"/>
        </w:rPr>
        <w:t>s de partir ou qui ne peuvent poursuivre leurs études</w:t>
      </w:r>
      <w:r>
        <w:rPr>
          <w:rFonts w:ascii="Times" w:hAnsi="Times"/>
          <w:szCs w:val="24"/>
        </w:rPr>
        <w:t xml:space="preserve"> </w:t>
      </w:r>
      <w:r w:rsidRPr="001D45BC">
        <w:rPr>
          <w:rFonts w:ascii="Times" w:hAnsi="Times"/>
          <w:szCs w:val="24"/>
        </w:rPr>
        <w:t>parce que les écoles ou universités refusent de leur communiquer leur dossier scolaire ou universitaire ; et lorsqu</w:t>
      </w:r>
      <w:r w:rsidR="005431F2">
        <w:rPr>
          <w:rFonts w:ascii="Times" w:hAnsi="Times"/>
          <w:szCs w:val="24"/>
        </w:rPr>
        <w:t>’</w:t>
      </w:r>
      <w:r w:rsidRPr="001D45BC">
        <w:rPr>
          <w:rFonts w:ascii="Times" w:hAnsi="Times"/>
          <w:szCs w:val="24"/>
        </w:rPr>
        <w:t>il touche des personnes qui sont empêchées de comparaître dans le cadre d</w:t>
      </w:r>
      <w:r w:rsidR="005431F2">
        <w:rPr>
          <w:rFonts w:ascii="Times" w:hAnsi="Times"/>
          <w:szCs w:val="24"/>
        </w:rPr>
        <w:t>’</w:t>
      </w:r>
      <w:r w:rsidRPr="001D45BC">
        <w:rPr>
          <w:rFonts w:ascii="Times" w:hAnsi="Times"/>
          <w:szCs w:val="24"/>
        </w:rPr>
        <w:t>une procédure ou de contester toute mesure qu</w:t>
      </w:r>
      <w:r w:rsidR="005431F2">
        <w:rPr>
          <w:rFonts w:ascii="Times" w:hAnsi="Times"/>
          <w:szCs w:val="24"/>
        </w:rPr>
        <w:t>’</w:t>
      </w:r>
      <w:r w:rsidRPr="001D45BC">
        <w:rPr>
          <w:rFonts w:ascii="Times" w:hAnsi="Times"/>
          <w:szCs w:val="24"/>
        </w:rPr>
        <w:t>elles jugent discriminatoire</w:t>
      </w:r>
      <w:r>
        <w:rPr>
          <w:rFonts w:ascii="Times" w:hAnsi="Times"/>
          <w:szCs w:val="24"/>
        </w:rPr>
        <w:t> »</w:t>
      </w:r>
      <w:r>
        <w:rPr>
          <w:rStyle w:val="Appelnotedebasdep"/>
          <w:rFonts w:ascii="Times" w:hAnsi="Times"/>
          <w:szCs w:val="24"/>
        </w:rPr>
        <w:footnoteReference w:id="63"/>
      </w:r>
      <w:r>
        <w:rPr>
          <w:rFonts w:ascii="Times" w:hAnsi="Times"/>
          <w:szCs w:val="24"/>
        </w:rPr>
        <w:t>.</w:t>
      </w:r>
      <w:r w:rsidR="002F2333">
        <w:rPr>
          <w:rFonts w:ascii="Times" w:hAnsi="Times"/>
          <w:szCs w:val="24"/>
        </w:rPr>
        <w:t xml:space="preserve"> </w:t>
      </w:r>
      <w:r w:rsidR="00A60B5A">
        <w:rPr>
          <w:rFonts w:ascii="Times" w:hAnsi="Times"/>
          <w:szCs w:val="24"/>
        </w:rPr>
        <w:t>De manière encore plus large, la Cour considère dans l</w:t>
      </w:r>
      <w:r w:rsidR="005431F2">
        <w:rPr>
          <w:rFonts w:ascii="Times" w:hAnsi="Times"/>
          <w:szCs w:val="24"/>
        </w:rPr>
        <w:t>’</w:t>
      </w:r>
      <w:r w:rsidR="00A60B5A">
        <w:rPr>
          <w:rFonts w:ascii="Times" w:hAnsi="Times"/>
          <w:szCs w:val="24"/>
        </w:rPr>
        <w:t xml:space="preserve">ordonnance </w:t>
      </w:r>
      <w:r w:rsidR="00A60B5A">
        <w:rPr>
          <w:rFonts w:ascii="Times" w:hAnsi="Times"/>
          <w:i/>
          <w:iCs/>
          <w:szCs w:val="24"/>
        </w:rPr>
        <w:t>Iran c. États-Unis</w:t>
      </w:r>
      <w:r w:rsidR="00A60B5A">
        <w:rPr>
          <w:rFonts w:ascii="Times" w:hAnsi="Times"/>
          <w:szCs w:val="24"/>
        </w:rPr>
        <w:t xml:space="preserve"> « qu</w:t>
      </w:r>
      <w:r w:rsidR="005431F2">
        <w:rPr>
          <w:rFonts w:ascii="Times" w:hAnsi="Times"/>
          <w:szCs w:val="24"/>
        </w:rPr>
        <w:t>’</w:t>
      </w:r>
      <w:r w:rsidR="00A60B5A">
        <w:rPr>
          <w:rFonts w:ascii="Times" w:hAnsi="Times"/>
          <w:szCs w:val="24"/>
        </w:rPr>
        <w:t>un préjudice peut être considéré comme irréparable lorsque la santé et la vie des personnes concernées est mise en danger »</w:t>
      </w:r>
      <w:r w:rsidR="00A60B5A">
        <w:rPr>
          <w:rStyle w:val="Appelnotedebasdep"/>
          <w:rFonts w:ascii="Times" w:hAnsi="Times"/>
          <w:szCs w:val="24"/>
        </w:rPr>
        <w:footnoteReference w:id="64"/>
      </w:r>
      <w:r w:rsidR="00A60B5A">
        <w:rPr>
          <w:rFonts w:ascii="Times" w:hAnsi="Times"/>
          <w:szCs w:val="24"/>
        </w:rPr>
        <w:t>. Cette dernière évolution assouplit plus encore le critère qu</w:t>
      </w:r>
      <w:r w:rsidR="005431F2">
        <w:rPr>
          <w:rFonts w:ascii="Times" w:hAnsi="Times"/>
          <w:szCs w:val="24"/>
        </w:rPr>
        <w:t>’</w:t>
      </w:r>
      <w:r w:rsidR="00A60B5A">
        <w:rPr>
          <w:rFonts w:ascii="Times" w:hAnsi="Times"/>
          <w:szCs w:val="24"/>
        </w:rPr>
        <w:t>il n</w:t>
      </w:r>
      <w:r w:rsidR="005431F2">
        <w:rPr>
          <w:rFonts w:ascii="Times" w:hAnsi="Times"/>
          <w:szCs w:val="24"/>
        </w:rPr>
        <w:t>’</w:t>
      </w:r>
      <w:r w:rsidR="00A60B5A">
        <w:rPr>
          <w:rFonts w:ascii="Times" w:hAnsi="Times"/>
          <w:szCs w:val="24"/>
        </w:rPr>
        <w:t>y paraît. Non seulement la formulation de l</w:t>
      </w:r>
      <w:r w:rsidR="005431F2">
        <w:rPr>
          <w:rFonts w:ascii="Times" w:hAnsi="Times"/>
          <w:szCs w:val="24"/>
        </w:rPr>
        <w:t>’</w:t>
      </w:r>
      <w:r w:rsidR="00A60B5A">
        <w:rPr>
          <w:rFonts w:ascii="Times" w:hAnsi="Times"/>
          <w:szCs w:val="24"/>
        </w:rPr>
        <w:t xml:space="preserve">ordonnance </w:t>
      </w:r>
      <w:r w:rsidR="00A60B5A">
        <w:rPr>
          <w:rFonts w:ascii="Times" w:hAnsi="Times"/>
          <w:i/>
          <w:iCs/>
          <w:szCs w:val="24"/>
        </w:rPr>
        <w:t>Iran c. États-Unis</w:t>
      </w:r>
      <w:r w:rsidR="00A60B5A">
        <w:rPr>
          <w:rFonts w:ascii="Times" w:hAnsi="Times"/>
          <w:szCs w:val="24"/>
        </w:rPr>
        <w:t xml:space="preserve"> ne s</w:t>
      </w:r>
      <w:r w:rsidR="005431F2">
        <w:rPr>
          <w:rFonts w:ascii="Times" w:hAnsi="Times"/>
          <w:szCs w:val="24"/>
        </w:rPr>
        <w:t>’</w:t>
      </w:r>
      <w:r w:rsidR="00A60B5A">
        <w:rPr>
          <w:rFonts w:ascii="Times" w:hAnsi="Times"/>
          <w:szCs w:val="24"/>
        </w:rPr>
        <w:t>inscrit pas dans une énumération potentiellement restrictive, mais en outre elle ouvre le champ du préjudice irréparable aux conséquences d</w:t>
      </w:r>
      <w:r w:rsidR="005431F2">
        <w:rPr>
          <w:rFonts w:ascii="Times" w:hAnsi="Times"/>
          <w:szCs w:val="24"/>
        </w:rPr>
        <w:t>’</w:t>
      </w:r>
      <w:r w:rsidR="00A60B5A">
        <w:rPr>
          <w:rFonts w:ascii="Times" w:hAnsi="Times"/>
          <w:szCs w:val="24"/>
        </w:rPr>
        <w:t>une action ou d</w:t>
      </w:r>
      <w:r w:rsidR="005431F2">
        <w:rPr>
          <w:rFonts w:ascii="Times" w:hAnsi="Times"/>
          <w:szCs w:val="24"/>
        </w:rPr>
        <w:t>’</w:t>
      </w:r>
      <w:r w:rsidR="00A60B5A">
        <w:rPr>
          <w:rFonts w:ascii="Times" w:hAnsi="Times"/>
          <w:szCs w:val="24"/>
        </w:rPr>
        <w:t xml:space="preserve">une omission sur les ressortissants </w:t>
      </w:r>
      <w:r w:rsidR="0050337B">
        <w:rPr>
          <w:rFonts w:ascii="Times" w:hAnsi="Times"/>
          <w:szCs w:val="24"/>
        </w:rPr>
        <w:t>de l</w:t>
      </w:r>
      <w:r w:rsidR="005431F2">
        <w:rPr>
          <w:rFonts w:ascii="Times" w:hAnsi="Times"/>
          <w:szCs w:val="24"/>
        </w:rPr>
        <w:t>’</w:t>
      </w:r>
      <w:r w:rsidR="0050337B">
        <w:rPr>
          <w:rFonts w:ascii="Times" w:hAnsi="Times"/>
          <w:szCs w:val="24"/>
        </w:rPr>
        <w:t>État demandeur, et non seulement sur ses droits allégués</w:t>
      </w:r>
      <w:r w:rsidR="0050337B">
        <w:rPr>
          <w:rStyle w:val="Appelnotedebasdep"/>
          <w:rFonts w:ascii="Times" w:hAnsi="Times"/>
          <w:szCs w:val="24"/>
        </w:rPr>
        <w:footnoteReference w:id="65"/>
      </w:r>
      <w:r w:rsidR="0050337B">
        <w:rPr>
          <w:rFonts w:ascii="Times" w:hAnsi="Times"/>
          <w:szCs w:val="24"/>
        </w:rPr>
        <w:t>. Plus encore, elle s</w:t>
      </w:r>
      <w:r w:rsidR="005431F2">
        <w:rPr>
          <w:rFonts w:ascii="Times" w:hAnsi="Times"/>
          <w:szCs w:val="24"/>
        </w:rPr>
        <w:t>’</w:t>
      </w:r>
      <w:r w:rsidR="0050337B">
        <w:rPr>
          <w:rFonts w:ascii="Times" w:hAnsi="Times"/>
          <w:szCs w:val="24"/>
        </w:rPr>
        <w:t xml:space="preserve">étend </w:t>
      </w:r>
      <w:r w:rsidR="006F7FC1">
        <w:rPr>
          <w:rFonts w:ascii="Times" w:hAnsi="Times"/>
          <w:szCs w:val="24"/>
        </w:rPr>
        <w:t>dans</w:t>
      </w:r>
      <w:r w:rsidR="0050337B">
        <w:rPr>
          <w:rFonts w:ascii="Times" w:hAnsi="Times"/>
          <w:szCs w:val="24"/>
        </w:rPr>
        <w:t xml:space="preserve"> cette affaire à toutes les personnes « se trouvant sur le territoir</w:t>
      </w:r>
      <w:r w:rsidR="006F7FC1">
        <w:rPr>
          <w:rFonts w:ascii="Times" w:hAnsi="Times"/>
          <w:szCs w:val="24"/>
        </w:rPr>
        <w:t>e</w:t>
      </w:r>
      <w:r w:rsidR="0050337B">
        <w:rPr>
          <w:rFonts w:ascii="Times" w:hAnsi="Times"/>
          <w:szCs w:val="24"/>
        </w:rPr>
        <w:t xml:space="preserve"> iranien »</w:t>
      </w:r>
      <w:r w:rsidR="0050337B">
        <w:rPr>
          <w:rStyle w:val="Appelnotedebasdep"/>
          <w:rFonts w:ascii="Times" w:hAnsi="Times"/>
          <w:szCs w:val="24"/>
        </w:rPr>
        <w:footnoteReference w:id="66"/>
      </w:r>
      <w:r w:rsidR="006F7FC1">
        <w:rPr>
          <w:rFonts w:ascii="Times" w:hAnsi="Times"/>
          <w:szCs w:val="24"/>
        </w:rPr>
        <w:t>, sans se limiter aux ressortissants de l</w:t>
      </w:r>
      <w:r w:rsidR="005431F2">
        <w:rPr>
          <w:rFonts w:ascii="Times" w:hAnsi="Times"/>
          <w:szCs w:val="24"/>
        </w:rPr>
        <w:t>’</w:t>
      </w:r>
      <w:r w:rsidR="006F7FC1">
        <w:rPr>
          <w:rFonts w:ascii="Times" w:hAnsi="Times"/>
          <w:szCs w:val="24"/>
        </w:rPr>
        <w:t>État demandeur. Autrement dit, il est à la suite de cette ordonnance possible, sous réserve des autres critères, de requérir des mesures conservatoires pour protéger toute personne située sur son territoire d</w:t>
      </w:r>
      <w:r w:rsidR="005431F2">
        <w:rPr>
          <w:rFonts w:ascii="Times" w:hAnsi="Times"/>
          <w:szCs w:val="24"/>
        </w:rPr>
        <w:t>’</w:t>
      </w:r>
      <w:r w:rsidR="006F7FC1">
        <w:rPr>
          <w:rFonts w:ascii="Times" w:hAnsi="Times"/>
          <w:szCs w:val="24"/>
        </w:rPr>
        <w:t>un préjudice susceptible d</w:t>
      </w:r>
      <w:r w:rsidR="005431F2">
        <w:rPr>
          <w:rFonts w:ascii="Times" w:hAnsi="Times"/>
          <w:szCs w:val="24"/>
        </w:rPr>
        <w:t>’</w:t>
      </w:r>
      <w:r w:rsidR="006F7FC1">
        <w:rPr>
          <w:rFonts w:ascii="Times" w:hAnsi="Times"/>
          <w:szCs w:val="24"/>
        </w:rPr>
        <w:t>affecter leur santé ou leur vie.</w:t>
      </w:r>
    </w:p>
    <w:p w14:paraId="2D0C4ECB" w14:textId="4C377D63" w:rsidR="006F7FC1" w:rsidRDefault="006F7FC1" w:rsidP="001D45BC">
      <w:pPr>
        <w:pStyle w:val="Paragraphedeliste"/>
        <w:spacing w:line="240" w:lineRule="auto"/>
        <w:rPr>
          <w:rFonts w:ascii="Times" w:hAnsi="Times"/>
          <w:szCs w:val="24"/>
        </w:rPr>
      </w:pPr>
    </w:p>
    <w:p w14:paraId="07D22F49" w14:textId="668F3D02" w:rsidR="006F7FC1" w:rsidRDefault="00D06E28" w:rsidP="001D45BC">
      <w:pPr>
        <w:pStyle w:val="Paragraphedeliste"/>
        <w:spacing w:line="240" w:lineRule="auto"/>
        <w:rPr>
          <w:rFonts w:ascii="Times" w:hAnsi="Times"/>
          <w:szCs w:val="24"/>
        </w:rPr>
      </w:pPr>
      <w:r>
        <w:rPr>
          <w:rFonts w:ascii="Times" w:hAnsi="Times"/>
          <w:szCs w:val="24"/>
        </w:rPr>
        <w:t>D</w:t>
      </w:r>
      <w:r w:rsidR="006F7FC1">
        <w:rPr>
          <w:rFonts w:ascii="Times" w:hAnsi="Times"/>
          <w:szCs w:val="24"/>
        </w:rPr>
        <w:t>epuis cette succession de jurisprudences que ne remet pas en cause l</w:t>
      </w:r>
      <w:r w:rsidR="005431F2">
        <w:rPr>
          <w:rFonts w:ascii="Times" w:hAnsi="Times"/>
          <w:szCs w:val="24"/>
        </w:rPr>
        <w:t>’</w:t>
      </w:r>
      <w:r w:rsidR="006F7FC1">
        <w:rPr>
          <w:rFonts w:ascii="Times" w:hAnsi="Times"/>
          <w:szCs w:val="24"/>
        </w:rPr>
        <w:t xml:space="preserve">ordonnance </w:t>
      </w:r>
      <w:r w:rsidR="006F7FC1">
        <w:rPr>
          <w:rFonts w:ascii="Times" w:hAnsi="Times"/>
          <w:i/>
          <w:iCs/>
          <w:szCs w:val="24"/>
        </w:rPr>
        <w:t xml:space="preserve">Gambie c. Myanmar </w:t>
      </w:r>
      <w:r w:rsidR="006F7FC1">
        <w:rPr>
          <w:rFonts w:ascii="Times" w:hAnsi="Times"/>
          <w:szCs w:val="24"/>
        </w:rPr>
        <w:t>survenue depuis</w:t>
      </w:r>
      <w:r w:rsidR="001303F0">
        <w:rPr>
          <w:rStyle w:val="Appelnotedebasdep"/>
          <w:rFonts w:ascii="Times" w:hAnsi="Times"/>
          <w:szCs w:val="24"/>
        </w:rPr>
        <w:footnoteReference w:id="67"/>
      </w:r>
      <w:r w:rsidR="006F7FC1">
        <w:rPr>
          <w:rFonts w:ascii="Times" w:hAnsi="Times"/>
          <w:szCs w:val="24"/>
        </w:rPr>
        <w:t>,</w:t>
      </w:r>
      <w:r>
        <w:rPr>
          <w:rFonts w:ascii="Times" w:hAnsi="Times"/>
          <w:szCs w:val="24"/>
        </w:rPr>
        <w:t xml:space="preserve"> peu de préjudices sont susceptibles de ne pas être considérés comme « irréparables » par la Cour.</w:t>
      </w:r>
      <w:r w:rsidR="006E2B32">
        <w:rPr>
          <w:rFonts w:ascii="Times" w:hAnsi="Times"/>
          <w:szCs w:val="24"/>
        </w:rPr>
        <w:t xml:space="preserve"> Rappelant sa jurisprudence récente selon laquelle « la détresse psychologique, comme les sévices, peut causer un préjudice irréparable »</w:t>
      </w:r>
      <w:r w:rsidR="006E2B32">
        <w:rPr>
          <w:rStyle w:val="Appelnotedebasdep"/>
          <w:rFonts w:ascii="Times" w:hAnsi="Times"/>
          <w:szCs w:val="24"/>
        </w:rPr>
        <w:footnoteReference w:id="68"/>
      </w:r>
      <w:r w:rsidR="006E2B32">
        <w:rPr>
          <w:rFonts w:ascii="Times" w:hAnsi="Times"/>
          <w:szCs w:val="24"/>
        </w:rPr>
        <w:t xml:space="preserve">, </w:t>
      </w:r>
      <w:r w:rsidR="00B053A9">
        <w:rPr>
          <w:rFonts w:ascii="Times" w:hAnsi="Times"/>
          <w:szCs w:val="24"/>
        </w:rPr>
        <w:t>la Cour</w:t>
      </w:r>
      <w:r w:rsidR="006E2B32">
        <w:rPr>
          <w:rFonts w:ascii="Times" w:hAnsi="Times"/>
          <w:szCs w:val="24"/>
        </w:rPr>
        <w:t xml:space="preserve"> considère</w:t>
      </w:r>
      <w:r w:rsidR="00B053A9">
        <w:rPr>
          <w:rFonts w:ascii="Times" w:hAnsi="Times"/>
          <w:szCs w:val="24"/>
        </w:rPr>
        <w:t xml:space="preserve"> dans l</w:t>
      </w:r>
      <w:r w:rsidR="005431F2">
        <w:rPr>
          <w:rFonts w:ascii="Times" w:hAnsi="Times"/>
          <w:szCs w:val="24"/>
        </w:rPr>
        <w:t>’</w:t>
      </w:r>
      <w:r w:rsidR="00B053A9">
        <w:rPr>
          <w:rFonts w:ascii="Times" w:hAnsi="Times"/>
          <w:szCs w:val="24"/>
        </w:rPr>
        <w:t xml:space="preserve">ordonnance </w:t>
      </w:r>
      <w:r w:rsidR="00B053A9">
        <w:rPr>
          <w:rFonts w:ascii="Times" w:hAnsi="Times"/>
          <w:i/>
          <w:iCs/>
          <w:szCs w:val="24"/>
        </w:rPr>
        <w:t>Arménie c. Azerbaïdjan</w:t>
      </w:r>
      <w:r w:rsidR="006E2B32">
        <w:rPr>
          <w:rFonts w:ascii="Times" w:hAnsi="Times"/>
          <w:szCs w:val="24"/>
        </w:rPr>
        <w:t xml:space="preserve"> que la propagande et l</w:t>
      </w:r>
      <w:r w:rsidR="005431F2">
        <w:rPr>
          <w:rFonts w:ascii="Times" w:hAnsi="Times"/>
          <w:szCs w:val="24"/>
        </w:rPr>
        <w:t>’</w:t>
      </w:r>
      <w:r w:rsidR="006E2B32">
        <w:rPr>
          <w:rFonts w:ascii="Times" w:hAnsi="Times"/>
          <w:szCs w:val="24"/>
        </w:rPr>
        <w:t>incitation encourageant la haine raciale « peuvent propager dans la société un climat imprégné de racisme »</w:t>
      </w:r>
      <w:r w:rsidR="006E2B32">
        <w:rPr>
          <w:rStyle w:val="Appelnotedebasdep"/>
          <w:rFonts w:ascii="Times" w:hAnsi="Times"/>
          <w:szCs w:val="24"/>
        </w:rPr>
        <w:footnoteReference w:id="69"/>
      </w:r>
      <w:r w:rsidR="006E2B32">
        <w:rPr>
          <w:rFonts w:ascii="Times" w:hAnsi="Times"/>
          <w:szCs w:val="24"/>
        </w:rPr>
        <w:t> ; or cette « situation pourrait avoir de graves effets préjudiciables sur les personnes appartenant au groupe protégé »</w:t>
      </w:r>
      <w:r w:rsidR="006E2B32">
        <w:rPr>
          <w:rStyle w:val="Appelnotedebasdep"/>
          <w:rFonts w:ascii="Times" w:hAnsi="Times"/>
          <w:szCs w:val="24"/>
        </w:rPr>
        <w:footnoteReference w:id="70"/>
      </w:r>
      <w:r w:rsidR="006E2B32">
        <w:rPr>
          <w:rFonts w:ascii="Times" w:hAnsi="Times"/>
          <w:szCs w:val="24"/>
        </w:rPr>
        <w:t xml:space="preserve"> – comme une détresse psychologique ou des sévices.</w:t>
      </w:r>
      <w:r w:rsidR="00B053A9">
        <w:rPr>
          <w:rFonts w:ascii="Times" w:hAnsi="Times"/>
          <w:szCs w:val="24"/>
        </w:rPr>
        <w:t xml:space="preserve"> Elle reprend le même raisonnement dans l</w:t>
      </w:r>
      <w:r w:rsidR="005431F2">
        <w:rPr>
          <w:rFonts w:ascii="Times" w:hAnsi="Times"/>
          <w:szCs w:val="24"/>
        </w:rPr>
        <w:t>’</w:t>
      </w:r>
      <w:r w:rsidR="00B053A9">
        <w:rPr>
          <w:rFonts w:ascii="Times" w:hAnsi="Times"/>
          <w:szCs w:val="24"/>
        </w:rPr>
        <w:t xml:space="preserve">ordonnance </w:t>
      </w:r>
      <w:r w:rsidR="00B053A9">
        <w:rPr>
          <w:rFonts w:ascii="Times" w:hAnsi="Times"/>
          <w:i/>
          <w:iCs/>
          <w:szCs w:val="24"/>
        </w:rPr>
        <w:t>Arménie c. Azerbaïdjan</w:t>
      </w:r>
      <w:r w:rsidR="00B053A9" w:rsidRPr="00B053A9">
        <w:rPr>
          <w:rStyle w:val="Appelnotedebasdep"/>
          <w:rFonts w:ascii="Times" w:hAnsi="Times"/>
          <w:szCs w:val="24"/>
        </w:rPr>
        <w:footnoteReference w:id="71"/>
      </w:r>
      <w:r w:rsidR="00B053A9" w:rsidRPr="00B053A9">
        <w:rPr>
          <w:rFonts w:ascii="Times" w:hAnsi="Times"/>
          <w:szCs w:val="24"/>
        </w:rPr>
        <w:t>.</w:t>
      </w:r>
    </w:p>
    <w:p w14:paraId="41AA3D17" w14:textId="3AF66490" w:rsidR="00B053A9" w:rsidRDefault="00B053A9" w:rsidP="001D45BC">
      <w:pPr>
        <w:pStyle w:val="Paragraphedeliste"/>
        <w:spacing w:line="240" w:lineRule="auto"/>
        <w:rPr>
          <w:rFonts w:ascii="Times" w:hAnsi="Times"/>
          <w:szCs w:val="24"/>
        </w:rPr>
      </w:pPr>
    </w:p>
    <w:p w14:paraId="197CAD8D" w14:textId="61EF446D" w:rsidR="00B053A9" w:rsidRPr="00672D70" w:rsidRDefault="00B053A9" w:rsidP="001D45BC">
      <w:pPr>
        <w:pStyle w:val="Paragraphedeliste"/>
        <w:spacing w:line="240" w:lineRule="auto"/>
        <w:rPr>
          <w:rFonts w:ascii="Times" w:hAnsi="Times"/>
          <w:szCs w:val="24"/>
        </w:rPr>
      </w:pPr>
      <w:r>
        <w:rPr>
          <w:rFonts w:ascii="Times" w:hAnsi="Times"/>
          <w:szCs w:val="24"/>
        </w:rPr>
        <w:t>À la lecture des ordonnances récentes, il y a lieu de se demander si le maintien du terme « irréparable » est justifié. Certes, il est difficile de « réparer » un préjudice moral comme physique</w:t>
      </w:r>
      <w:r w:rsidR="00956887">
        <w:rPr>
          <w:rFonts w:ascii="Times" w:hAnsi="Times"/>
          <w:szCs w:val="24"/>
        </w:rPr>
        <w:t> ; cependant, une réparation par équivalent est bien souvent possible, de sorte qu</w:t>
      </w:r>
      <w:r w:rsidR="005431F2">
        <w:rPr>
          <w:rFonts w:ascii="Times" w:hAnsi="Times"/>
          <w:szCs w:val="24"/>
        </w:rPr>
        <w:t>’</w:t>
      </w:r>
      <w:r w:rsidR="00956887">
        <w:rPr>
          <w:rFonts w:ascii="Times" w:hAnsi="Times"/>
          <w:szCs w:val="24"/>
        </w:rPr>
        <w:t xml:space="preserve">une </w:t>
      </w:r>
      <w:r w:rsidR="00956887">
        <w:rPr>
          <w:rFonts w:ascii="Times" w:hAnsi="Times"/>
          <w:szCs w:val="24"/>
        </w:rPr>
        <w:lastRenderedPageBreak/>
        <w:t>interprétation stricte de l</w:t>
      </w:r>
      <w:r w:rsidR="005431F2">
        <w:rPr>
          <w:rFonts w:ascii="Times" w:hAnsi="Times"/>
          <w:szCs w:val="24"/>
        </w:rPr>
        <w:t>’</w:t>
      </w:r>
      <w:r w:rsidR="00956887">
        <w:rPr>
          <w:rFonts w:ascii="Times" w:hAnsi="Times"/>
          <w:szCs w:val="24"/>
        </w:rPr>
        <w:t>irréparabilité reviendrait en pratique à rejeter la plupart des demandes d</w:t>
      </w:r>
      <w:r w:rsidR="005431F2">
        <w:rPr>
          <w:rFonts w:ascii="Times" w:hAnsi="Times"/>
          <w:szCs w:val="24"/>
        </w:rPr>
        <w:t>’</w:t>
      </w:r>
      <w:r w:rsidR="00956887">
        <w:rPr>
          <w:rFonts w:ascii="Times" w:hAnsi="Times"/>
          <w:szCs w:val="24"/>
        </w:rPr>
        <w:t>indication de mesures conservatoires. D</w:t>
      </w:r>
      <w:r w:rsidR="005431F2">
        <w:rPr>
          <w:rFonts w:ascii="Times" w:hAnsi="Times"/>
          <w:szCs w:val="24"/>
        </w:rPr>
        <w:t>’</w:t>
      </w:r>
      <w:r w:rsidR="00956887">
        <w:rPr>
          <w:rFonts w:ascii="Times" w:hAnsi="Times"/>
          <w:szCs w:val="24"/>
        </w:rPr>
        <w:t>ailleurs, la Cour permanente de justice internationale a rapidement abandonné une telle interprétation</w:t>
      </w:r>
      <w:r w:rsidR="00956887">
        <w:rPr>
          <w:rStyle w:val="Appelnotedebasdep"/>
          <w:rFonts w:ascii="Times" w:hAnsi="Times"/>
          <w:szCs w:val="24"/>
        </w:rPr>
        <w:footnoteReference w:id="72"/>
      </w:r>
      <w:r>
        <w:rPr>
          <w:rFonts w:ascii="Times" w:hAnsi="Times"/>
          <w:szCs w:val="24"/>
        </w:rPr>
        <w:t xml:space="preserve">. </w:t>
      </w:r>
      <w:r w:rsidR="00672D70">
        <w:rPr>
          <w:rFonts w:ascii="Times" w:hAnsi="Times"/>
          <w:szCs w:val="24"/>
        </w:rPr>
        <w:t>I</w:t>
      </w:r>
      <w:r>
        <w:rPr>
          <w:rFonts w:ascii="Times" w:hAnsi="Times"/>
          <w:szCs w:val="24"/>
        </w:rPr>
        <w:t>l est</w:t>
      </w:r>
      <w:r w:rsidR="00672D70">
        <w:rPr>
          <w:rFonts w:ascii="Times" w:hAnsi="Times"/>
          <w:szCs w:val="24"/>
        </w:rPr>
        <w:t xml:space="preserve"> en tout état de cause</w:t>
      </w:r>
      <w:r>
        <w:rPr>
          <w:rFonts w:ascii="Times" w:hAnsi="Times"/>
          <w:szCs w:val="24"/>
        </w:rPr>
        <w:t xml:space="preserve"> manifeste que le mot « irréparable »</w:t>
      </w:r>
      <w:r w:rsidR="00672D70">
        <w:rPr>
          <w:rFonts w:ascii="Times" w:hAnsi="Times"/>
          <w:szCs w:val="24"/>
        </w:rPr>
        <w:t>, si bien établi dans la jurisprudence de la Cour qu</w:t>
      </w:r>
      <w:r w:rsidR="005431F2">
        <w:rPr>
          <w:rFonts w:ascii="Times" w:hAnsi="Times"/>
          <w:szCs w:val="24"/>
        </w:rPr>
        <w:t>’</w:t>
      </w:r>
      <w:r w:rsidR="00672D70">
        <w:rPr>
          <w:rFonts w:ascii="Times" w:hAnsi="Times"/>
          <w:szCs w:val="24"/>
        </w:rPr>
        <w:t>il serait délicat de lui substituer</w:t>
      </w:r>
      <w:r>
        <w:rPr>
          <w:rFonts w:ascii="Times" w:hAnsi="Times"/>
          <w:szCs w:val="24"/>
        </w:rPr>
        <w:t xml:space="preserve"> </w:t>
      </w:r>
      <w:r w:rsidR="00672D70">
        <w:rPr>
          <w:rFonts w:ascii="Times" w:hAnsi="Times"/>
          <w:szCs w:val="24"/>
        </w:rPr>
        <w:t>un nouveau qualificatif</w:t>
      </w:r>
      <w:r w:rsidR="008156C0">
        <w:rPr>
          <w:rFonts w:ascii="Times" w:hAnsi="Times"/>
          <w:szCs w:val="24"/>
        </w:rPr>
        <w:t xml:space="preserve"> plus adéquat</w:t>
      </w:r>
      <w:r>
        <w:rPr>
          <w:rFonts w:ascii="Times" w:hAnsi="Times"/>
          <w:szCs w:val="24"/>
        </w:rPr>
        <w:t xml:space="preserve">, </w:t>
      </w:r>
      <w:r w:rsidR="00672D70">
        <w:rPr>
          <w:rFonts w:ascii="Times" w:hAnsi="Times"/>
          <w:szCs w:val="24"/>
        </w:rPr>
        <w:t xml:space="preserve">est dans le contexte des mesures conservatoires </w:t>
      </w:r>
      <w:r>
        <w:rPr>
          <w:rFonts w:ascii="Times" w:hAnsi="Times"/>
          <w:szCs w:val="24"/>
        </w:rPr>
        <w:t xml:space="preserve">synonyme de « grave » ou de « significatif », contrairement au sens </w:t>
      </w:r>
      <w:r w:rsidR="00BA23AE">
        <w:rPr>
          <w:rFonts w:ascii="Times" w:hAnsi="Times"/>
          <w:szCs w:val="24"/>
        </w:rPr>
        <w:t>qui lui est ordinairement attribué</w:t>
      </w:r>
      <w:r w:rsidR="00672D70">
        <w:rPr>
          <w:rFonts w:ascii="Times" w:hAnsi="Times"/>
          <w:szCs w:val="24"/>
        </w:rPr>
        <w:t> ; la Cour confirme ici l</w:t>
      </w:r>
      <w:r w:rsidR="005431F2">
        <w:rPr>
          <w:rFonts w:ascii="Times" w:hAnsi="Times"/>
          <w:szCs w:val="24"/>
        </w:rPr>
        <w:t>’</w:t>
      </w:r>
      <w:r w:rsidR="00672D70">
        <w:rPr>
          <w:rFonts w:ascii="Times" w:hAnsi="Times"/>
          <w:szCs w:val="24"/>
        </w:rPr>
        <w:t>orientation tracée en 2018 dans l</w:t>
      </w:r>
      <w:r w:rsidR="005431F2">
        <w:rPr>
          <w:rFonts w:ascii="Times" w:hAnsi="Times"/>
          <w:szCs w:val="24"/>
        </w:rPr>
        <w:t>’</w:t>
      </w:r>
      <w:r w:rsidR="00672D70">
        <w:rPr>
          <w:rFonts w:ascii="Times" w:hAnsi="Times"/>
          <w:szCs w:val="24"/>
        </w:rPr>
        <w:t xml:space="preserve">affaire </w:t>
      </w:r>
      <w:r w:rsidR="00672D70">
        <w:rPr>
          <w:rFonts w:ascii="Times" w:hAnsi="Times"/>
          <w:i/>
          <w:iCs/>
          <w:szCs w:val="24"/>
        </w:rPr>
        <w:t>Qatar c. Émirats arabes unis</w:t>
      </w:r>
      <w:r w:rsidR="00672D70">
        <w:rPr>
          <w:rFonts w:ascii="Times" w:hAnsi="Times"/>
          <w:szCs w:val="24"/>
        </w:rPr>
        <w:t xml:space="preserve"> et il n</w:t>
      </w:r>
      <w:r w:rsidR="005431F2">
        <w:rPr>
          <w:rFonts w:ascii="Times" w:hAnsi="Times"/>
          <w:szCs w:val="24"/>
        </w:rPr>
        <w:t>’</w:t>
      </w:r>
      <w:r w:rsidR="00672D70">
        <w:rPr>
          <w:rFonts w:ascii="Times" w:hAnsi="Times"/>
          <w:szCs w:val="24"/>
        </w:rPr>
        <w:t>y a pas lieu de s</w:t>
      </w:r>
      <w:r w:rsidR="005431F2">
        <w:rPr>
          <w:rFonts w:ascii="Times" w:hAnsi="Times"/>
          <w:szCs w:val="24"/>
        </w:rPr>
        <w:t>’</w:t>
      </w:r>
      <w:r w:rsidR="00672D70">
        <w:rPr>
          <w:rFonts w:ascii="Times" w:hAnsi="Times"/>
          <w:szCs w:val="24"/>
        </w:rPr>
        <w:t>en émouvoir.</w:t>
      </w:r>
    </w:p>
    <w:p w14:paraId="3C361AD5" w14:textId="77777777" w:rsidR="001D45BC" w:rsidRPr="001D45BC" w:rsidRDefault="001D45BC" w:rsidP="001D45BC">
      <w:pPr>
        <w:pStyle w:val="Paragraphedeliste"/>
        <w:spacing w:line="240" w:lineRule="auto"/>
        <w:rPr>
          <w:rFonts w:ascii="Times" w:hAnsi="Times"/>
          <w:szCs w:val="24"/>
        </w:rPr>
      </w:pPr>
    </w:p>
    <w:p w14:paraId="5C29E4EA" w14:textId="0FBC519F" w:rsidR="005C6D64" w:rsidRPr="00575029" w:rsidRDefault="00575029" w:rsidP="00575029">
      <w:pPr>
        <w:pStyle w:val="THESE1"/>
        <w:ind w:left="0"/>
        <w:rPr>
          <w:smallCaps/>
        </w:rPr>
      </w:pPr>
      <w:r w:rsidRPr="00575029">
        <w:rPr>
          <w:smallCaps/>
        </w:rPr>
        <w:t xml:space="preserve">B. vers une disparition du critère de </w:t>
      </w:r>
      <w:r w:rsidR="005C6D64" w:rsidRPr="00575029">
        <w:rPr>
          <w:smallCaps/>
        </w:rPr>
        <w:t>l</w:t>
      </w:r>
      <w:r w:rsidR="005431F2">
        <w:rPr>
          <w:smallCaps/>
        </w:rPr>
        <w:t>’</w:t>
      </w:r>
      <w:r w:rsidR="005C6D64" w:rsidRPr="00575029">
        <w:rPr>
          <w:smallCaps/>
        </w:rPr>
        <w:t>urgence</w:t>
      </w:r>
    </w:p>
    <w:p w14:paraId="0BCAF94A" w14:textId="3F17D0D8" w:rsidR="009916C0" w:rsidRDefault="009916C0" w:rsidP="009916C0">
      <w:pPr>
        <w:pStyle w:val="Paragraphedeliste"/>
        <w:spacing w:line="240" w:lineRule="auto"/>
        <w:jc w:val="left"/>
      </w:pPr>
    </w:p>
    <w:p w14:paraId="0FB3C04B" w14:textId="09D673DD" w:rsidR="002F2333" w:rsidRDefault="0034053B" w:rsidP="001D2F1A">
      <w:pPr>
        <w:pStyle w:val="Paragraphedeliste"/>
        <w:spacing w:line="240" w:lineRule="auto"/>
      </w:pPr>
      <w:r>
        <w:t>Si le caractère « irréparable » du préjudice allégué est apprécié de manière souple, l</w:t>
      </w:r>
      <w:r w:rsidR="005431F2">
        <w:t>’</w:t>
      </w:r>
      <w:r>
        <w:t>i</w:t>
      </w:r>
      <w:r w:rsidR="002F2333">
        <w:t xml:space="preserve">mminence </w:t>
      </w:r>
      <w:r>
        <w:t>de sa survenance possible</w:t>
      </w:r>
      <w:r w:rsidR="002F2333">
        <w:t xml:space="preserve"> peut être considéré</w:t>
      </w:r>
      <w:r>
        <w:t>e</w:t>
      </w:r>
      <w:r w:rsidR="002F2333">
        <w:t xml:space="preserve"> comme un critère en voie de </w:t>
      </w:r>
      <w:r>
        <w:t xml:space="preserve">totale </w:t>
      </w:r>
      <w:r w:rsidR="002F2333">
        <w:t>disparition.</w:t>
      </w:r>
      <w:r w:rsidR="001D2F1A">
        <w:t xml:space="preserve"> De manière classique, « [i]l n</w:t>
      </w:r>
      <w:r w:rsidR="005431F2">
        <w:t>’</w:t>
      </w:r>
      <w:r w:rsidR="001D2F1A">
        <w:t>y a lieu d</w:t>
      </w:r>
      <w:r w:rsidR="005431F2">
        <w:t>’</w:t>
      </w:r>
      <w:r w:rsidR="001D2F1A">
        <w:t>indiquer des mesures conservatoires que s</w:t>
      </w:r>
      <w:r w:rsidR="005431F2">
        <w:t>’</w:t>
      </w:r>
      <w:r w:rsidR="001D2F1A">
        <w:t>il y a urgence à le faire, parce qu</w:t>
      </w:r>
      <w:r w:rsidR="005431F2">
        <w:t>’</w:t>
      </w:r>
      <w:r w:rsidR="001D2F1A">
        <w:t>autrement la substance des droits en cause subirait ou risquerait très probablement de subir des préjudices irréparables. Si tel n</w:t>
      </w:r>
      <w:r w:rsidR="005431F2">
        <w:t>’</w:t>
      </w:r>
      <w:r w:rsidR="001D2F1A">
        <w:t>est pas le cas, ces mesures ne se justifient pas. […] [S]i les mesures ne présentent pas d</w:t>
      </w:r>
      <w:r w:rsidR="005431F2">
        <w:t>’</w:t>
      </w:r>
      <w:r w:rsidR="001D2F1A">
        <w:t>urgence, elles ne sont juridiquement pas nécessaires »</w:t>
      </w:r>
      <w:r w:rsidR="001D2F1A">
        <w:rPr>
          <w:rStyle w:val="Appelnotedebasdep"/>
        </w:rPr>
        <w:footnoteReference w:id="73"/>
      </w:r>
      <w:r w:rsidR="001D2F1A">
        <w:t>.</w:t>
      </w:r>
    </w:p>
    <w:p w14:paraId="378AAB11" w14:textId="5DD1889C" w:rsidR="001D2F1A" w:rsidRDefault="001D2F1A" w:rsidP="001D2F1A">
      <w:pPr>
        <w:pStyle w:val="Paragraphedeliste"/>
        <w:spacing w:line="240" w:lineRule="auto"/>
      </w:pPr>
    </w:p>
    <w:p w14:paraId="4A72B5EB" w14:textId="5979FA63" w:rsidR="001D2F1A" w:rsidRDefault="001D2F1A" w:rsidP="001D2F1A">
      <w:pPr>
        <w:pStyle w:val="Paragraphedeliste"/>
        <w:spacing w:line="240" w:lineRule="auto"/>
      </w:pPr>
      <w:r>
        <w:t>Or, une tendance</w:t>
      </w:r>
      <w:r w:rsidR="00BF5033">
        <w:t xml:space="preserve"> à assouplir considérablement la condition d</w:t>
      </w:r>
      <w:r w:rsidR="005431F2">
        <w:t>’</w:t>
      </w:r>
      <w:r w:rsidR="00BF5033">
        <w:t xml:space="preserve">urgence </w:t>
      </w:r>
      <w:r w:rsidR="00A057D5">
        <w:t xml:space="preserve">voire à ne pas la motiver </w:t>
      </w:r>
      <w:r>
        <w:t xml:space="preserve">a émergé dans les ordonnances de la Cour. Celle-ci est particulièrement </w:t>
      </w:r>
      <w:r w:rsidR="00BF5033">
        <w:t>visible</w:t>
      </w:r>
      <w:r>
        <w:t xml:space="preserve"> dans l</w:t>
      </w:r>
      <w:r w:rsidR="005431F2">
        <w:t>’</w:t>
      </w:r>
      <w:r>
        <w:t xml:space="preserve">ordonnance </w:t>
      </w:r>
      <w:r>
        <w:rPr>
          <w:i/>
          <w:iCs/>
        </w:rPr>
        <w:t>Qatar c. Émirats arabes unis</w:t>
      </w:r>
      <w:r w:rsidR="00BF5033">
        <w:t>, à l</w:t>
      </w:r>
      <w:r w:rsidR="005431F2">
        <w:t>’</w:t>
      </w:r>
      <w:r w:rsidR="00BF5033">
        <w:t>occasion de laquelle l</w:t>
      </w:r>
      <w:r w:rsidR="005431F2">
        <w:t>’</w:t>
      </w:r>
      <w:r w:rsidR="00BF5033">
        <w:t>urgence semble fondée, en l</w:t>
      </w:r>
      <w:r w:rsidR="005431F2">
        <w:t>’</w:t>
      </w:r>
      <w:r w:rsidR="00BF5033">
        <w:t>absence de toute exécution des mesures d</w:t>
      </w:r>
      <w:r w:rsidR="005431F2">
        <w:t>’</w:t>
      </w:r>
      <w:r w:rsidR="00BF5033">
        <w:t>expulsion pourtant annoncées depuis un an, sur un simple « sentiment » insufflé à certains Qatariens – d</w:t>
      </w:r>
      <w:r w:rsidR="005431F2">
        <w:t>’</w:t>
      </w:r>
      <w:r w:rsidR="00BF5033">
        <w:t>autres ayant « </w:t>
      </w:r>
      <w:r w:rsidR="00BF5033" w:rsidRPr="00BF5033">
        <w:rPr>
          <w:i/>
          <w:iCs/>
        </w:rPr>
        <w:t>apparemment</w:t>
      </w:r>
      <w:r w:rsidR="00BF5033">
        <w:t xml:space="preserve"> été contraints de quitter leur lieu de résidence »</w:t>
      </w:r>
      <w:r w:rsidR="00BF5033">
        <w:rPr>
          <w:rStyle w:val="Appelnotedebasdep"/>
        </w:rPr>
        <w:footnoteReference w:id="74"/>
      </w:r>
      <w:r w:rsidR="00BF5033">
        <w:t xml:space="preserve"> du fait de la déclaration des Émirats arabes unis : « </w:t>
      </w:r>
      <w:r w:rsidR="00BF5033" w:rsidRPr="00BF5033">
        <w:t>à la suite de cette déclaration les Qatariens se sont sentis obligés de quitter les Émirats arabes unis, subissant en conséquence les atteintes caractérisées à leurs droits qui sont décrites plus haut. De plus, les Émirats arabes unis n</w:t>
      </w:r>
      <w:r w:rsidR="005431F2">
        <w:t>’</w:t>
      </w:r>
      <w:r w:rsidR="00BF5033" w:rsidRPr="00BF5033">
        <w:t>ayant entrepris aucune démarche officielle pour retirer les mesures du 5 juin 2017, la situation demeure inchangée en ce qui concerne la jouissance, par les Qatariens, de leurs droits susmentionnés sur le territoire des Émirats arabes unis</w:t>
      </w:r>
      <w:r w:rsidR="00BF5033">
        <w:t> »</w:t>
      </w:r>
      <w:r w:rsidR="007A2B91">
        <w:rPr>
          <w:rStyle w:val="Appelnotedebasdep"/>
        </w:rPr>
        <w:footnoteReference w:id="75"/>
      </w:r>
      <w:r w:rsidR="00BF5033" w:rsidRPr="00BF5033">
        <w:t>.</w:t>
      </w:r>
      <w:r w:rsidR="00A057D5">
        <w:t xml:space="preserve"> Cette motivation elliptique tranche avec les efforts de pédagogie fournis à l</w:t>
      </w:r>
      <w:r w:rsidR="005431F2">
        <w:t>’</w:t>
      </w:r>
      <w:r w:rsidR="00A057D5">
        <w:t>occasion d</w:t>
      </w:r>
      <w:r w:rsidR="005431F2">
        <w:t>’</w:t>
      </w:r>
      <w:r w:rsidR="00A057D5">
        <w:t>ordonnances précédentes</w:t>
      </w:r>
      <w:r w:rsidR="00A057D5">
        <w:rPr>
          <w:rStyle w:val="Appelnotedebasdep"/>
        </w:rPr>
        <w:footnoteReference w:id="76"/>
      </w:r>
      <w:r w:rsidR="00A057D5">
        <w:t>.</w:t>
      </w:r>
    </w:p>
    <w:p w14:paraId="51556BF5" w14:textId="77777777" w:rsidR="00A057D5" w:rsidRDefault="00A057D5" w:rsidP="001D2F1A">
      <w:pPr>
        <w:pStyle w:val="Paragraphedeliste"/>
        <w:spacing w:line="240" w:lineRule="auto"/>
      </w:pPr>
    </w:p>
    <w:p w14:paraId="0FC6D990" w14:textId="5BC27F96" w:rsidR="009C339D" w:rsidRPr="00E75904" w:rsidRDefault="009C339D" w:rsidP="001D2F1A">
      <w:pPr>
        <w:pStyle w:val="Paragraphedeliste"/>
        <w:spacing w:line="240" w:lineRule="auto"/>
      </w:pPr>
      <w:r>
        <w:t>Dans l</w:t>
      </w:r>
      <w:r w:rsidR="005431F2">
        <w:t>’</w:t>
      </w:r>
      <w:r>
        <w:t xml:space="preserve">affaire </w:t>
      </w:r>
      <w:r>
        <w:rPr>
          <w:i/>
          <w:iCs/>
        </w:rPr>
        <w:t>Arménie c. Azerbaïdjan</w:t>
      </w:r>
      <w:r>
        <w:t>, la Cour s</w:t>
      </w:r>
      <w:r w:rsidR="005431F2">
        <w:t>’</w:t>
      </w:r>
      <w:r>
        <w:t>appuie sur des documents produits par les Parties pour déterminer l</w:t>
      </w:r>
      <w:r w:rsidR="005431F2">
        <w:t>’</w:t>
      </w:r>
      <w:r>
        <w:t>existence d</w:t>
      </w:r>
      <w:r w:rsidR="005431F2">
        <w:t>’</w:t>
      </w:r>
      <w:r>
        <w:t>une urgence. Celle-ci ressort en effet de résolutions adoptées récemment par le Conseil de l</w:t>
      </w:r>
      <w:r w:rsidR="005431F2">
        <w:t>’</w:t>
      </w:r>
      <w:r>
        <w:t>Europe en septembre 2021, ainsi que d</w:t>
      </w:r>
      <w:r w:rsidR="005431F2">
        <w:t>’</w:t>
      </w:r>
      <w:r>
        <w:t>une déclaration conjointe des experts des droits de l</w:t>
      </w:r>
      <w:r w:rsidR="005431F2">
        <w:t>’</w:t>
      </w:r>
      <w:r>
        <w:t>homme de l</w:t>
      </w:r>
      <w:r w:rsidR="005431F2">
        <w:t>’</w:t>
      </w:r>
      <w:r>
        <w:t>ONU, qui exprimaient en février 2021 leur vive préoccupation concernant les violations alléguées</w:t>
      </w:r>
      <w:r>
        <w:rPr>
          <w:rStyle w:val="Appelnotedebasdep"/>
        </w:rPr>
        <w:footnoteReference w:id="77"/>
      </w:r>
      <w:r>
        <w:t>.</w:t>
      </w:r>
      <w:r w:rsidR="0069556F">
        <w:t xml:space="preserve"> </w:t>
      </w:r>
      <w:r w:rsidR="00834EF2">
        <w:t>Autrement dit, les éléments de preuve des allégations de l</w:t>
      </w:r>
      <w:r w:rsidR="005431F2">
        <w:t>’</w:t>
      </w:r>
      <w:r w:rsidR="00834EF2">
        <w:t>Arménie au fond sont utilisés, du fait de leur caractère récent, pour témoigner de l</w:t>
      </w:r>
      <w:r w:rsidR="005431F2">
        <w:t>’</w:t>
      </w:r>
      <w:r w:rsidR="00834EF2">
        <w:t>imminence du risque. C</w:t>
      </w:r>
      <w:r w:rsidR="005431F2">
        <w:t>’</w:t>
      </w:r>
      <w:r w:rsidR="00834EF2">
        <w:t>est donc l</w:t>
      </w:r>
      <w:r w:rsidR="005431F2">
        <w:t>’</w:t>
      </w:r>
      <w:r w:rsidR="00834EF2">
        <w:t>existence plausible voire évidente du préjudice qui démontre l</w:t>
      </w:r>
      <w:r w:rsidR="005431F2">
        <w:t>’</w:t>
      </w:r>
      <w:r w:rsidR="00834EF2">
        <w:t xml:space="preserve">urgence à indiquer des mesures, leur indication étant pourtant censée </w:t>
      </w:r>
      <w:r w:rsidR="00834EF2">
        <w:lastRenderedPageBreak/>
        <w:t>ne pas préjuger du fond. Les limites de l</w:t>
      </w:r>
      <w:r w:rsidR="005431F2">
        <w:t>’</w:t>
      </w:r>
      <w:r w:rsidR="00834EF2">
        <w:t>exercice juridictionnel apparaissent ici : il est fort difficile, pour la Cour, de ne pas préjuger du fond lorsque le caractère urgent des mesures est fondé sur des rapports et résolutions soulignant, reconnaissant et s</w:t>
      </w:r>
      <w:r w:rsidR="005431F2">
        <w:t>’</w:t>
      </w:r>
      <w:r w:rsidR="00834EF2">
        <w:t>inquiétant précisément des violations alléguées. L</w:t>
      </w:r>
      <w:r w:rsidR="005431F2">
        <w:t>’</w:t>
      </w:r>
      <w:r w:rsidR="00834EF2">
        <w:t>on comprend alors aisément qu</w:t>
      </w:r>
      <w:r w:rsidR="005431F2">
        <w:t>’</w:t>
      </w:r>
      <w:r w:rsidR="00834EF2">
        <w:t>il ne soit pas nécessaire de motiver l</w:t>
      </w:r>
      <w:r w:rsidR="005431F2">
        <w:t>’</w:t>
      </w:r>
      <w:r w:rsidR="00834EF2">
        <w:t>urgence : l</w:t>
      </w:r>
      <w:r w:rsidR="005431F2">
        <w:t>’</w:t>
      </w:r>
      <w:r w:rsidR="00834EF2">
        <w:t>existence de « preuves inquiétantes »</w:t>
      </w:r>
      <w:r w:rsidR="00834EF2">
        <w:rPr>
          <w:rStyle w:val="Appelnotedebasdep"/>
        </w:rPr>
        <w:footnoteReference w:id="78"/>
      </w:r>
      <w:r w:rsidR="00834EF2">
        <w:t xml:space="preserve"> de</w:t>
      </w:r>
      <w:r w:rsidR="00E75904">
        <w:t xml:space="preserve"> faits</w:t>
      </w:r>
      <w:r w:rsidR="00834EF2">
        <w:t>, rapportées par d</w:t>
      </w:r>
      <w:r w:rsidR="005431F2">
        <w:t>’</w:t>
      </w:r>
      <w:r w:rsidR="00834EF2">
        <w:t>autres organisations internationales, atteste à la fois de leur imminence…et de leur réalité.</w:t>
      </w:r>
      <w:r w:rsidR="00C15766">
        <w:t xml:space="preserve"> La formulation classique de la Cour, qui conclut son raisonnement en rappelant qu</w:t>
      </w:r>
      <w:r w:rsidR="005431F2">
        <w:t>’</w:t>
      </w:r>
      <w:r w:rsidR="00C15766">
        <w:t>il y a « urgence, c</w:t>
      </w:r>
      <w:r w:rsidR="005431F2">
        <w:t>’</w:t>
      </w:r>
      <w:r w:rsidR="00C15766">
        <w:t>est-à-dire qu</w:t>
      </w:r>
      <w:r w:rsidR="005431F2">
        <w:t>’</w:t>
      </w:r>
      <w:r w:rsidR="00C15766">
        <w:t xml:space="preserve">il existe un </w:t>
      </w:r>
      <w:r w:rsidR="00C15766" w:rsidRPr="00E75904">
        <w:rPr>
          <w:i/>
          <w:iCs/>
        </w:rPr>
        <w:t xml:space="preserve">risque réel et imminent </w:t>
      </w:r>
      <w:r w:rsidR="00C15766">
        <w:t>qu</w:t>
      </w:r>
      <w:r w:rsidR="005431F2">
        <w:t>’</w:t>
      </w:r>
      <w:r w:rsidR="00C15766">
        <w:t xml:space="preserve">un tel préjudice soit causé </w:t>
      </w:r>
      <w:r w:rsidR="00C15766" w:rsidRPr="00E75904">
        <w:t>avant que la Cour ne se prononce de manière définitive en l</w:t>
      </w:r>
      <w:r w:rsidR="005431F2">
        <w:t>’</w:t>
      </w:r>
      <w:r w:rsidR="00C15766" w:rsidRPr="00E75904">
        <w:t>affaire</w:t>
      </w:r>
      <w:r w:rsidR="00C15766">
        <w:t> »</w:t>
      </w:r>
      <w:r w:rsidR="00C15766">
        <w:rPr>
          <w:rStyle w:val="Appelnotedebasdep"/>
        </w:rPr>
        <w:footnoteReference w:id="79"/>
      </w:r>
      <w:r w:rsidR="00C15766">
        <w:t xml:space="preserve">, peut </w:t>
      </w:r>
      <w:r w:rsidR="00E75904">
        <w:t>toutefois</w:t>
      </w:r>
      <w:r w:rsidR="00C15766">
        <w:t xml:space="preserve"> interroger</w:t>
      </w:r>
      <w:r w:rsidR="00E75904">
        <w:t>, puisque celle-ci vient, indirectement, d</w:t>
      </w:r>
      <w:r w:rsidR="005431F2">
        <w:t>’</w:t>
      </w:r>
      <w:r w:rsidR="00E75904">
        <w:t>établir que le risque n</w:t>
      </w:r>
      <w:r w:rsidR="005431F2">
        <w:t>’</w:t>
      </w:r>
      <w:r w:rsidR="00E75904">
        <w:t>en était plus un</w:t>
      </w:r>
      <w:r w:rsidR="0073476D">
        <w:t xml:space="preserve"> – mais demeure la question fondamentale de savoir si les faits invoqués sont constitutifs ou non des violations alléguées</w:t>
      </w:r>
      <w:r w:rsidR="00E75904">
        <w:t>. Puisqu</w:t>
      </w:r>
      <w:r w:rsidR="005431F2">
        <w:t>’</w:t>
      </w:r>
      <w:r w:rsidR="00E75904">
        <w:t xml:space="preserve">elle ne peut </w:t>
      </w:r>
      <w:r w:rsidR="009C523E">
        <w:t>« conclure de façon définitive sur les faits »</w:t>
      </w:r>
      <w:r w:rsidR="009C523E">
        <w:rPr>
          <w:rStyle w:val="Appelnotedebasdep"/>
        </w:rPr>
        <w:footnoteReference w:id="80"/>
      </w:r>
      <w:r w:rsidR="00E75904">
        <w:t>, la sobre mention du « risque » demeure pertinemment prudente, mais témoigne de l</w:t>
      </w:r>
      <w:r w:rsidR="005431F2">
        <w:t>’</w:t>
      </w:r>
      <w:r w:rsidR="00E75904">
        <w:t xml:space="preserve">articulation complexe des procédures </w:t>
      </w:r>
      <w:r w:rsidR="00E75904">
        <w:rPr>
          <w:i/>
          <w:iCs/>
        </w:rPr>
        <w:t>prima facie</w:t>
      </w:r>
      <w:r w:rsidR="00E75904">
        <w:t xml:space="preserve"> et principale</w:t>
      </w:r>
      <w:r w:rsidR="0073476D">
        <w:t>.</w:t>
      </w:r>
    </w:p>
    <w:p w14:paraId="266FB831" w14:textId="77777777" w:rsidR="009C339D" w:rsidRDefault="009C339D" w:rsidP="001D2F1A">
      <w:pPr>
        <w:pStyle w:val="Paragraphedeliste"/>
        <w:spacing w:line="240" w:lineRule="auto"/>
      </w:pPr>
    </w:p>
    <w:p w14:paraId="3DFFD471" w14:textId="02898E8F" w:rsidR="007E49E0" w:rsidRDefault="007E49E0" w:rsidP="001D2F1A">
      <w:pPr>
        <w:pStyle w:val="Paragraphedeliste"/>
        <w:spacing w:line="240" w:lineRule="auto"/>
      </w:pPr>
      <w:r>
        <w:t>Dans l</w:t>
      </w:r>
      <w:r w:rsidR="005431F2">
        <w:t>’</w:t>
      </w:r>
      <w:r>
        <w:t xml:space="preserve">affaire </w:t>
      </w:r>
      <w:r w:rsidR="00327AF7">
        <w:rPr>
          <w:i/>
          <w:iCs/>
        </w:rPr>
        <w:t>Azerbaïdjan</w:t>
      </w:r>
      <w:r>
        <w:rPr>
          <w:i/>
          <w:iCs/>
        </w:rPr>
        <w:t xml:space="preserve"> c. </w:t>
      </w:r>
      <w:r w:rsidR="00327AF7">
        <w:rPr>
          <w:i/>
          <w:iCs/>
        </w:rPr>
        <w:t>Arménie</w:t>
      </w:r>
      <w:r>
        <w:t>, l</w:t>
      </w:r>
      <w:r w:rsidR="005431F2">
        <w:t>’</w:t>
      </w:r>
      <w:r>
        <w:t>urgence est</w:t>
      </w:r>
      <w:r w:rsidR="0069556F">
        <w:t xml:space="preserve"> cette fois</w:t>
      </w:r>
      <w:r>
        <w:t xml:space="preserve"> établie sans aucune motivation, la Cour se bornant à conclure « qu</w:t>
      </w:r>
      <w:r w:rsidR="005431F2">
        <w:t>’</w:t>
      </w:r>
      <w:r>
        <w:t>il y a urgence »</w:t>
      </w:r>
      <w:r>
        <w:rPr>
          <w:rStyle w:val="Appelnotedebasdep"/>
        </w:rPr>
        <w:footnoteReference w:id="81"/>
      </w:r>
      <w:r>
        <w:t>.</w:t>
      </w:r>
      <w:r w:rsidR="00A50879">
        <w:t xml:space="preserve"> Le raisonnement des juges ne peut qu</w:t>
      </w:r>
      <w:r w:rsidR="005431F2">
        <w:t>’</w:t>
      </w:r>
      <w:r w:rsidR="00A50879">
        <w:t>être reconstitué – avec les risques d</w:t>
      </w:r>
      <w:r w:rsidR="005431F2">
        <w:t>’</w:t>
      </w:r>
      <w:r w:rsidR="00A50879">
        <w:t>erreur que l</w:t>
      </w:r>
      <w:r w:rsidR="005431F2">
        <w:t>’</w:t>
      </w:r>
      <w:r w:rsidR="00A50879">
        <w:t>exercice induit – à l</w:t>
      </w:r>
      <w:r w:rsidR="005431F2">
        <w:t>’</w:t>
      </w:r>
      <w:r w:rsidR="00A50879">
        <w:t>aune de l</w:t>
      </w:r>
      <w:r w:rsidR="005431F2">
        <w:t>’</w:t>
      </w:r>
      <w:r w:rsidR="00A50879">
        <w:t>argumentation des deux parties reproduite peu avant. Il est en effet possible d</w:t>
      </w:r>
      <w:r w:rsidR="005431F2">
        <w:t>’</w:t>
      </w:r>
      <w:r w:rsidR="00A50879">
        <w:t>y lire que la menace de violence est « exacerbée » par des faits récents et par le fai</w:t>
      </w:r>
      <w:r w:rsidR="00327AF7">
        <w:t>t</w:t>
      </w:r>
      <w:r w:rsidR="00A50879">
        <w:t xml:space="preserve"> que des organisations </w:t>
      </w:r>
      <w:r w:rsidR="00327AF7">
        <w:t xml:space="preserve">« ont </w:t>
      </w:r>
      <w:r w:rsidR="00327AF7" w:rsidRPr="00327AF7">
        <w:rPr>
          <w:i/>
          <w:iCs/>
        </w:rPr>
        <w:t>apparemment</w:t>
      </w:r>
      <w:r w:rsidR="00327AF7">
        <w:t xml:space="preserve"> commencé à organiser des programmes d</w:t>
      </w:r>
      <w:r w:rsidR="005431F2">
        <w:t>’</w:t>
      </w:r>
      <w:r w:rsidR="00327AF7">
        <w:t>entraînement militaire »</w:t>
      </w:r>
      <w:r w:rsidR="00327AF7">
        <w:rPr>
          <w:rStyle w:val="Appelnotedebasdep"/>
        </w:rPr>
        <w:footnoteReference w:id="82"/>
      </w:r>
      <w:r w:rsidR="00327AF7">
        <w:t>.</w:t>
      </w:r>
      <w:r w:rsidR="009C339D">
        <w:t xml:space="preserve"> Il n</w:t>
      </w:r>
      <w:r w:rsidR="005431F2">
        <w:t>’</w:t>
      </w:r>
      <w:r w:rsidR="009C339D">
        <w:t>est pas fait état d</w:t>
      </w:r>
      <w:r w:rsidR="005431F2">
        <w:t>’</w:t>
      </w:r>
      <w:r w:rsidR="009C339D">
        <w:t>une contestation de l</w:t>
      </w:r>
      <w:r w:rsidR="005431F2">
        <w:t>’</w:t>
      </w:r>
      <w:r w:rsidR="009C339D">
        <w:t>urgence par l</w:t>
      </w:r>
      <w:r w:rsidR="005431F2">
        <w:t>’</w:t>
      </w:r>
      <w:r w:rsidR="009C339D">
        <w:t>Arménie</w:t>
      </w:r>
      <w:r w:rsidR="00E75904">
        <w:t>. La Cour ayant rappelé</w:t>
      </w:r>
      <w:r w:rsidR="00630209">
        <w:t xml:space="preserve"> que « la condition d</w:t>
      </w:r>
      <w:r w:rsidR="005431F2">
        <w:t>’</w:t>
      </w:r>
      <w:r w:rsidR="00630209">
        <w:t xml:space="preserve">urgence est remplie dès lors que les actes susceptibles de causer un préjudice irréparable peuvent </w:t>
      </w:r>
      <w:r w:rsidR="00630209" w:rsidRPr="00D84119">
        <w:rPr>
          <w:lang w:val="fr-CA"/>
        </w:rPr>
        <w:t xml:space="preserve">“intervenir à tout moment” </w:t>
      </w:r>
      <w:r w:rsidR="00630209">
        <w:t>avant que la Cour ne se prononce de manière définitive »</w:t>
      </w:r>
      <w:r w:rsidR="00630209">
        <w:rPr>
          <w:rStyle w:val="Appelnotedebasdep"/>
        </w:rPr>
        <w:footnoteReference w:id="83"/>
      </w:r>
      <w:r w:rsidR="001D640F">
        <w:t>, l</w:t>
      </w:r>
      <w:r w:rsidR="005431F2">
        <w:t>’</w:t>
      </w:r>
      <w:r w:rsidR="001D640F">
        <w:t xml:space="preserve">indétermination de la situation suffit </w:t>
      </w:r>
      <w:r w:rsidR="00D667AA">
        <w:t xml:space="preserve">manifestement </w:t>
      </w:r>
      <w:r w:rsidR="001D640F">
        <w:t>à caractériser l</w:t>
      </w:r>
      <w:r w:rsidR="005431F2">
        <w:t>’</w:t>
      </w:r>
      <w:r w:rsidR="001D640F">
        <w:t>urgence.</w:t>
      </w:r>
    </w:p>
    <w:p w14:paraId="59544FA0" w14:textId="77777777" w:rsidR="001D640F" w:rsidRPr="00630209" w:rsidRDefault="001D640F" w:rsidP="001D2F1A">
      <w:pPr>
        <w:pStyle w:val="Paragraphedeliste"/>
        <w:spacing w:line="240" w:lineRule="auto"/>
      </w:pPr>
    </w:p>
    <w:p w14:paraId="3ED5D510" w14:textId="15134A41" w:rsidR="002D523A" w:rsidRDefault="001D640F" w:rsidP="002D523A">
      <w:pPr>
        <w:pStyle w:val="Paragraphedeliste"/>
        <w:spacing w:line="240" w:lineRule="auto"/>
      </w:pPr>
      <w:r>
        <w:t xml:space="preserve">En conséquence, ce sont deux raisonnements </w:t>
      </w:r>
      <w:r w:rsidR="00D667AA">
        <w:t xml:space="preserve">bien </w:t>
      </w:r>
      <w:r>
        <w:t>différents qui permettent de fonder l</w:t>
      </w:r>
      <w:r w:rsidR="005431F2">
        <w:t>’</w:t>
      </w:r>
      <w:r>
        <w:t>existence d</w:t>
      </w:r>
      <w:r w:rsidR="005431F2">
        <w:t>’</w:t>
      </w:r>
      <w:r>
        <w:t>une urgence dans ces deux ordonnances : l</w:t>
      </w:r>
      <w:r w:rsidR="005431F2">
        <w:t>’</w:t>
      </w:r>
      <w:r>
        <w:t xml:space="preserve">existence </w:t>
      </w:r>
      <w:r w:rsidR="00D667AA">
        <w:t xml:space="preserve">avérée </w:t>
      </w:r>
      <w:r>
        <w:t xml:space="preserve">de faits </w:t>
      </w:r>
      <w:r w:rsidR="00D667AA">
        <w:t>plausiblement constitutifs de violations d</w:t>
      </w:r>
      <w:r w:rsidR="005431F2">
        <w:t>’</w:t>
      </w:r>
      <w:r w:rsidR="00D667AA">
        <w:t>une part ; des menaces et faits non établis pouvant possiblement entraîner des actes entrant dans le champ de la violation d</w:t>
      </w:r>
      <w:r w:rsidR="005431F2">
        <w:t>’</w:t>
      </w:r>
      <w:r w:rsidR="00D667AA">
        <w:t>autre part. On peut en déduire que l</w:t>
      </w:r>
      <w:r w:rsidR="005431F2">
        <w:t>’</w:t>
      </w:r>
      <w:r w:rsidR="00D667AA">
        <w:t xml:space="preserve">urgence est appréciée de manière particulièrement souple, au service des intérêts </w:t>
      </w:r>
      <w:r w:rsidR="00204259">
        <w:t>du demandeur dès lors que son objectif est d</w:t>
      </w:r>
      <w:r w:rsidR="005431F2">
        <w:t>’</w:t>
      </w:r>
      <w:r w:rsidR="00204259">
        <w:t>obtenir rapidement des mesures conservatoires ou d</w:t>
      </w:r>
      <w:r w:rsidR="005431F2">
        <w:t>’</w:t>
      </w:r>
      <w:r w:rsidR="00204259">
        <w:t>attirer l</w:t>
      </w:r>
      <w:r w:rsidR="005431F2">
        <w:t>’</w:t>
      </w:r>
      <w:r w:rsidR="00204259">
        <w:t>attention de la communauté internationale sur sa situation</w:t>
      </w:r>
      <w:r w:rsidR="00D667AA">
        <w:t> ; elle s</w:t>
      </w:r>
      <w:r w:rsidR="005431F2">
        <w:t>’</w:t>
      </w:r>
      <w:r w:rsidR="00D667AA">
        <w:t>efface même, non</w:t>
      </w:r>
      <w:r w:rsidR="002D523A">
        <w:t xml:space="preserve"> pas, comme on aurait pu le supposer,</w:t>
      </w:r>
      <w:r w:rsidR="00D667AA">
        <w:t xml:space="preserve"> lorsque les faits sont à l</w:t>
      </w:r>
      <w:r w:rsidR="005431F2">
        <w:t>’</w:t>
      </w:r>
      <w:r w:rsidR="00D667AA">
        <w:t>évidence établis, mais lorsque la situation apparaît floue.</w:t>
      </w:r>
      <w:r w:rsidR="002D523A">
        <w:t xml:space="preserve"> </w:t>
      </w:r>
    </w:p>
    <w:p w14:paraId="2F715BD4" w14:textId="77777777" w:rsidR="00944BCA" w:rsidRDefault="00944BCA" w:rsidP="002D523A">
      <w:pPr>
        <w:pStyle w:val="Paragraphedeliste"/>
        <w:spacing w:line="240" w:lineRule="auto"/>
      </w:pPr>
    </w:p>
    <w:p w14:paraId="57AAD5CD" w14:textId="7ADD5A3E" w:rsidR="002D523A" w:rsidRDefault="002D523A" w:rsidP="002D523A">
      <w:pPr>
        <w:pStyle w:val="Paragraphedeliste"/>
        <w:spacing w:line="240" w:lineRule="auto"/>
      </w:pPr>
      <w:r>
        <w:t>Il est, sur la base de ces constats, loisible de se demander si l</w:t>
      </w:r>
      <w:r w:rsidR="005431F2">
        <w:t>’</w:t>
      </w:r>
      <w:r>
        <w:t>examen du critère de l</w:t>
      </w:r>
      <w:r w:rsidR="005431F2">
        <w:t>’</w:t>
      </w:r>
      <w:r>
        <w:t>urgence est encore pertinent. Au regard des jurisprudences récentes</w:t>
      </w:r>
      <w:bookmarkStart w:id="10" w:name="_Ref95698539"/>
      <w:r w:rsidR="00952AC1">
        <w:rPr>
          <w:rStyle w:val="Appelnotedebasdep"/>
        </w:rPr>
        <w:footnoteReference w:id="84"/>
      </w:r>
      <w:bookmarkEnd w:id="10"/>
      <w:r>
        <w:t>, il paraît difficilement imaginable que la Cour considère qu</w:t>
      </w:r>
      <w:r w:rsidR="005431F2">
        <w:t>’</w:t>
      </w:r>
      <w:r>
        <w:t>un risque de préjudice irréparable n</w:t>
      </w:r>
      <w:r w:rsidR="005431F2">
        <w:t>’</w:t>
      </w:r>
      <w:r>
        <w:t>est pas « urgent ». Il s</w:t>
      </w:r>
      <w:r w:rsidR="005431F2">
        <w:t>’</w:t>
      </w:r>
      <w:r>
        <w:t xml:space="preserve">agirait, en </w:t>
      </w:r>
      <w:r>
        <w:lastRenderedPageBreak/>
        <w:t>outre, d</w:t>
      </w:r>
      <w:r w:rsidR="005431F2">
        <w:t>’</w:t>
      </w:r>
      <w:r>
        <w:t>une position difficilement défendable auprès des États, qui ne manquent pas de saisir de plus en plus régulièrement la Cour de demandes d</w:t>
      </w:r>
      <w:r w:rsidR="005431F2">
        <w:t>’</w:t>
      </w:r>
      <w:r>
        <w:t>indication de telles mesures</w:t>
      </w:r>
      <w:r w:rsidR="00DA5EA6">
        <w:rPr>
          <w:rStyle w:val="Appelnotedebasdep"/>
        </w:rPr>
        <w:footnoteReference w:id="85"/>
      </w:r>
      <w:r>
        <w:t>, dans la mesure où celles-ci ne préjugent pas du fond.</w:t>
      </w:r>
      <w:r w:rsidR="00E13647">
        <w:t xml:space="preserve"> Un rejet d</w:t>
      </w:r>
      <w:r w:rsidR="005431F2">
        <w:t>’</w:t>
      </w:r>
      <w:r w:rsidR="00E13647">
        <w:t>une demande sur le fondement d</w:t>
      </w:r>
      <w:r w:rsidR="005431F2">
        <w:t>’</w:t>
      </w:r>
      <w:r w:rsidR="00E13647">
        <w:t>un défaut d</w:t>
      </w:r>
      <w:r w:rsidR="005431F2">
        <w:t>’</w:t>
      </w:r>
      <w:r w:rsidR="00E13647">
        <w:t>urgence enverrait, dans le contexte jurisprudentiel actuel, un signal peu encourageant aux États cherchant à faire valoir leurs droits dans un « décorum » international particulier et à s</w:t>
      </w:r>
      <w:r w:rsidR="005431F2">
        <w:t>’</w:t>
      </w:r>
      <w:r w:rsidR="00E13647">
        <w:t>en prévaloir auprès de leurs opinions publiques.</w:t>
      </w:r>
      <w:r w:rsidR="00952AC1">
        <w:t xml:space="preserve"> </w:t>
      </w:r>
      <w:r w:rsidR="000B5BE2">
        <w:t>En outre</w:t>
      </w:r>
      <w:r w:rsidR="00952AC1">
        <w:t xml:space="preserve">, sur le plan juridique, les mesures conservatoires visent avant tout à </w:t>
      </w:r>
      <w:r w:rsidR="00944BCA">
        <w:t>« </w:t>
      </w:r>
      <w:r w:rsidR="00944BCA" w:rsidRPr="00944BCA">
        <w:t xml:space="preserve">sauvegarder </w:t>
      </w:r>
      <w:r w:rsidR="00944BCA">
        <w:t>[…]</w:t>
      </w:r>
      <w:r w:rsidR="00944BCA" w:rsidRPr="00944BCA">
        <w:t xml:space="preserve"> les droits que l</w:t>
      </w:r>
      <w:r w:rsidR="005431F2">
        <w:t>’</w:t>
      </w:r>
      <w:r w:rsidR="00944BCA" w:rsidRPr="00944BCA">
        <w:t>arrêt qu</w:t>
      </w:r>
      <w:r w:rsidR="005431F2">
        <w:t>’</w:t>
      </w:r>
      <w:r w:rsidR="00944BCA" w:rsidRPr="00944BCA">
        <w:t>elle aura ultérieurement à rendre pourrait reconnaître à l</w:t>
      </w:r>
      <w:r w:rsidR="005431F2">
        <w:t>’</w:t>
      </w:r>
      <w:r w:rsidR="00944BCA" w:rsidRPr="00944BCA">
        <w:t>une ou à l</w:t>
      </w:r>
      <w:r w:rsidR="005431F2">
        <w:t>’</w:t>
      </w:r>
      <w:r w:rsidR="00944BCA" w:rsidRPr="00944BCA">
        <w:t>autre des parties</w:t>
      </w:r>
      <w:r w:rsidR="00944BCA">
        <w:t> »</w:t>
      </w:r>
      <w:r w:rsidR="00944BCA">
        <w:rPr>
          <w:rStyle w:val="Appelnotedebasdep"/>
        </w:rPr>
        <w:footnoteReference w:id="86"/>
      </w:r>
      <w:r w:rsidR="00944BCA">
        <w:t>, c</w:t>
      </w:r>
      <w:r w:rsidR="005431F2">
        <w:t>’</w:t>
      </w:r>
      <w:r w:rsidR="00944BCA">
        <w:t>est-à-dire à « figer » une situation juridique – ce qui peut parfois s</w:t>
      </w:r>
      <w:r w:rsidR="005431F2">
        <w:t>’</w:t>
      </w:r>
      <w:r w:rsidR="00944BCA">
        <w:t>analyser sous l</w:t>
      </w:r>
      <w:r w:rsidR="005431F2">
        <w:t>’</w:t>
      </w:r>
      <w:r w:rsidR="00944BCA">
        <w:t>angle de la non-aggravation du différend</w:t>
      </w:r>
      <w:r w:rsidR="00952AC1">
        <w:t>. Dès lors, tout fa</w:t>
      </w:r>
      <w:r w:rsidR="007744C5">
        <w:t xml:space="preserve">it et évènement </w:t>
      </w:r>
      <w:r w:rsidR="00952AC1">
        <w:t>susceptible d</w:t>
      </w:r>
      <w:r w:rsidR="005431F2">
        <w:t>’</w:t>
      </w:r>
      <w:r w:rsidR="00952AC1">
        <w:t>entrer dans le champ des normes dont la violation est alléguée invite logiquement à considérer qu</w:t>
      </w:r>
      <w:r w:rsidR="005431F2">
        <w:t>’</w:t>
      </w:r>
      <w:r w:rsidR="00952AC1">
        <w:t>il y a urgence à « stabiliser » </w:t>
      </w:r>
      <w:r w:rsidR="007744C5">
        <w:t xml:space="preserve">la situation </w:t>
      </w:r>
      <w:r w:rsidR="00952AC1">
        <w:t>; de ce point de vue</w:t>
      </w:r>
      <w:r w:rsidR="00BC70EF">
        <w:t xml:space="preserve"> et au regard des positions juridiques prises par la Cour ces dernières années</w:t>
      </w:r>
      <w:r w:rsidR="00952AC1">
        <w:t>, seule l</w:t>
      </w:r>
      <w:r w:rsidR="005431F2">
        <w:t>’</w:t>
      </w:r>
      <w:r w:rsidR="00952AC1">
        <w:t>absence</w:t>
      </w:r>
      <w:r w:rsidR="00BC70EF">
        <w:t xml:space="preserve"> de tout acte ou menace en lien avec les droits allégués </w:t>
      </w:r>
      <w:r w:rsidR="007744C5">
        <w:t>nous semble pouvoir raisonnablement</w:t>
      </w:r>
      <w:r w:rsidR="00BC70EF">
        <w:t xml:space="preserve"> fonder un défaut d</w:t>
      </w:r>
      <w:r w:rsidR="005431F2">
        <w:t>’</w:t>
      </w:r>
      <w:r w:rsidR="00BC70EF">
        <w:t>urgence. Or, il y a fort à parier qu</w:t>
      </w:r>
      <w:r w:rsidR="005431F2">
        <w:t>’</w:t>
      </w:r>
      <w:r w:rsidR="00BC70EF">
        <w:t>une telle absence entraînerait, en amont, un rejet de la demande au stade de la plausibilité des droits allégués et du lien qu</w:t>
      </w:r>
      <w:r w:rsidR="005431F2">
        <w:t>’</w:t>
      </w:r>
      <w:r w:rsidR="00BC70EF">
        <w:t>ils entretiennent avec les mesures requises</w:t>
      </w:r>
      <w:r w:rsidR="005F080E">
        <w:t>, ou à défaut au stade de l</w:t>
      </w:r>
      <w:r w:rsidR="005431F2">
        <w:t>’</w:t>
      </w:r>
      <w:r w:rsidR="005F080E">
        <w:t>examen de l</w:t>
      </w:r>
      <w:r w:rsidR="005431F2">
        <w:t>’</w:t>
      </w:r>
      <w:r w:rsidR="005F080E">
        <w:t>existence d</w:t>
      </w:r>
      <w:r w:rsidR="005431F2">
        <w:t>’</w:t>
      </w:r>
      <w:r w:rsidR="005F080E">
        <w:t>un risque de préjudice irréparable</w:t>
      </w:r>
      <w:r w:rsidR="00BC70EF">
        <w:t>.</w:t>
      </w:r>
      <w:r w:rsidR="000B5BE2">
        <w:t xml:space="preserve"> Enfin</w:t>
      </w:r>
      <w:r w:rsidR="005F080E">
        <w:t xml:space="preserve"> et justement</w:t>
      </w:r>
      <w:r w:rsidR="000B5BE2">
        <w:t>, il paraîtrait incongru qu</w:t>
      </w:r>
      <w:r w:rsidR="005431F2">
        <w:t>’</w:t>
      </w:r>
      <w:r w:rsidR="000B5BE2">
        <w:t>un risque de préjudice irréparable aux droits plausiblement allégués soit identifié mais que l</w:t>
      </w:r>
      <w:r w:rsidR="005431F2">
        <w:t>’</w:t>
      </w:r>
      <w:r w:rsidR="000B5BE2">
        <w:t xml:space="preserve">urgence ne soit pas </w:t>
      </w:r>
      <w:r w:rsidR="005F080E">
        <w:t xml:space="preserve">jugée </w:t>
      </w:r>
      <w:r w:rsidR="000B5BE2">
        <w:t>constituée</w:t>
      </w:r>
      <w:r w:rsidR="005F080E">
        <w:t>. L</w:t>
      </w:r>
      <w:r w:rsidR="000B5BE2">
        <w:t>es refus d</w:t>
      </w:r>
      <w:r w:rsidR="005431F2">
        <w:t>’</w:t>
      </w:r>
      <w:r w:rsidR="000B5BE2">
        <w:t xml:space="preserve">indication des mesures conservatoires </w:t>
      </w:r>
      <w:r w:rsidR="004D14E0">
        <w:t>fondés sur</w:t>
      </w:r>
      <w:r w:rsidR="000B5BE2">
        <w:t xml:space="preserve"> un défaut d</w:t>
      </w:r>
      <w:r w:rsidR="005431F2">
        <w:t>’</w:t>
      </w:r>
      <w:r w:rsidR="000B5BE2">
        <w:t>urgence sont, d</w:t>
      </w:r>
      <w:r w:rsidR="005431F2">
        <w:t>’</w:t>
      </w:r>
      <w:r w:rsidR="000B5BE2">
        <w:t>ailleurs, avant tout des refus pour défaut d</w:t>
      </w:r>
      <w:r w:rsidR="005431F2">
        <w:t>’</w:t>
      </w:r>
      <w:r w:rsidR="000B5BE2">
        <w:t>identification d</w:t>
      </w:r>
      <w:r w:rsidR="005431F2">
        <w:t>’</w:t>
      </w:r>
      <w:r w:rsidR="000B5BE2">
        <w:t>un risque de préjudice irréparable, l</w:t>
      </w:r>
      <w:r w:rsidR="005431F2">
        <w:t>’</w:t>
      </w:r>
      <w:r w:rsidR="000B5BE2">
        <w:t>urgence n</w:t>
      </w:r>
      <w:r w:rsidR="005431F2">
        <w:t>’</w:t>
      </w:r>
      <w:r w:rsidR="000B5BE2">
        <w:t>étant qu</w:t>
      </w:r>
      <w:r w:rsidR="005431F2">
        <w:t>’</w:t>
      </w:r>
      <w:r w:rsidR="000B5BE2">
        <w:t>un accessoire du principal que constitue ce risque</w:t>
      </w:r>
      <w:r w:rsidR="000B5BE2">
        <w:rPr>
          <w:rStyle w:val="Appelnotedebasdep"/>
        </w:rPr>
        <w:footnoteReference w:id="87"/>
      </w:r>
      <w:r w:rsidR="000B5BE2">
        <w:t>.</w:t>
      </w:r>
      <w:r w:rsidR="00BC70EF">
        <w:t xml:space="preserve"> </w:t>
      </w:r>
      <w:r w:rsidR="00E13647">
        <w:t>Autrement dit, l</w:t>
      </w:r>
      <w:r w:rsidR="005431F2">
        <w:t>’</w:t>
      </w:r>
      <w:r w:rsidR="00E13647">
        <w:t>urgence</w:t>
      </w:r>
      <w:r w:rsidR="000B5BE2">
        <w:t xml:space="preserve"> </w:t>
      </w:r>
      <w:r w:rsidR="00E13647">
        <w:t xml:space="preserve">nous semble se transformer </w:t>
      </w:r>
      <w:r w:rsidR="00E54054">
        <w:t xml:space="preserve">peu à peu </w:t>
      </w:r>
      <w:r w:rsidR="00E13647">
        <w:t xml:space="preserve">en </w:t>
      </w:r>
      <w:r w:rsidR="00E54054">
        <w:t>un critère qu</w:t>
      </w:r>
      <w:r w:rsidR="005431F2">
        <w:t>’</w:t>
      </w:r>
      <w:r w:rsidR="00E54054">
        <w:t xml:space="preserve">il </w:t>
      </w:r>
      <w:r w:rsidR="00BC70EF">
        <w:t>r</w:t>
      </w:r>
      <w:r w:rsidR="00E54054">
        <w:t>est</w:t>
      </w:r>
      <w:r w:rsidR="00BC70EF">
        <w:t>e</w:t>
      </w:r>
      <w:r w:rsidR="00E54054">
        <w:t xml:space="preserve"> d</w:t>
      </w:r>
      <w:r w:rsidR="005431F2">
        <w:t>’</w:t>
      </w:r>
      <w:r w:rsidR="00E54054">
        <w:t>usage d</w:t>
      </w:r>
      <w:r w:rsidR="005431F2">
        <w:t>’</w:t>
      </w:r>
      <w:r w:rsidR="00E54054">
        <w:t>aborder</w:t>
      </w:r>
      <w:r w:rsidR="00BC70EF">
        <w:t xml:space="preserve"> et de plaider</w:t>
      </w:r>
      <w:r w:rsidR="00E54054">
        <w:t>, mais dont l</w:t>
      </w:r>
      <w:r w:rsidR="005431F2">
        <w:t>’</w:t>
      </w:r>
      <w:r w:rsidR="00E54054">
        <w:t>importance ne doit pas être surestimée, voire dont la banalisation a été plus ou moins tacitement actée au Palais de la paix.</w:t>
      </w:r>
    </w:p>
    <w:p w14:paraId="4DED8A1B" w14:textId="77777777" w:rsidR="00B37150" w:rsidRDefault="00B37150" w:rsidP="002D523A">
      <w:pPr>
        <w:pStyle w:val="Paragraphedeliste"/>
        <w:spacing w:line="240" w:lineRule="auto"/>
      </w:pPr>
    </w:p>
    <w:p w14:paraId="2B6E574E" w14:textId="456EF96B" w:rsidR="004001B3" w:rsidRDefault="004001B3" w:rsidP="004001B3">
      <w:pPr>
        <w:numPr>
          <w:ilvl w:val="0"/>
          <w:numId w:val="0"/>
        </w:numPr>
        <w:spacing w:line="240" w:lineRule="auto"/>
        <w:rPr>
          <w:b/>
          <w:bCs/>
          <w:u w:val="single"/>
        </w:rPr>
      </w:pPr>
    </w:p>
    <w:p w14:paraId="4D635862" w14:textId="64267658" w:rsidR="00B37150" w:rsidRPr="00B37150" w:rsidRDefault="00B37150" w:rsidP="00B37150">
      <w:pPr>
        <w:numPr>
          <w:ilvl w:val="0"/>
          <w:numId w:val="0"/>
        </w:numPr>
        <w:spacing w:line="240" w:lineRule="auto"/>
        <w:jc w:val="center"/>
        <w:rPr>
          <w:b/>
          <w:bCs/>
        </w:rPr>
      </w:pPr>
      <w:r w:rsidRPr="00B37150">
        <w:rPr>
          <w:b/>
          <w:bCs/>
        </w:rPr>
        <w:t>***</w:t>
      </w:r>
    </w:p>
    <w:p w14:paraId="3296FE70" w14:textId="77777777" w:rsidR="00B37150" w:rsidRPr="004001B3" w:rsidRDefault="00B37150" w:rsidP="004001B3">
      <w:pPr>
        <w:numPr>
          <w:ilvl w:val="0"/>
          <w:numId w:val="0"/>
        </w:numPr>
        <w:spacing w:line="240" w:lineRule="auto"/>
        <w:rPr>
          <w:b/>
          <w:bCs/>
          <w:u w:val="single"/>
        </w:rPr>
      </w:pPr>
    </w:p>
    <w:p w14:paraId="3BF21129" w14:textId="5D517599" w:rsidR="004001B3" w:rsidRPr="00BA71E9" w:rsidRDefault="00B37150" w:rsidP="003B6FB7">
      <w:pPr>
        <w:numPr>
          <w:ilvl w:val="0"/>
          <w:numId w:val="0"/>
        </w:numPr>
        <w:spacing w:line="240" w:lineRule="auto"/>
      </w:pPr>
      <w:r>
        <w:t>Les conclusions de la Cour, dans les deux affaires, méritent que l</w:t>
      </w:r>
      <w:r w:rsidR="005431F2">
        <w:t>’</w:t>
      </w:r>
      <w:r>
        <w:t>on s</w:t>
      </w:r>
      <w:r w:rsidR="005431F2">
        <w:t>’</w:t>
      </w:r>
      <w:r>
        <w:t>y arrête. De manière traditionnelle, les juges du Palais de la Paix</w:t>
      </w:r>
      <w:r w:rsidR="001F0FE2">
        <w:t xml:space="preserve"> ne se sentent pas liés par les mesures demandées</w:t>
      </w:r>
      <w:r w:rsidR="00CB6B67">
        <w:rPr>
          <w:rStyle w:val="Appelnotedebasdep"/>
        </w:rPr>
        <w:footnoteReference w:id="88"/>
      </w:r>
      <w:r w:rsidR="001F0FE2">
        <w:t xml:space="preserve"> </w:t>
      </w:r>
      <w:r w:rsidR="001F0FE2">
        <w:lastRenderedPageBreak/>
        <w:t>– ce qui peut paraître paradoxal, puisqu</w:t>
      </w:r>
      <w:r w:rsidR="005431F2">
        <w:t>’</w:t>
      </w:r>
      <w:r w:rsidR="001F0FE2">
        <w:t>ils ont justement consacré une partie du raisonnement de chaque arrêt à déterminer le lien qu</w:t>
      </w:r>
      <w:r w:rsidR="005431F2">
        <w:t>’</w:t>
      </w:r>
      <w:r w:rsidR="001F0FE2">
        <w:t xml:space="preserve">entretiennent les mesures requises avec les droits allégués. </w:t>
      </w:r>
      <w:r w:rsidR="004001B3">
        <w:t>Depuis le choix, opéré par l</w:t>
      </w:r>
      <w:r w:rsidR="005431F2">
        <w:t>’</w:t>
      </w:r>
      <w:r w:rsidR="004001B3">
        <w:t xml:space="preserve">arrêt </w:t>
      </w:r>
      <w:r w:rsidR="004001B3">
        <w:rPr>
          <w:i/>
          <w:iCs/>
        </w:rPr>
        <w:t>Lagrand</w:t>
      </w:r>
      <w:r w:rsidR="004001B3">
        <w:t>, de considérer les mesures conservatoires comme « obligatoires »</w:t>
      </w:r>
      <w:r w:rsidR="00DD18B2">
        <w:rPr>
          <w:rStyle w:val="Appelnotedebasdep"/>
        </w:rPr>
        <w:footnoteReference w:id="89"/>
      </w:r>
      <w:r w:rsidR="001F0FE2">
        <w:t xml:space="preserve">, </w:t>
      </w:r>
      <w:r w:rsidR="00DD18B2">
        <w:t xml:space="preserve">ce </w:t>
      </w:r>
      <w:r w:rsidR="001F0FE2">
        <w:t xml:space="preserve">dernier </w:t>
      </w:r>
      <w:r w:rsidR="00DD18B2">
        <w:t>caractère ne fait</w:t>
      </w:r>
      <w:r w:rsidR="001F0FE2">
        <w:t xml:space="preserve"> par ailleurs</w:t>
      </w:r>
      <w:r w:rsidR="00DD18B2">
        <w:t xml:space="preserve"> plus débat. </w:t>
      </w:r>
      <w:r w:rsidR="0096512E">
        <w:t>Cependant, le problème de leur effectivité</w:t>
      </w:r>
      <w:r w:rsidR="001F0FE2">
        <w:t xml:space="preserve"> a été souligné ces dernières années, de sorte que la Cour s</w:t>
      </w:r>
      <w:r w:rsidR="005431F2">
        <w:t>’</w:t>
      </w:r>
      <w:r w:rsidR="001F0FE2">
        <w:t xml:space="preserve">est </w:t>
      </w:r>
      <w:r w:rsidR="003913AA">
        <w:t>laissé</w:t>
      </w:r>
      <w:r w:rsidR="001F0FE2">
        <w:t xml:space="preserve"> convaincre, selon le modèle du </w:t>
      </w:r>
      <w:r w:rsidR="00AF3517">
        <w:t>Tribunal international du droit de la mer</w:t>
      </w:r>
      <w:r w:rsidR="003209BD">
        <w:t xml:space="preserve">, </w:t>
      </w:r>
      <w:r w:rsidR="003913AA">
        <w:t>par l</w:t>
      </w:r>
      <w:r w:rsidR="005431F2">
        <w:t>’</w:t>
      </w:r>
      <w:r w:rsidR="003913AA">
        <w:t xml:space="preserve">outil que constitue la remise de rapports réguliers </w:t>
      </w:r>
      <w:r w:rsidR="00AF3517">
        <w:t>lui permettant de suivre l</w:t>
      </w:r>
      <w:r w:rsidR="005431F2">
        <w:t>’</w:t>
      </w:r>
      <w:r w:rsidR="00AF3517">
        <w:t>application des autres mesures indiquées</w:t>
      </w:r>
      <w:r w:rsidR="00AF3517">
        <w:rPr>
          <w:rStyle w:val="Appelnotedebasdep"/>
        </w:rPr>
        <w:footnoteReference w:id="90"/>
      </w:r>
      <w:r w:rsidR="00AF3517">
        <w:t xml:space="preserve">. </w:t>
      </w:r>
      <w:r w:rsidR="00C37115">
        <w:t>Dans les deux affaires commentées, la mesure</w:t>
      </w:r>
      <w:r w:rsidR="00D71F4B">
        <w:t xml:space="preserve"> de « </w:t>
      </w:r>
      <w:r w:rsidR="00D71F4B" w:rsidRPr="00D71F4B">
        <w:rPr>
          <w:i/>
          <w:iCs/>
        </w:rPr>
        <w:t>reporting</w:t>
      </w:r>
      <w:r w:rsidR="00D71F4B">
        <w:t> »</w:t>
      </w:r>
      <w:r w:rsidR="00C37115">
        <w:t xml:space="preserve"> requise n</w:t>
      </w:r>
      <w:r w:rsidR="005431F2">
        <w:t>’</w:t>
      </w:r>
      <w:r w:rsidR="00C37115">
        <w:t>a fait l</w:t>
      </w:r>
      <w:r w:rsidR="005431F2">
        <w:t>’</w:t>
      </w:r>
      <w:r w:rsidR="00C37115">
        <w:t>objet, à l</w:t>
      </w:r>
      <w:r w:rsidR="005431F2">
        <w:t>’</w:t>
      </w:r>
      <w:r w:rsidR="00C37115">
        <w:t>oral, d</w:t>
      </w:r>
      <w:r w:rsidR="005431F2">
        <w:t>’</w:t>
      </w:r>
      <w:r w:rsidR="00C37115">
        <w:t xml:space="preserve">aucun </w:t>
      </w:r>
      <w:r w:rsidR="00D71F4B">
        <w:t>développement</w:t>
      </w:r>
      <w:r w:rsidR="00C37115">
        <w:rPr>
          <w:rStyle w:val="Appelnotedebasdep"/>
        </w:rPr>
        <w:footnoteReference w:id="91"/>
      </w:r>
      <w:r w:rsidR="00524287">
        <w:t xml:space="preserve">, les </w:t>
      </w:r>
      <w:r w:rsidR="00D71F4B">
        <w:t>parties demandeuses estimant peut-être son indication acquise.</w:t>
      </w:r>
      <w:r w:rsidR="00313285">
        <w:t xml:space="preserve"> Or,</w:t>
      </w:r>
      <w:r w:rsidR="00457DDC">
        <w:t xml:space="preserve"> si </w:t>
      </w:r>
      <w:r w:rsidR="00313285">
        <w:t>l</w:t>
      </w:r>
      <w:r w:rsidR="005431F2">
        <w:t>’</w:t>
      </w:r>
      <w:r w:rsidR="00313285">
        <w:t>indication d</w:t>
      </w:r>
      <w:r w:rsidR="005431F2">
        <w:t>’</w:t>
      </w:r>
      <w:r w:rsidR="00313285">
        <w:t xml:space="preserve">une telle mesure </w:t>
      </w:r>
      <w:r w:rsidR="00735D6A">
        <w:t>si « inhabituelle »</w:t>
      </w:r>
      <w:r w:rsidR="00735D6A">
        <w:rPr>
          <w:rStyle w:val="Appelnotedebasdep"/>
        </w:rPr>
        <w:footnoteReference w:id="92"/>
      </w:r>
      <w:r w:rsidR="00735D6A">
        <w:t xml:space="preserve"> </w:t>
      </w:r>
      <w:r w:rsidR="00313285">
        <w:t>a des conséquences – notamment en termes de charge de travail pour la Cour</w:t>
      </w:r>
      <w:r w:rsidR="00313285">
        <w:rPr>
          <w:rStyle w:val="Appelnotedebasdep"/>
        </w:rPr>
        <w:footnoteReference w:id="93"/>
      </w:r>
      <w:r w:rsidR="00313285">
        <w:t xml:space="preserve"> </w:t>
      </w:r>
      <w:r w:rsidR="00ED3B7B">
        <w:t>–,</w:t>
      </w:r>
      <w:r w:rsidR="00457DDC">
        <w:t xml:space="preserve"> son rejet en emporte certainement aussi. En n</w:t>
      </w:r>
      <w:r w:rsidR="005431F2">
        <w:t>’</w:t>
      </w:r>
      <w:r w:rsidR="00457DDC">
        <w:t>accédant pas aux requêtes arméniennes et azerbaïdjanaises,</w:t>
      </w:r>
      <w:r w:rsidR="00516594">
        <w:t xml:space="preserve"> </w:t>
      </w:r>
      <w:r w:rsidR="00457DDC">
        <w:t xml:space="preserve"> la Cour a entendu réaffirmer</w:t>
      </w:r>
      <w:r w:rsidR="00516594">
        <w:t xml:space="preserve"> de manière imprévisible</w:t>
      </w:r>
      <w:bookmarkStart w:id="11" w:name="_Ref95792873"/>
      <w:r w:rsidR="00516594">
        <w:rPr>
          <w:rStyle w:val="Appelnotedebasdep"/>
        </w:rPr>
        <w:footnoteReference w:id="94"/>
      </w:r>
      <w:bookmarkEnd w:id="11"/>
      <w:r w:rsidR="00457DDC">
        <w:t xml:space="preserve"> qu</w:t>
      </w:r>
      <w:r w:rsidR="005431F2">
        <w:t>’</w:t>
      </w:r>
      <w:r w:rsidR="00457DDC">
        <w:t>elle demeurait maîtresse de l</w:t>
      </w:r>
      <w:r w:rsidR="005431F2">
        <w:t>’</w:t>
      </w:r>
      <w:r w:rsidR="00457DDC">
        <w:t>opportunité d</w:t>
      </w:r>
      <w:r w:rsidR="005431F2">
        <w:t>’</w:t>
      </w:r>
      <w:r w:rsidR="00457DDC">
        <w:t>indiquer ou non des mesures, mais elle pourrait, ce-faisant, générer une nouvelle difficulté en procédant à une distinction indirecte, mais diplomatiquement délicate, entre les contentieux dont il n</w:t>
      </w:r>
      <w:r w:rsidR="005431F2">
        <w:t>’</w:t>
      </w:r>
      <w:r w:rsidR="00457DDC">
        <w:t xml:space="preserve">y a pas </w:t>
      </w:r>
      <w:r w:rsidR="00BA71E9">
        <w:t>motifs</w:t>
      </w:r>
      <w:r w:rsidR="00457DDC">
        <w:t xml:space="preserve"> de douter que les parties se conformeront aux mesures indiquées…et </w:t>
      </w:r>
      <w:r w:rsidR="00457DDC">
        <w:lastRenderedPageBreak/>
        <w:t xml:space="preserve">ceux dont la Cour a </w:t>
      </w:r>
      <w:r w:rsidR="00BA71E9">
        <w:t xml:space="preserve">au contraire </w:t>
      </w:r>
      <w:r w:rsidR="00457DDC">
        <w:t>des raisons de penser, au regard des circonstances de l</w:t>
      </w:r>
      <w:r w:rsidR="005431F2">
        <w:t>’</w:t>
      </w:r>
      <w:r w:rsidR="00457DDC">
        <w:t>espèce, que le caractère obligatoire des mesures indiquées est insuffisant</w:t>
      </w:r>
      <w:r w:rsidR="00BA71E9">
        <w:t>. Autrement dit, l</w:t>
      </w:r>
      <w:r w:rsidR="005431F2">
        <w:t>’</w:t>
      </w:r>
      <w:r w:rsidR="00BA71E9">
        <w:t>indication ou non de la mesure de « </w:t>
      </w:r>
      <w:r w:rsidR="00BA71E9">
        <w:rPr>
          <w:i/>
          <w:iCs/>
        </w:rPr>
        <w:t>reporting</w:t>
      </w:r>
      <w:r w:rsidR="00BA71E9">
        <w:t> » pourrait finalement constituer un marqueur du degré de confiance – ou de l</w:t>
      </w:r>
      <w:r w:rsidR="005431F2">
        <w:t>’</w:t>
      </w:r>
      <w:r w:rsidR="00BA71E9">
        <w:t>absence de confiance – que porte la Cour à l</w:t>
      </w:r>
      <w:r w:rsidR="005431F2">
        <w:t>’</w:t>
      </w:r>
      <w:r w:rsidR="00BA71E9">
        <w:t>État visé. Cette position étant diplomatiquement malaisée pour la Cour, il y a lieu de penser que cette dernière devra, à l</w:t>
      </w:r>
      <w:r w:rsidR="005431F2">
        <w:t>’</w:t>
      </w:r>
      <w:r w:rsidR="00BA71E9">
        <w:t>avenir, motiver substantiellement les acceptations ou refus afin de les fonder sur des éléments objectifs : la confiance que portent actuellement les États dans la juridiction internationale, qu</w:t>
      </w:r>
      <w:r w:rsidR="005431F2">
        <w:t>’</w:t>
      </w:r>
      <w:r w:rsidR="00BA71E9">
        <w:t>illustre indubitablement sa vitalité, pourrait en dépendre.</w:t>
      </w:r>
    </w:p>
    <w:p w14:paraId="45AD1716" w14:textId="77777777" w:rsidR="00D1683D" w:rsidRDefault="00D1683D" w:rsidP="00D1683D">
      <w:pPr>
        <w:numPr>
          <w:ilvl w:val="0"/>
          <w:numId w:val="0"/>
        </w:numPr>
        <w:spacing w:line="240" w:lineRule="auto"/>
        <w:jc w:val="left"/>
      </w:pPr>
    </w:p>
    <w:sectPr w:rsidR="00D1683D" w:rsidSect="00AB3B9E">
      <w:headerReference w:type="default" r:id="rId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9DC0F" w14:textId="77777777" w:rsidR="001727F4" w:rsidRDefault="001727F4" w:rsidP="00570C10">
      <w:pPr>
        <w:spacing w:line="240" w:lineRule="auto"/>
      </w:pPr>
      <w:r>
        <w:separator/>
      </w:r>
    </w:p>
  </w:endnote>
  <w:endnote w:type="continuationSeparator" w:id="0">
    <w:p w14:paraId="682FCA4B" w14:textId="77777777" w:rsidR="001727F4" w:rsidRDefault="001727F4" w:rsidP="00570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Droid Sans Fallback">
    <w:panose1 w:val="020B0604020202020204"/>
    <w:charset w:val="00"/>
    <w:family w:val="auto"/>
    <w:pitch w:val="variable"/>
  </w:font>
  <w:font w:name="FreeSans">
    <w:altName w:val="Times New Roman"/>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196738"/>
      <w:docPartObj>
        <w:docPartGallery w:val="Page Numbers (Bottom of Page)"/>
        <w:docPartUnique/>
      </w:docPartObj>
    </w:sdtPr>
    <w:sdtEndPr>
      <w:rPr>
        <w:noProof/>
      </w:rPr>
    </w:sdtEndPr>
    <w:sdtContent>
      <w:p w14:paraId="119698BD" w14:textId="7743E003" w:rsidR="00067C45" w:rsidRDefault="00067C45">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57AE1241" w14:textId="77777777" w:rsidR="00067C45" w:rsidRDefault="00067C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FDF2" w14:textId="77777777" w:rsidR="001727F4" w:rsidRDefault="001727F4" w:rsidP="00F5032B">
      <w:pPr>
        <w:numPr>
          <w:ilvl w:val="0"/>
          <w:numId w:val="0"/>
        </w:numPr>
        <w:spacing w:line="240" w:lineRule="auto"/>
      </w:pPr>
      <w:r>
        <w:separator/>
      </w:r>
    </w:p>
  </w:footnote>
  <w:footnote w:type="continuationSeparator" w:id="0">
    <w:p w14:paraId="24C53C7D" w14:textId="77777777" w:rsidR="001727F4" w:rsidRDefault="001727F4" w:rsidP="000F5CCF">
      <w:pPr>
        <w:numPr>
          <w:ilvl w:val="0"/>
          <w:numId w:val="0"/>
        </w:numPr>
        <w:spacing w:line="240" w:lineRule="auto"/>
      </w:pPr>
      <w:r>
        <w:continuationSeparator/>
      </w:r>
    </w:p>
  </w:footnote>
  <w:footnote w:type="continuationNotice" w:id="1">
    <w:p w14:paraId="6032A6D7" w14:textId="77777777" w:rsidR="001727F4" w:rsidRDefault="001727F4" w:rsidP="000F5CCF">
      <w:pPr>
        <w:numPr>
          <w:ilvl w:val="0"/>
          <w:numId w:val="0"/>
        </w:numPr>
        <w:spacing w:line="240" w:lineRule="auto"/>
      </w:pPr>
    </w:p>
  </w:footnote>
  <w:footnote w:id="2">
    <w:p w14:paraId="3DB5B604" w14:textId="2D471621" w:rsidR="00A472CB" w:rsidRPr="003B6CE3" w:rsidRDefault="00A472CB" w:rsidP="00A472CB">
      <w:pPr>
        <w:pStyle w:val="Notedebasdepage"/>
        <w:rPr>
          <w:rFonts w:ascii="Times" w:hAnsi="Times"/>
        </w:rPr>
      </w:pPr>
      <w:r w:rsidRPr="003B6CE3">
        <w:rPr>
          <w:rStyle w:val="Appelnotedebasdep"/>
          <w:rFonts w:ascii="Times" w:hAnsi="Times"/>
        </w:rPr>
        <w:footnoteRef/>
      </w:r>
      <w:r w:rsidRPr="003B6CE3">
        <w:rPr>
          <w:rFonts w:ascii="Times" w:hAnsi="Times"/>
        </w:rPr>
        <w:t> Maître de conférences en droit public à l</w:t>
      </w:r>
      <w:r w:rsidR="005431F2">
        <w:rPr>
          <w:rFonts w:ascii="Times" w:hAnsi="Times"/>
        </w:rPr>
        <w:t>’</w:t>
      </w:r>
      <w:r w:rsidRPr="003B6CE3">
        <w:rPr>
          <w:rFonts w:ascii="Times" w:hAnsi="Times"/>
        </w:rPr>
        <w:t>Université de Bourgogne, CREDIMI (EA 7532), CEDIN (EA 382) et CMH (EA 4232).</w:t>
      </w:r>
      <w:r>
        <w:rPr>
          <w:rFonts w:ascii="Times" w:hAnsi="Times"/>
        </w:rPr>
        <w:t xml:space="preserve"> </w:t>
      </w:r>
    </w:p>
  </w:footnote>
  <w:footnote w:id="3">
    <w:p w14:paraId="15F08935" w14:textId="7EECB5E0" w:rsidR="006C69C9" w:rsidRDefault="006C69C9">
      <w:pPr>
        <w:pStyle w:val="Notedebasdepage"/>
      </w:pPr>
      <w:r>
        <w:rPr>
          <w:rStyle w:val="Appelnotedebasdep"/>
        </w:rPr>
        <w:footnoteRef/>
      </w:r>
      <w:r>
        <w:t xml:space="preserve"> Hormis les deux ordonnances commentées et mises de côté les ordonnances procédurales, </w:t>
      </w:r>
      <w:r w:rsidR="008A3AF1">
        <w:t xml:space="preserve">la Cour </w:t>
      </w:r>
      <w:r>
        <w:t xml:space="preserve">a rendu trois arrêts en 2021 : CIJ, </w:t>
      </w:r>
      <w:r w:rsidRPr="006C69C9">
        <w:rPr>
          <w:i/>
          <w:iCs/>
        </w:rPr>
        <w:t>Violations alléguées du traité d</w:t>
      </w:r>
      <w:r w:rsidR="005431F2">
        <w:rPr>
          <w:i/>
          <w:iCs/>
        </w:rPr>
        <w:t>’</w:t>
      </w:r>
      <w:r w:rsidRPr="006C69C9">
        <w:rPr>
          <w:i/>
          <w:iCs/>
        </w:rPr>
        <w:t>amitié, de commerce et de droits consulaires de 1955 (République islamique d</w:t>
      </w:r>
      <w:r w:rsidR="005431F2">
        <w:rPr>
          <w:i/>
          <w:iCs/>
        </w:rPr>
        <w:t>’</w:t>
      </w:r>
      <w:r w:rsidRPr="006C69C9">
        <w:rPr>
          <w:i/>
          <w:iCs/>
        </w:rPr>
        <w:t>Iran c. États-Unis d</w:t>
      </w:r>
      <w:r w:rsidR="005431F2">
        <w:rPr>
          <w:i/>
          <w:iCs/>
        </w:rPr>
        <w:t>’</w:t>
      </w:r>
      <w:r w:rsidRPr="006C69C9">
        <w:rPr>
          <w:i/>
          <w:iCs/>
        </w:rPr>
        <w:t>Amérique)</w:t>
      </w:r>
      <w:r w:rsidRPr="006C69C9">
        <w:t xml:space="preserve">, </w:t>
      </w:r>
      <w:r w:rsidR="001C015B" w:rsidRPr="006C69C9">
        <w:t>exceptions préliminaires</w:t>
      </w:r>
      <w:r w:rsidR="001C015B">
        <w:t xml:space="preserve">, </w:t>
      </w:r>
      <w:r w:rsidRPr="006C69C9">
        <w:t>arrêt du 3 février 2021</w:t>
      </w:r>
      <w:r w:rsidR="001C015B">
        <w:t xml:space="preserve"> </w:t>
      </w:r>
      <w:r w:rsidRPr="006C69C9">
        <w:t xml:space="preserve">; CIJ, </w:t>
      </w:r>
      <w:r w:rsidRPr="006C69C9">
        <w:rPr>
          <w:i/>
          <w:iCs/>
        </w:rPr>
        <w:t>Application de la convention internationale sur l</w:t>
      </w:r>
      <w:r w:rsidR="005431F2">
        <w:rPr>
          <w:i/>
          <w:iCs/>
        </w:rPr>
        <w:t>’</w:t>
      </w:r>
      <w:r w:rsidRPr="006C69C9">
        <w:rPr>
          <w:i/>
          <w:iCs/>
        </w:rPr>
        <w:t>élimination de toutes les formes de discrimination raciale (Qatar c. Émirats arabes unis)</w:t>
      </w:r>
      <w:r w:rsidRPr="006C69C9">
        <w:t xml:space="preserve">, </w:t>
      </w:r>
      <w:r w:rsidR="001C015B" w:rsidRPr="006C69C9">
        <w:t>exceptions préliminaires</w:t>
      </w:r>
      <w:r w:rsidR="001C015B">
        <w:t xml:space="preserve">, </w:t>
      </w:r>
      <w:r w:rsidRPr="006C69C9">
        <w:t>arrêt du 4 février 202</w:t>
      </w:r>
      <w:r w:rsidR="001C015B">
        <w:t xml:space="preserve">1 </w:t>
      </w:r>
      <w:r w:rsidRPr="006C69C9">
        <w:t xml:space="preserve">; CIJ, </w:t>
      </w:r>
      <w:r w:rsidRPr="006C69C9">
        <w:rPr>
          <w:i/>
          <w:iCs/>
        </w:rPr>
        <w:t>Délimitation maritime dans l</w:t>
      </w:r>
      <w:r w:rsidR="005431F2">
        <w:rPr>
          <w:i/>
          <w:iCs/>
        </w:rPr>
        <w:t>’</w:t>
      </w:r>
      <w:r w:rsidRPr="006C69C9">
        <w:rPr>
          <w:i/>
          <w:iCs/>
        </w:rPr>
        <w:t>océan Indien (Somalie c. Kenya)</w:t>
      </w:r>
      <w:r w:rsidRPr="006C69C9">
        <w:t>, arrêt du 12 octobre 2021.</w:t>
      </w:r>
      <w:r w:rsidR="008974AF">
        <w:t xml:space="preserve"> Cependant, alors que seules deux affaires avaient été introduites en 2019 – et aucune en 2020 – trois nouvelles requêtes, dont les deux faisant l</w:t>
      </w:r>
      <w:r w:rsidR="005431F2">
        <w:t>’</w:t>
      </w:r>
      <w:r w:rsidR="008974AF">
        <w:t>objet des ordonnances commentées, ont été introduites en 2021.</w:t>
      </w:r>
    </w:p>
  </w:footnote>
  <w:footnote w:id="4">
    <w:p w14:paraId="7EDA4B6E" w14:textId="1E8738C1" w:rsidR="00A472CB" w:rsidRDefault="00A472CB">
      <w:pPr>
        <w:pStyle w:val="Notedebasdepage"/>
      </w:pPr>
      <w:r>
        <w:rPr>
          <w:rStyle w:val="Appelnotedebasdep"/>
        </w:rPr>
        <w:footnoteRef/>
      </w:r>
      <w:r>
        <w:t xml:space="preserve"> CIJ, </w:t>
      </w:r>
      <w:r w:rsidRPr="00A472CB">
        <w:rPr>
          <w:i/>
          <w:iCs/>
        </w:rPr>
        <w:t>Allégations de génocide au titre de la convention pour la prévention et la répression du crime de génocide (Ukraine c. Fédération de Russie)</w:t>
      </w:r>
      <w:r w:rsidRPr="00A472CB">
        <w:t>, mesures conservatoires, ordonnance du 16 mars 2022, Rôle général n°</w:t>
      </w:r>
      <w:r>
        <w:t> </w:t>
      </w:r>
      <w:r w:rsidRPr="00A472CB">
        <w:t xml:space="preserve">182. À son propos, v. Raphaël Maurel, </w:t>
      </w:r>
      <w:r>
        <w:t>« </w:t>
      </w:r>
      <w:r w:rsidRPr="00A472CB">
        <w:t xml:space="preserve">Ukraine c. Fédération de Russie : la CIJ ordonne à la Russie de </w:t>
      </w:r>
      <w:r>
        <w:rPr>
          <w:lang w:val="en-GB"/>
        </w:rPr>
        <w:t>“</w:t>
      </w:r>
      <w:r w:rsidRPr="00A472CB">
        <w:t>suspendre immédiatement</w:t>
      </w:r>
      <w:r>
        <w:rPr>
          <w:lang w:val="en-US"/>
        </w:rPr>
        <w:t>”</w:t>
      </w:r>
      <w:r w:rsidRPr="00A472CB">
        <w:t xml:space="preserve"> ses opérations militaires en Ukraine</w:t>
      </w:r>
      <w:r>
        <w:t> »</w:t>
      </w:r>
      <w:r w:rsidRPr="00A472CB">
        <w:t xml:space="preserve">, </w:t>
      </w:r>
      <w:r w:rsidRPr="00A472CB">
        <w:rPr>
          <w:i/>
          <w:iCs/>
        </w:rPr>
        <w:t>Dalloz Actu</w:t>
      </w:r>
      <w:r w:rsidR="00AD1CFA">
        <w:rPr>
          <w:i/>
          <w:iCs/>
        </w:rPr>
        <w:t>alité</w:t>
      </w:r>
      <w:r w:rsidRPr="00A472CB">
        <w:t>, édition 18 mars 2022.</w:t>
      </w:r>
    </w:p>
  </w:footnote>
  <w:footnote w:id="5">
    <w:p w14:paraId="180EEB14" w14:textId="1C837DB2" w:rsidR="004C1430" w:rsidRDefault="004C1430">
      <w:pPr>
        <w:pStyle w:val="Notedebasdepage"/>
      </w:pPr>
      <w:r>
        <w:rPr>
          <w:rStyle w:val="Appelnotedebasdep"/>
        </w:rPr>
        <w:footnoteRef/>
      </w:r>
      <w:r>
        <w:t xml:space="preserve"> Romain Le Bœuf, </w:t>
      </w:r>
      <w:r w:rsidR="006C29D7">
        <w:t>«</w:t>
      </w:r>
      <w:r w:rsidR="009524D1">
        <w:t> </w:t>
      </w:r>
      <w:r w:rsidR="006C29D7">
        <w:t>La déclaration de cessez-le-feu entre l</w:t>
      </w:r>
      <w:r w:rsidR="005431F2">
        <w:t>’</w:t>
      </w:r>
      <w:r w:rsidR="006C29D7">
        <w:t>Arménie et l</w:t>
      </w:r>
      <w:r w:rsidR="005431F2">
        <w:t>’</w:t>
      </w:r>
      <w:r w:rsidR="006C29D7">
        <w:t xml:space="preserve">Azerbaïdjan : un nouvel épisode de la lutte pour le Haut-Karabakh », </w:t>
      </w:r>
      <w:r w:rsidR="006C29D7" w:rsidRPr="006C29D7">
        <w:rPr>
          <w:i/>
          <w:iCs/>
        </w:rPr>
        <w:t>AFDI</w:t>
      </w:r>
      <w:r w:rsidR="006C29D7">
        <w:t>, vol. 60, 2020, p. 291.</w:t>
      </w:r>
    </w:p>
  </w:footnote>
  <w:footnote w:id="6">
    <w:p w14:paraId="5CD3F6A6" w14:textId="6DDEBA2F" w:rsidR="009C328C" w:rsidRDefault="009C328C">
      <w:pPr>
        <w:pStyle w:val="Notedebasdepage"/>
      </w:pPr>
      <w:r>
        <w:rPr>
          <w:rStyle w:val="Appelnotedebasdep"/>
        </w:rPr>
        <w:footnoteRef/>
      </w:r>
      <w:r>
        <w:t xml:space="preserve"> </w:t>
      </w:r>
      <w:r w:rsidRPr="009C328C">
        <w:t>À propos de l</w:t>
      </w:r>
      <w:r w:rsidR="005431F2">
        <w:t>’</w:t>
      </w:r>
      <w:r w:rsidRPr="009C328C">
        <w:t>ordonnance relative à l</w:t>
      </w:r>
      <w:r w:rsidR="005431F2">
        <w:t>’</w:t>
      </w:r>
      <w:r w:rsidRPr="009C328C">
        <w:t xml:space="preserve">affaire </w:t>
      </w:r>
      <w:r w:rsidRPr="009C328C">
        <w:rPr>
          <w:i/>
          <w:iCs/>
        </w:rPr>
        <w:t>Gambie c. Myanmar</w:t>
      </w:r>
      <w:r w:rsidRPr="009C328C">
        <w:t xml:space="preserve"> (v. </w:t>
      </w:r>
      <w:r w:rsidRPr="009C328C">
        <w:rPr>
          <w:i/>
          <w:iCs/>
        </w:rPr>
        <w:t>infra</w:t>
      </w:r>
      <w:r w:rsidRPr="009C328C">
        <w:t xml:space="preserve"> note</w:t>
      </w:r>
      <w:r w:rsidR="00863F4A">
        <w:t xml:space="preserve"> </w:t>
      </w:r>
      <w:r w:rsidR="00863F4A">
        <w:fldChar w:fldCharType="begin"/>
      </w:r>
      <w:r w:rsidR="00863F4A">
        <w:instrText xml:space="preserve"> NOTEREF _Ref95334796 \h </w:instrText>
      </w:r>
      <w:r w:rsidR="00863F4A">
        <w:fldChar w:fldCharType="separate"/>
      </w:r>
      <w:r w:rsidR="00935311">
        <w:t>7</w:t>
      </w:r>
      <w:r w:rsidR="00863F4A">
        <w:fldChar w:fldCharType="end"/>
      </w:r>
      <w:r w:rsidRPr="009C328C">
        <w:t xml:space="preserve">), Pierre-François Laval, </w:t>
      </w:r>
      <w:r>
        <w:t>« </w:t>
      </w:r>
      <w:r w:rsidRPr="009C328C">
        <w:t>Chronique de jurisprudence internationale</w:t>
      </w:r>
      <w:r>
        <w:t> »</w:t>
      </w:r>
      <w:r w:rsidRPr="009C328C">
        <w:t xml:space="preserve">, </w:t>
      </w:r>
      <w:r w:rsidRPr="009C328C">
        <w:rPr>
          <w:i/>
          <w:iCs/>
        </w:rPr>
        <w:t>RGDIP</w:t>
      </w:r>
      <w:r w:rsidRPr="009C328C">
        <w:t>, vol. 2020-1, p. 149.</w:t>
      </w:r>
    </w:p>
  </w:footnote>
  <w:footnote w:id="7">
    <w:p w14:paraId="2401FF72" w14:textId="14563E1D" w:rsidR="009C328C" w:rsidRPr="009C328C" w:rsidRDefault="009C328C">
      <w:pPr>
        <w:pStyle w:val="Notedebasdepage"/>
      </w:pPr>
      <w:r>
        <w:rPr>
          <w:rStyle w:val="Appelnotedebasdep"/>
        </w:rPr>
        <w:footnoteRef/>
      </w:r>
      <w:r>
        <w:t xml:space="preserve"> </w:t>
      </w:r>
      <w:r>
        <w:rPr>
          <w:i/>
          <w:iCs/>
        </w:rPr>
        <w:t>Idem</w:t>
      </w:r>
      <w:r>
        <w:t>.</w:t>
      </w:r>
    </w:p>
  </w:footnote>
  <w:footnote w:id="8">
    <w:p w14:paraId="47CC77D1" w14:textId="64953A24" w:rsidR="001C015B" w:rsidRPr="0041051B" w:rsidRDefault="001C015B" w:rsidP="004C1784">
      <w:pPr>
        <w:pStyle w:val="Notedebasdepage"/>
        <w:rPr>
          <w:rFonts w:ascii="Times" w:hAnsi="Times"/>
          <w:lang w:val="en-CA"/>
        </w:rPr>
      </w:pPr>
      <w:r>
        <w:rPr>
          <w:rStyle w:val="Appelnotedebasdep"/>
        </w:rPr>
        <w:footnoteRef/>
      </w:r>
      <w:r>
        <w:t xml:space="preserve"> </w:t>
      </w:r>
      <w:r w:rsidRPr="003B6CE3">
        <w:rPr>
          <w:rFonts w:ascii="Times" w:hAnsi="Times"/>
        </w:rPr>
        <w:t xml:space="preserve">CIJ, </w:t>
      </w:r>
      <w:r w:rsidRPr="003B6CE3">
        <w:rPr>
          <w:rFonts w:ascii="Times" w:hAnsi="Times"/>
          <w:i/>
          <w:iCs/>
        </w:rPr>
        <w:t>Application de la convention pour la prévention et la répression du crime de génocide (Gambie c. Myanmar)</w:t>
      </w:r>
      <w:r w:rsidRPr="003B6CE3">
        <w:rPr>
          <w:rFonts w:ascii="Times" w:hAnsi="Times"/>
        </w:rPr>
        <w:t>, demande en indication de mesures conservatoires, ordonnance du 23 janvier 2020</w:t>
      </w:r>
      <w:r>
        <w:rPr>
          <w:rFonts w:ascii="Times" w:hAnsi="Times"/>
        </w:rPr>
        <w:t xml:space="preserve">, </w:t>
      </w:r>
      <w:r w:rsidR="00D93AC0">
        <w:rPr>
          <w:rFonts w:ascii="Times" w:hAnsi="Times"/>
          <w:i/>
          <w:iCs/>
        </w:rPr>
        <w:t>CIJ</w:t>
      </w:r>
      <w:r w:rsidRPr="001C015B">
        <w:rPr>
          <w:rFonts w:ascii="Times" w:hAnsi="Times"/>
          <w:i/>
          <w:iCs/>
        </w:rPr>
        <w:t xml:space="preserve"> Rec. 2020</w:t>
      </w:r>
      <w:r>
        <w:rPr>
          <w:rFonts w:ascii="Times" w:hAnsi="Times"/>
        </w:rPr>
        <w:t>, p.</w:t>
      </w:r>
      <w:r w:rsidR="007830FB">
        <w:rPr>
          <w:rFonts w:ascii="Times" w:hAnsi="Times"/>
        </w:rPr>
        <w:t> </w:t>
      </w:r>
      <w:r>
        <w:rPr>
          <w:rFonts w:ascii="Times" w:hAnsi="Times"/>
        </w:rPr>
        <w:t>3.</w:t>
      </w:r>
      <w:r w:rsidR="000E5B1C">
        <w:rPr>
          <w:rFonts w:ascii="Times" w:hAnsi="Times"/>
        </w:rPr>
        <w:t xml:space="preserve"> Sur cette ordonnance très commentée, voir les références </w:t>
      </w:r>
      <w:r w:rsidR="000E5B1C">
        <w:rPr>
          <w:rFonts w:ascii="Times" w:hAnsi="Times"/>
          <w:i/>
          <w:iCs/>
        </w:rPr>
        <w:t>infra</w:t>
      </w:r>
      <w:r w:rsidR="000E5B1C">
        <w:rPr>
          <w:rFonts w:ascii="Times" w:hAnsi="Times"/>
        </w:rPr>
        <w:t xml:space="preserve"> note </w:t>
      </w:r>
      <w:r w:rsidR="000E5B1C">
        <w:rPr>
          <w:rFonts w:ascii="Times" w:hAnsi="Times"/>
        </w:rPr>
        <w:fldChar w:fldCharType="begin"/>
      </w:r>
      <w:r w:rsidR="000E5B1C">
        <w:rPr>
          <w:rFonts w:ascii="Times" w:hAnsi="Times"/>
        </w:rPr>
        <w:instrText xml:space="preserve"> NOTEREF _Ref95784866 \h </w:instrText>
      </w:r>
      <w:r w:rsidR="000E5B1C">
        <w:rPr>
          <w:rFonts w:ascii="Times" w:hAnsi="Times"/>
        </w:rPr>
      </w:r>
      <w:r w:rsidR="000E5B1C">
        <w:rPr>
          <w:rFonts w:ascii="Times" w:hAnsi="Times"/>
        </w:rPr>
        <w:fldChar w:fldCharType="separate"/>
      </w:r>
      <w:r w:rsidR="00935311">
        <w:rPr>
          <w:rFonts w:ascii="Times" w:hAnsi="Times"/>
        </w:rPr>
        <w:t>8</w:t>
      </w:r>
      <w:r w:rsidR="000E5B1C">
        <w:rPr>
          <w:rFonts w:ascii="Times" w:hAnsi="Times"/>
        </w:rPr>
        <w:fldChar w:fldCharType="end"/>
      </w:r>
      <w:r w:rsidR="000E5B1C">
        <w:rPr>
          <w:rFonts w:ascii="Times" w:hAnsi="Times"/>
        </w:rPr>
        <w:t xml:space="preserve"> et </w:t>
      </w:r>
      <w:r w:rsidR="000E5B1C">
        <w:rPr>
          <w:rFonts w:ascii="Times" w:hAnsi="Times"/>
        </w:rPr>
        <w:fldChar w:fldCharType="begin"/>
      </w:r>
      <w:r w:rsidR="000E5B1C">
        <w:rPr>
          <w:rFonts w:ascii="Times" w:hAnsi="Times"/>
        </w:rPr>
        <w:instrText xml:space="preserve"> NOTEREF _Ref95792873 \h </w:instrText>
      </w:r>
      <w:r w:rsidR="000E5B1C">
        <w:rPr>
          <w:rFonts w:ascii="Times" w:hAnsi="Times"/>
        </w:rPr>
      </w:r>
      <w:r w:rsidR="000E5B1C">
        <w:rPr>
          <w:rFonts w:ascii="Times" w:hAnsi="Times"/>
        </w:rPr>
        <w:fldChar w:fldCharType="separate"/>
      </w:r>
      <w:r w:rsidR="00935311">
        <w:rPr>
          <w:rFonts w:ascii="Times" w:hAnsi="Times"/>
        </w:rPr>
        <w:t>93</w:t>
      </w:r>
      <w:r w:rsidR="000E5B1C">
        <w:rPr>
          <w:rFonts w:ascii="Times" w:hAnsi="Times"/>
        </w:rPr>
        <w:fldChar w:fldCharType="end"/>
      </w:r>
      <w:r w:rsidR="000E5B1C">
        <w:rPr>
          <w:rFonts w:ascii="Times" w:hAnsi="Times"/>
        </w:rPr>
        <w:t xml:space="preserve">, ou, dans une perspective différente, </w:t>
      </w:r>
      <w:r w:rsidR="000E5B1C" w:rsidRPr="000E5B1C">
        <w:rPr>
          <w:rFonts w:ascii="Times" w:hAnsi="Times"/>
        </w:rPr>
        <w:t xml:space="preserve">Christina M. Cerna, </w:t>
      </w:r>
      <w:r w:rsidR="000E5B1C">
        <w:rPr>
          <w:rFonts w:ascii="Times" w:hAnsi="Times"/>
        </w:rPr>
        <w:t>« </w:t>
      </w:r>
      <w:r w:rsidR="000E5B1C" w:rsidRPr="000E5B1C">
        <w:rPr>
          <w:rFonts w:ascii="Times" w:hAnsi="Times"/>
        </w:rPr>
        <w:t xml:space="preserve">Provisional Measures: How International Human Rights Law Is Changing International Law (Inspired by </w:t>
      </w:r>
      <w:r w:rsidR="000E5B1C" w:rsidRPr="000E5B1C">
        <w:rPr>
          <w:rFonts w:ascii="Times" w:hAnsi="Times"/>
          <w:i/>
          <w:iCs/>
        </w:rPr>
        <w:t>Gambia v. Myanmar</w:t>
      </w:r>
      <w:r w:rsidR="000E5B1C" w:rsidRPr="000E5B1C">
        <w:rPr>
          <w:rFonts w:ascii="Times" w:hAnsi="Times"/>
        </w:rPr>
        <w:t>)</w:t>
      </w:r>
      <w:r w:rsidR="000E5B1C">
        <w:rPr>
          <w:rFonts w:ascii="Times" w:hAnsi="Times"/>
        </w:rPr>
        <w:t> »</w:t>
      </w:r>
      <w:r w:rsidR="000E5B1C" w:rsidRPr="000E5B1C">
        <w:rPr>
          <w:rFonts w:ascii="Times" w:hAnsi="Times"/>
        </w:rPr>
        <w:t xml:space="preserve">, </w:t>
      </w:r>
      <w:r w:rsidR="000E5B1C" w:rsidRPr="000E5B1C">
        <w:rPr>
          <w:rFonts w:ascii="Times" w:hAnsi="Times"/>
          <w:i/>
          <w:iCs/>
        </w:rPr>
        <w:t>Notre Dame J. Int</w:t>
      </w:r>
      <w:r w:rsidR="005431F2">
        <w:rPr>
          <w:rFonts w:ascii="Times" w:hAnsi="Times"/>
          <w:i/>
          <w:iCs/>
        </w:rPr>
        <w:t>’</w:t>
      </w:r>
      <w:r w:rsidR="000E5B1C" w:rsidRPr="000E5B1C">
        <w:rPr>
          <w:rFonts w:ascii="Times" w:hAnsi="Times"/>
          <w:i/>
          <w:iCs/>
        </w:rPr>
        <w:t>L &amp; Comp. L.</w:t>
      </w:r>
      <w:r w:rsidR="000E5B1C" w:rsidRPr="000E5B1C">
        <w:rPr>
          <w:rFonts w:ascii="Times" w:hAnsi="Times"/>
        </w:rPr>
        <w:t xml:space="preserve">, vol. </w:t>
      </w:r>
      <w:r w:rsidR="000E5B1C" w:rsidRPr="0041051B">
        <w:rPr>
          <w:rFonts w:ascii="Times" w:hAnsi="Times"/>
          <w:lang w:val="en-CA"/>
        </w:rPr>
        <w:t xml:space="preserve">XI, n°1, </w:t>
      </w:r>
      <w:r w:rsidR="004C1784" w:rsidRPr="0041051B">
        <w:rPr>
          <w:rFonts w:ascii="Times" w:hAnsi="Times"/>
          <w:lang w:val="en-CA"/>
        </w:rPr>
        <w:t xml:space="preserve">2021, </w:t>
      </w:r>
      <w:r w:rsidR="000E5B1C" w:rsidRPr="0041051B">
        <w:rPr>
          <w:rFonts w:ascii="Times" w:hAnsi="Times"/>
          <w:lang w:val="en-CA"/>
        </w:rPr>
        <w:t>pp. 34-59</w:t>
      </w:r>
      <w:r w:rsidR="004C1784" w:rsidRPr="0041051B">
        <w:rPr>
          <w:rFonts w:ascii="Times" w:hAnsi="Times"/>
          <w:lang w:val="en-CA"/>
        </w:rPr>
        <w:t xml:space="preserve"> ; pour un résumé v. Vatsal Raj, « The Gambia v Myanmar: Paving the Yellow Brick Road to International Accountability for the Crime of Genocide », </w:t>
      </w:r>
      <w:r w:rsidR="004C1784" w:rsidRPr="0041051B">
        <w:rPr>
          <w:rFonts w:ascii="Times" w:hAnsi="Times"/>
          <w:i/>
          <w:iCs/>
          <w:lang w:val="en-CA"/>
        </w:rPr>
        <w:t>De Lege Ferenda</w:t>
      </w:r>
      <w:r w:rsidR="004C1784" w:rsidRPr="0041051B">
        <w:rPr>
          <w:rFonts w:ascii="Times" w:hAnsi="Times"/>
          <w:lang w:val="en-CA"/>
        </w:rPr>
        <w:t>, Vol. 3, Issue 1, 2021, pp. 42-56.</w:t>
      </w:r>
    </w:p>
  </w:footnote>
  <w:footnote w:id="9">
    <w:p w14:paraId="0A1D644C" w14:textId="545D564E" w:rsidR="00FF6767" w:rsidRPr="003B6CE3" w:rsidRDefault="00FF6767" w:rsidP="00FF6767">
      <w:pPr>
        <w:pStyle w:val="Notedebasdepage"/>
        <w:rPr>
          <w:rFonts w:ascii="Times" w:hAnsi="Times"/>
        </w:rPr>
      </w:pPr>
      <w:r w:rsidRPr="003B6CE3">
        <w:rPr>
          <w:rStyle w:val="Appelnotedebasdep"/>
          <w:rFonts w:ascii="Times" w:hAnsi="Times"/>
        </w:rPr>
        <w:footnoteRef/>
      </w:r>
      <w:r w:rsidRPr="003B6CE3">
        <w:rPr>
          <w:rFonts w:ascii="Times" w:hAnsi="Times"/>
        </w:rPr>
        <w:t> </w:t>
      </w:r>
      <w:r>
        <w:rPr>
          <w:rFonts w:ascii="Times" w:hAnsi="Times"/>
          <w:i/>
          <w:iCs/>
        </w:rPr>
        <w:t>Ibid</w:t>
      </w:r>
      <w:r>
        <w:rPr>
          <w:rFonts w:ascii="Times" w:hAnsi="Times"/>
        </w:rPr>
        <w:t>.,</w:t>
      </w:r>
      <w:r w:rsidRPr="003B6CE3">
        <w:rPr>
          <w:rFonts w:ascii="Times" w:hAnsi="Times"/>
        </w:rPr>
        <w:t xml:space="preserve"> §86, point 4).</w:t>
      </w:r>
      <w:r>
        <w:rPr>
          <w:rFonts w:ascii="Times" w:hAnsi="Times"/>
        </w:rPr>
        <w:t xml:space="preserve"> Nous </w:t>
      </w:r>
      <w:r w:rsidR="00F62CCE">
        <w:rPr>
          <w:rFonts w:ascii="Times" w:hAnsi="Times"/>
        </w:rPr>
        <w:t xml:space="preserve">renvoyons, </w:t>
      </w:r>
      <w:r>
        <w:rPr>
          <w:rFonts w:ascii="Times" w:hAnsi="Times"/>
        </w:rPr>
        <w:t xml:space="preserve">pour une analyse, </w:t>
      </w:r>
      <w:r w:rsidR="00F30977">
        <w:rPr>
          <w:rFonts w:ascii="Times" w:hAnsi="Times"/>
        </w:rPr>
        <w:t>à Raphaël Maurel, « </w:t>
      </w:r>
      <w:r w:rsidR="00F30977" w:rsidRPr="00410A95">
        <w:rPr>
          <w:rFonts w:ascii="Times" w:hAnsi="Times"/>
        </w:rPr>
        <w:t>La contribution de l</w:t>
      </w:r>
      <w:r w:rsidR="005431F2">
        <w:rPr>
          <w:rFonts w:ascii="Times" w:hAnsi="Times"/>
        </w:rPr>
        <w:t>’</w:t>
      </w:r>
      <w:r w:rsidR="00F30977" w:rsidRPr="00410A95">
        <w:rPr>
          <w:rFonts w:ascii="Times" w:hAnsi="Times"/>
        </w:rPr>
        <w:t xml:space="preserve">ordonnance </w:t>
      </w:r>
      <w:r w:rsidR="00F30977" w:rsidRPr="00410A95">
        <w:rPr>
          <w:rFonts w:ascii="Times" w:hAnsi="Times"/>
          <w:i/>
          <w:iCs/>
        </w:rPr>
        <w:t>Gambie c. Myanmar</w:t>
      </w:r>
      <w:r w:rsidR="00F30977" w:rsidRPr="00410A95">
        <w:rPr>
          <w:rFonts w:ascii="Times" w:hAnsi="Times"/>
        </w:rPr>
        <w:t xml:space="preserve"> à l</w:t>
      </w:r>
      <w:r w:rsidR="005431F2">
        <w:rPr>
          <w:rFonts w:ascii="Times" w:hAnsi="Times"/>
        </w:rPr>
        <w:t>’</w:t>
      </w:r>
      <w:r w:rsidR="00F30977" w:rsidRPr="00410A95">
        <w:rPr>
          <w:rFonts w:ascii="Times" w:hAnsi="Times"/>
        </w:rPr>
        <w:t>élaboration d</w:t>
      </w:r>
      <w:r w:rsidR="005431F2">
        <w:rPr>
          <w:rFonts w:ascii="Times" w:hAnsi="Times"/>
        </w:rPr>
        <w:t>’</w:t>
      </w:r>
      <w:r w:rsidR="00F30977" w:rsidRPr="00410A95">
        <w:rPr>
          <w:rFonts w:ascii="Times" w:hAnsi="Times"/>
        </w:rPr>
        <w:t>un droit des mesures conservatoires</w:t>
      </w:r>
      <w:r w:rsidR="00F30977">
        <w:rPr>
          <w:rFonts w:ascii="Times" w:hAnsi="Times"/>
        </w:rPr>
        <w:t> »</w:t>
      </w:r>
      <w:r w:rsidR="00F30977" w:rsidRPr="00410A95">
        <w:rPr>
          <w:rFonts w:ascii="Times" w:hAnsi="Times"/>
        </w:rPr>
        <w:t xml:space="preserve">, </w:t>
      </w:r>
      <w:r w:rsidR="00F30977" w:rsidRPr="00410A95">
        <w:rPr>
          <w:rFonts w:ascii="Times" w:hAnsi="Times"/>
          <w:i/>
          <w:iCs/>
        </w:rPr>
        <w:t>Revue du Centre Michel de l</w:t>
      </w:r>
      <w:r w:rsidR="005431F2">
        <w:rPr>
          <w:rFonts w:ascii="Times" w:hAnsi="Times"/>
          <w:i/>
          <w:iCs/>
        </w:rPr>
        <w:t>’</w:t>
      </w:r>
      <w:r w:rsidR="00F30977" w:rsidRPr="00410A95">
        <w:rPr>
          <w:rFonts w:ascii="Times" w:hAnsi="Times"/>
          <w:i/>
          <w:iCs/>
        </w:rPr>
        <w:t>Hospital</w:t>
      </w:r>
      <w:r w:rsidR="00F30977" w:rsidRPr="00410A95">
        <w:rPr>
          <w:rFonts w:ascii="Times" w:hAnsi="Times"/>
        </w:rPr>
        <w:t>, n°20, 2020, pp. 97-117.</w:t>
      </w:r>
    </w:p>
  </w:footnote>
  <w:footnote w:id="10">
    <w:p w14:paraId="7A7E72B1" w14:textId="0AFC3A1C" w:rsidR="006D35BF" w:rsidRPr="006D35BF" w:rsidRDefault="006D35BF">
      <w:pPr>
        <w:pStyle w:val="Notedebasdepage"/>
      </w:pPr>
      <w:r>
        <w:rPr>
          <w:rStyle w:val="Appelnotedebasdep"/>
        </w:rPr>
        <w:footnoteRef/>
      </w:r>
      <w:r>
        <w:t xml:space="preserve"> Ordonnance </w:t>
      </w:r>
      <w:r>
        <w:rPr>
          <w:i/>
          <w:iCs/>
        </w:rPr>
        <w:t>Arménie c. Azerbaïdjan</w:t>
      </w:r>
      <w:r>
        <w:t xml:space="preserve"> §95 ; ordonnance </w:t>
      </w:r>
      <w:r>
        <w:rPr>
          <w:i/>
          <w:iCs/>
        </w:rPr>
        <w:t>Azerbaïdjan c. Arménie</w:t>
      </w:r>
      <w:r>
        <w:t>, §72.</w:t>
      </w:r>
    </w:p>
  </w:footnote>
  <w:footnote w:id="11">
    <w:p w14:paraId="249D6325" w14:textId="303B8453" w:rsidR="004C5A43" w:rsidRDefault="004C5A43">
      <w:pPr>
        <w:pStyle w:val="Notedebasdepage"/>
      </w:pPr>
      <w:r>
        <w:rPr>
          <w:rStyle w:val="Appelnotedebasdep"/>
        </w:rPr>
        <w:footnoteRef/>
      </w:r>
      <w:r>
        <w:t xml:space="preserve"> L</w:t>
      </w:r>
      <w:r w:rsidR="005431F2">
        <w:t>’</w:t>
      </w:r>
      <w:r>
        <w:t>Arménie demandait, en substance, la libération des prisonniers de guerre, détenus et otages arméniens arrêtés dans le contexte du conflit de fin 2020, leur traitement conforme à la CIEDR dans cette attente, l</w:t>
      </w:r>
      <w:r w:rsidR="005431F2">
        <w:t>’</w:t>
      </w:r>
      <w:r>
        <w:t>abstention de « fomenter la haine à l</w:t>
      </w:r>
      <w:r w:rsidR="005431F2">
        <w:t>’</w:t>
      </w:r>
      <w:r>
        <w:t>égard des personnes d</w:t>
      </w:r>
      <w:r w:rsidR="005431F2">
        <w:t>’</w:t>
      </w:r>
      <w:r>
        <w:t>origine » arménienne notamment en fermant un parc des trophées militaires, la protection du droit d</w:t>
      </w:r>
      <w:r w:rsidR="005431F2">
        <w:t>’</w:t>
      </w:r>
      <w:r>
        <w:t>accéder au patrimoine arménien en Azerbaïdjan et celle dudit patrimoine contre toute dégradation, la facilitation des mesures de protection de ce patrimoine pour permettre l</w:t>
      </w:r>
      <w:r w:rsidR="005431F2">
        <w:t>’</w:t>
      </w:r>
      <w:r>
        <w:t>exercice des droits protégés par la CIEDR, la protection et la conservation des preuves relatives aux violations alléguées de la CIEDR, l</w:t>
      </w:r>
      <w:r w:rsidR="005431F2">
        <w:t>’</w:t>
      </w:r>
      <w:r>
        <w:t>abstention de prendre toute mesure aggravant ou étendant le différend, et enfin la transmission régulière à d</w:t>
      </w:r>
      <w:r w:rsidR="005431F2">
        <w:t>’</w:t>
      </w:r>
      <w:r>
        <w:t>informations sur le suivi de ces mesures à la Cour (v. le § 11 de l</w:t>
      </w:r>
      <w:r w:rsidR="005431F2">
        <w:t>’</w:t>
      </w:r>
      <w:r>
        <w:t xml:space="preserve">ordonnance </w:t>
      </w:r>
      <w:r w:rsidRPr="004C5A43">
        <w:rPr>
          <w:i/>
          <w:iCs/>
        </w:rPr>
        <w:t>Arménie c. Azerbaïdjan</w:t>
      </w:r>
      <w:r>
        <w:t>).</w:t>
      </w:r>
    </w:p>
  </w:footnote>
  <w:footnote w:id="12">
    <w:p w14:paraId="44F14A5F" w14:textId="09840088" w:rsidR="006F73CD" w:rsidRPr="006F73CD" w:rsidRDefault="006F73CD">
      <w:pPr>
        <w:pStyle w:val="Notedebasdepage"/>
      </w:pPr>
      <w:r>
        <w:rPr>
          <w:rStyle w:val="Appelnotedebasdep"/>
        </w:rPr>
        <w:footnoteRef/>
      </w:r>
      <w:r>
        <w:t xml:space="preserve"> Mais n</w:t>
      </w:r>
      <w:r w:rsidR="005431F2">
        <w:t>’</w:t>
      </w:r>
      <w:r>
        <w:t xml:space="preserve">excède pas les délais des affaires </w:t>
      </w:r>
      <w:r>
        <w:rPr>
          <w:i/>
          <w:iCs/>
        </w:rPr>
        <w:t xml:space="preserve">Ukraine c. Russie </w:t>
      </w:r>
      <w:r>
        <w:t>(</w:t>
      </w:r>
      <w:r w:rsidRPr="00612C8F">
        <w:t>Demande en indication de mesures conservatoires déposée par l</w:t>
      </w:r>
      <w:r w:rsidR="005431F2">
        <w:t>’</w:t>
      </w:r>
      <w:r w:rsidRPr="00612C8F">
        <w:t xml:space="preserve">Ukraine le 16 janvier 2017 ; ordonnance rendue le 19 avril 2017 (CIJ, </w:t>
      </w:r>
      <w:r w:rsidRPr="00612C8F">
        <w:rPr>
          <w:i/>
        </w:rPr>
        <w:t>Application de la convention internationale pour la répression du financement du terrorisme et de la convention internationale sur l</w:t>
      </w:r>
      <w:r w:rsidR="005431F2">
        <w:rPr>
          <w:i/>
        </w:rPr>
        <w:t>’</w:t>
      </w:r>
      <w:r w:rsidRPr="00612C8F">
        <w:rPr>
          <w:i/>
        </w:rPr>
        <w:t>élimination de toutes les formes de discrimination raciale (Ukraine c. Fédération de Russie)</w:t>
      </w:r>
      <w:r w:rsidRPr="00612C8F">
        <w:t xml:space="preserve">, mesures conservatoires, ordonnance du 19 avril 2017, </w:t>
      </w:r>
      <w:r w:rsidRPr="00612C8F">
        <w:rPr>
          <w:i/>
        </w:rPr>
        <w:t>CIJ Rec.</w:t>
      </w:r>
      <w:r w:rsidRPr="00612C8F">
        <w:t xml:space="preserve"> 2017, p. 104</w:t>
      </w:r>
      <w:r>
        <w:t xml:space="preserve"> ; soit trois mois et deux jours) ou encore </w:t>
      </w:r>
      <w:r w:rsidRPr="00461769">
        <w:rPr>
          <w:i/>
        </w:rPr>
        <w:t>Timor-Leste c. Australie</w:t>
      </w:r>
      <w:r>
        <w:rPr>
          <w:iCs/>
        </w:rPr>
        <w:t xml:space="preserve"> (</w:t>
      </w:r>
      <w:r w:rsidRPr="00612C8F">
        <w:t xml:space="preserve">Demande en indication de mesures conservatoires présentée par le Timor-Leste le 17 décembre 2013 ; ordonnance rendue le 3 mars 2014 (CIJ, </w:t>
      </w:r>
      <w:r w:rsidRPr="00612C8F">
        <w:rPr>
          <w:i/>
        </w:rPr>
        <w:t>Questions concernant la saisie et la détention de certains documents et données (Timor‑Leste c. Australie)</w:t>
      </w:r>
      <w:r w:rsidRPr="00612C8F">
        <w:t xml:space="preserve">, mesures conservatoires, ordonnance du 3 mars 2014, </w:t>
      </w:r>
      <w:r w:rsidRPr="00612C8F">
        <w:rPr>
          <w:i/>
        </w:rPr>
        <w:t>CIJ Rec.</w:t>
      </w:r>
      <w:r w:rsidRPr="00612C8F">
        <w:t xml:space="preserve"> 2014, p. 147</w:t>
      </w:r>
      <w:r>
        <w:t> ; soit trois mois et dix-sept jours).</w:t>
      </w:r>
    </w:p>
  </w:footnote>
  <w:footnote w:id="13">
    <w:p w14:paraId="77BF06BC" w14:textId="2D47193B" w:rsidR="00A00FF4" w:rsidRDefault="00A00FF4">
      <w:pPr>
        <w:pStyle w:val="Notedebasdepage"/>
      </w:pPr>
      <w:r>
        <w:rPr>
          <w:rStyle w:val="Appelnotedebasdep"/>
        </w:rPr>
        <w:footnoteRef/>
      </w:r>
      <w:r>
        <w:t xml:space="preserve"> V. </w:t>
      </w:r>
      <w:r w:rsidR="00EE500E">
        <w:t>notamment Raphaël Maurel, « </w:t>
      </w:r>
      <w:r w:rsidR="00EE500E" w:rsidRPr="00A00FF4">
        <w:t xml:space="preserve">Remarques sur les ordonnances en indication de mesures conservatoires rendues par la Cour internationale de Justice dans les affaires </w:t>
      </w:r>
      <w:r w:rsidR="00EE500E" w:rsidRPr="00A00FF4">
        <w:rPr>
          <w:i/>
          <w:iCs/>
        </w:rPr>
        <w:t>Qatar c. Émirats arabes unis</w:t>
      </w:r>
      <w:r w:rsidR="00EE500E" w:rsidRPr="00A00FF4">
        <w:t xml:space="preserve"> (23 juillet 2018) et </w:t>
      </w:r>
      <w:r w:rsidR="00EE500E" w:rsidRPr="006F73CD">
        <w:rPr>
          <w:i/>
          <w:iCs/>
        </w:rPr>
        <w:t>Iran c. États-Unis d</w:t>
      </w:r>
      <w:r w:rsidR="005431F2">
        <w:rPr>
          <w:i/>
          <w:iCs/>
        </w:rPr>
        <w:t>’</w:t>
      </w:r>
      <w:r w:rsidR="00EE500E" w:rsidRPr="006F73CD">
        <w:rPr>
          <w:i/>
          <w:iCs/>
        </w:rPr>
        <w:t>Amérique</w:t>
      </w:r>
      <w:r w:rsidR="00EE500E" w:rsidRPr="00A00FF4">
        <w:t xml:space="preserve"> (3 octobre 2018) », </w:t>
      </w:r>
      <w:r w:rsidR="00EE500E" w:rsidRPr="00A15324">
        <w:rPr>
          <w:i/>
          <w:iCs/>
        </w:rPr>
        <w:t>Revue du Centre Michel de l</w:t>
      </w:r>
      <w:r w:rsidR="005431F2">
        <w:rPr>
          <w:i/>
          <w:iCs/>
        </w:rPr>
        <w:t>’</w:t>
      </w:r>
      <w:r w:rsidR="00EE500E" w:rsidRPr="00A15324">
        <w:rPr>
          <w:i/>
          <w:iCs/>
        </w:rPr>
        <w:t>Hospital</w:t>
      </w:r>
      <w:r w:rsidR="00EE500E" w:rsidRPr="00A00FF4">
        <w:t>, n°16, décembre 2018, pp. 81-93</w:t>
      </w:r>
      <w:r w:rsidR="00EE500E">
        <w:t xml:space="preserve">, </w:t>
      </w:r>
      <w:r w:rsidR="00EE500E">
        <w:rPr>
          <w:rFonts w:ascii="Times" w:hAnsi="Times"/>
        </w:rPr>
        <w:t>spéc. pp. 83-85.</w:t>
      </w:r>
    </w:p>
  </w:footnote>
  <w:footnote w:id="14">
    <w:p w14:paraId="76724D89" w14:textId="121EA0CD" w:rsidR="006F73CD" w:rsidRPr="00041CA5" w:rsidRDefault="006F73CD" w:rsidP="006F73CD">
      <w:pPr>
        <w:pStyle w:val="Notedebasdepage"/>
        <w:rPr>
          <w:rFonts w:ascii="Times" w:hAnsi="Times"/>
        </w:rPr>
      </w:pPr>
      <w:r w:rsidRPr="003B6CE3">
        <w:rPr>
          <w:rStyle w:val="Appelnotedebasdep"/>
          <w:rFonts w:ascii="Times" w:hAnsi="Times"/>
        </w:rPr>
        <w:footnoteRef/>
      </w:r>
      <w:r w:rsidRPr="003B6CE3">
        <w:rPr>
          <w:rFonts w:ascii="Times" w:hAnsi="Times"/>
        </w:rPr>
        <w:t> Règlement de la Cour adopté le 14 avril 1978 et entré en vigueur le 1</w:t>
      </w:r>
      <w:r w:rsidRPr="003B6CE3">
        <w:rPr>
          <w:rFonts w:ascii="Times" w:hAnsi="Times"/>
          <w:vertAlign w:val="superscript"/>
        </w:rPr>
        <w:t>er</w:t>
      </w:r>
      <w:r w:rsidRPr="003B6CE3">
        <w:rPr>
          <w:rFonts w:ascii="Times" w:hAnsi="Times"/>
        </w:rPr>
        <w:t xml:space="preserve"> juillet 1978, article 74§1. En effet, les audiences publiques ont été organisées du 10 au 12 décembre, après l</w:t>
      </w:r>
      <w:r w:rsidR="005431F2">
        <w:rPr>
          <w:rFonts w:ascii="Times" w:hAnsi="Times"/>
        </w:rPr>
        <w:t>’</w:t>
      </w:r>
      <w:r w:rsidRPr="003B6CE3">
        <w:rPr>
          <w:rFonts w:ascii="Times" w:hAnsi="Times"/>
        </w:rPr>
        <w:t>achèvement de celles relatives l</w:t>
      </w:r>
      <w:r w:rsidR="005431F2">
        <w:rPr>
          <w:rFonts w:ascii="Times" w:hAnsi="Times"/>
        </w:rPr>
        <w:t>’</w:t>
      </w:r>
      <w:r w:rsidRPr="003B6CE3">
        <w:rPr>
          <w:rFonts w:ascii="Times" w:hAnsi="Times"/>
        </w:rPr>
        <w:t>affaire de l</w:t>
      </w:r>
      <w:r w:rsidR="005431F2">
        <w:rPr>
          <w:rFonts w:ascii="Times" w:hAnsi="Times"/>
        </w:rPr>
        <w:t>’</w:t>
      </w:r>
      <w:r w:rsidRPr="003B6CE3">
        <w:rPr>
          <w:rFonts w:ascii="Times" w:hAnsi="Times"/>
          <w:i/>
          <w:iCs/>
        </w:rPr>
        <w:t>Appel concernant la compétence du Conseil de l</w:t>
      </w:r>
      <w:r w:rsidR="005431F2">
        <w:rPr>
          <w:rFonts w:ascii="Times" w:hAnsi="Times"/>
          <w:i/>
          <w:iCs/>
        </w:rPr>
        <w:t>’</w:t>
      </w:r>
      <w:r w:rsidRPr="003B6CE3">
        <w:rPr>
          <w:rFonts w:ascii="Times" w:hAnsi="Times"/>
          <w:i/>
          <w:iCs/>
        </w:rPr>
        <w:t>OACI en vertu de l</w:t>
      </w:r>
      <w:r w:rsidR="005431F2">
        <w:rPr>
          <w:rFonts w:ascii="Times" w:hAnsi="Times"/>
          <w:i/>
          <w:iCs/>
        </w:rPr>
        <w:t>’</w:t>
      </w:r>
      <w:r w:rsidRPr="003B6CE3">
        <w:rPr>
          <w:rFonts w:ascii="Times" w:hAnsi="Times"/>
          <w:i/>
          <w:iCs/>
        </w:rPr>
        <w:t>article 84 de la convention relative à l</w:t>
      </w:r>
      <w:r w:rsidR="005431F2">
        <w:rPr>
          <w:rFonts w:ascii="Times" w:hAnsi="Times"/>
          <w:i/>
          <w:iCs/>
        </w:rPr>
        <w:t>’</w:t>
      </w:r>
      <w:r w:rsidRPr="003B6CE3">
        <w:rPr>
          <w:rFonts w:ascii="Times" w:hAnsi="Times"/>
          <w:i/>
          <w:iCs/>
        </w:rPr>
        <w:t>aviation civile internationale (Arabie saoudite, Bahreïn, Égypte et Émirats arabes unis c. Qatar)</w:t>
      </w:r>
      <w:r w:rsidRPr="003B6CE3">
        <w:rPr>
          <w:rFonts w:ascii="Times" w:hAnsi="Times"/>
        </w:rPr>
        <w:t xml:space="preserve"> tenues du 2 au 6 décembre 2019. Il convient cependant de noter qu</w:t>
      </w:r>
      <w:r w:rsidR="005431F2">
        <w:rPr>
          <w:rFonts w:ascii="Times" w:hAnsi="Times"/>
        </w:rPr>
        <w:t>’</w:t>
      </w:r>
      <w:r w:rsidRPr="003B6CE3">
        <w:rPr>
          <w:rFonts w:ascii="Times" w:hAnsi="Times"/>
        </w:rPr>
        <w:t>un tel délai, qui n</w:t>
      </w:r>
      <w:r w:rsidR="005431F2">
        <w:rPr>
          <w:rFonts w:ascii="Times" w:hAnsi="Times"/>
        </w:rPr>
        <w:t>’</w:t>
      </w:r>
      <w:r w:rsidRPr="003B6CE3">
        <w:rPr>
          <w:rFonts w:ascii="Times" w:hAnsi="Times"/>
        </w:rPr>
        <w:t>apparaît pas manifestement excessif, a pu être convenu d</w:t>
      </w:r>
      <w:r w:rsidR="005431F2">
        <w:rPr>
          <w:rFonts w:ascii="Times" w:hAnsi="Times"/>
        </w:rPr>
        <w:t>’</w:t>
      </w:r>
      <w:r w:rsidRPr="003B6CE3">
        <w:rPr>
          <w:rFonts w:ascii="Times" w:hAnsi="Times"/>
        </w:rPr>
        <w:t>un accord commun avec les parties. Le délai entre la clôture des audiences et le rendu de l</w:t>
      </w:r>
      <w:r w:rsidR="005431F2">
        <w:rPr>
          <w:rFonts w:ascii="Times" w:hAnsi="Times"/>
        </w:rPr>
        <w:t>’</w:t>
      </w:r>
      <w:r w:rsidRPr="003B6CE3">
        <w:rPr>
          <w:rFonts w:ascii="Times" w:hAnsi="Times"/>
        </w:rPr>
        <w:t>ordonnance, constitué d</w:t>
      </w:r>
      <w:r w:rsidR="005431F2">
        <w:rPr>
          <w:rFonts w:ascii="Times" w:hAnsi="Times"/>
        </w:rPr>
        <w:t>’</w:t>
      </w:r>
      <w:r w:rsidRPr="003B6CE3">
        <w:rPr>
          <w:rFonts w:ascii="Times" w:hAnsi="Times"/>
        </w:rPr>
        <w:t>un mois et onze jours, apparaît plus gênant du point de vue procédural. Bien qu</w:t>
      </w:r>
      <w:r w:rsidR="005431F2">
        <w:rPr>
          <w:rFonts w:ascii="Times" w:hAnsi="Times"/>
        </w:rPr>
        <w:t>’</w:t>
      </w:r>
      <w:r w:rsidRPr="003B6CE3">
        <w:rPr>
          <w:rFonts w:ascii="Times" w:hAnsi="Times"/>
        </w:rPr>
        <w:t>il soit vraisemblablement dû aux congés de fin d</w:t>
      </w:r>
      <w:r w:rsidR="005431F2">
        <w:rPr>
          <w:rFonts w:ascii="Times" w:hAnsi="Times"/>
        </w:rPr>
        <w:t>’</w:t>
      </w:r>
      <w:r w:rsidRPr="003B6CE3">
        <w:rPr>
          <w:rFonts w:ascii="Times" w:hAnsi="Times"/>
        </w:rPr>
        <w:t>année, la pratique consistant à rendre prioritaires les vacances de la Cour sur son activité juridictionnelle</w:t>
      </w:r>
      <w:r w:rsidR="00041CA5">
        <w:rPr>
          <w:rFonts w:ascii="Times" w:hAnsi="Times"/>
        </w:rPr>
        <w:t xml:space="preserve"> </w:t>
      </w:r>
      <w:r w:rsidRPr="003B6CE3">
        <w:rPr>
          <w:rFonts w:ascii="Times" w:hAnsi="Times"/>
        </w:rPr>
        <w:t>demeure problématique, au regard tant de l</w:t>
      </w:r>
      <w:r w:rsidR="005431F2">
        <w:rPr>
          <w:rFonts w:ascii="Times" w:hAnsi="Times"/>
        </w:rPr>
        <w:t>’</w:t>
      </w:r>
      <w:r w:rsidRPr="003B6CE3">
        <w:rPr>
          <w:rFonts w:ascii="Times" w:hAnsi="Times"/>
        </w:rPr>
        <w:t>urgence des situations invoquées que du Règlement précité.</w:t>
      </w:r>
      <w:r w:rsidR="00041CA5">
        <w:rPr>
          <w:rFonts w:ascii="Times" w:hAnsi="Times"/>
        </w:rPr>
        <w:t xml:space="preserve"> Cette pratique étant variable – on se souviendra que l</w:t>
      </w:r>
      <w:r w:rsidR="005431F2">
        <w:rPr>
          <w:rFonts w:ascii="Times" w:hAnsi="Times"/>
        </w:rPr>
        <w:t>’</w:t>
      </w:r>
      <w:r w:rsidR="00041CA5">
        <w:rPr>
          <w:rFonts w:ascii="Times" w:hAnsi="Times"/>
        </w:rPr>
        <w:t>ordonnance rendue dans l</w:t>
      </w:r>
      <w:r w:rsidR="005431F2">
        <w:rPr>
          <w:rFonts w:ascii="Times" w:hAnsi="Times"/>
        </w:rPr>
        <w:t>’</w:t>
      </w:r>
      <w:r w:rsidR="00041CA5">
        <w:rPr>
          <w:rFonts w:ascii="Times" w:hAnsi="Times"/>
        </w:rPr>
        <w:t xml:space="preserve">affaire </w:t>
      </w:r>
      <w:r w:rsidR="00041CA5">
        <w:rPr>
          <w:rFonts w:ascii="Times" w:hAnsi="Times"/>
          <w:i/>
          <w:iCs/>
        </w:rPr>
        <w:t>La</w:t>
      </w:r>
      <w:r w:rsidR="00CB5825">
        <w:rPr>
          <w:rFonts w:ascii="Times" w:hAnsi="Times"/>
          <w:i/>
          <w:iCs/>
        </w:rPr>
        <w:t>G</w:t>
      </w:r>
      <w:r w:rsidR="00041CA5">
        <w:rPr>
          <w:rFonts w:ascii="Times" w:hAnsi="Times"/>
          <w:i/>
          <w:iCs/>
        </w:rPr>
        <w:t>rand</w:t>
      </w:r>
      <w:r w:rsidR="00041CA5">
        <w:rPr>
          <w:rFonts w:ascii="Times" w:hAnsi="Times"/>
        </w:rPr>
        <w:t xml:space="preserve"> avait été rendue sans audiences – on peut en déduire que tout dépend du degré d</w:t>
      </w:r>
      <w:r w:rsidR="005431F2">
        <w:rPr>
          <w:rFonts w:ascii="Times" w:hAnsi="Times"/>
        </w:rPr>
        <w:t>’</w:t>
      </w:r>
      <w:r w:rsidR="00041CA5">
        <w:rPr>
          <w:rFonts w:ascii="Times" w:hAnsi="Times"/>
        </w:rPr>
        <w:t>urgence de la situation, telle qu</w:t>
      </w:r>
      <w:r w:rsidR="005431F2">
        <w:rPr>
          <w:rFonts w:ascii="Times" w:hAnsi="Times"/>
        </w:rPr>
        <w:t>’</w:t>
      </w:r>
      <w:r w:rsidR="00041CA5">
        <w:rPr>
          <w:rFonts w:ascii="Times" w:hAnsi="Times"/>
        </w:rPr>
        <w:t>elle est ressentie par les parties mais également par la Cour.</w:t>
      </w:r>
    </w:p>
  </w:footnote>
  <w:footnote w:id="15">
    <w:p w14:paraId="1A1568B3" w14:textId="57E7F5E5" w:rsidR="00BE22F8" w:rsidRPr="00BE22F8" w:rsidRDefault="00BE22F8">
      <w:pPr>
        <w:pStyle w:val="Notedebasdepage"/>
      </w:pPr>
      <w:r>
        <w:rPr>
          <w:rStyle w:val="Appelnotedebasdep"/>
        </w:rPr>
        <w:footnoteRef/>
      </w:r>
      <w:r w:rsidR="00C33785">
        <w:t> </w:t>
      </w:r>
      <w:r>
        <w:t>L</w:t>
      </w:r>
      <w:r w:rsidR="005431F2">
        <w:t>’</w:t>
      </w:r>
      <w:r>
        <w:t>Azerbaïdjan demandait, en substance, l</w:t>
      </w:r>
      <w:r w:rsidR="005431F2">
        <w:t>’</w:t>
      </w:r>
      <w:r>
        <w:t>enlèvement ou l</w:t>
      </w:r>
      <w:r w:rsidR="005431F2">
        <w:t>’</w:t>
      </w:r>
      <w:r>
        <w:t>indication précis de l</w:t>
      </w:r>
      <w:r w:rsidR="005431F2">
        <w:t>’</w:t>
      </w:r>
      <w:r>
        <w:t>emplacement des mines terrestres posées sur son territoire, la cessation de la mise en danger des vies aze</w:t>
      </w:r>
      <w:r w:rsidR="004C5A43">
        <w:t>r</w:t>
      </w:r>
      <w:r>
        <w:t>baïdjanaises par la pose ou l</w:t>
      </w:r>
      <w:r w:rsidR="005431F2">
        <w:t>’</w:t>
      </w:r>
      <w:r>
        <w:t>encouragement à la pose de ces mines, l</w:t>
      </w:r>
      <w:r w:rsidR="005431F2">
        <w:t>’</w:t>
      </w:r>
      <w:r>
        <w:t>empêchement d</w:t>
      </w:r>
      <w:r w:rsidR="005431F2">
        <w:t>’</w:t>
      </w:r>
      <w:r>
        <w:t>un certain nombre d</w:t>
      </w:r>
      <w:r w:rsidR="005431F2">
        <w:t>’</w:t>
      </w:r>
      <w:r>
        <w:t>incitations à la haine raciale contre les azerbaïdjanais notamment sur les réseaux sociaux et dans les médias en Arménie, la prise de disposition pour garantir la collecte et la préservation des preuves quant aux crimes perpétrés contre des Azerbaïdjanais en raison de leur appartenance ethnique, et l</w:t>
      </w:r>
      <w:r w:rsidR="005431F2">
        <w:t>’</w:t>
      </w:r>
      <w:r>
        <w:t>abstention de prendre toute mesure susceptible d</w:t>
      </w:r>
      <w:r w:rsidR="005431F2">
        <w:t>’</w:t>
      </w:r>
      <w:r>
        <w:t>aggraver ou d</w:t>
      </w:r>
      <w:r w:rsidR="005431F2">
        <w:t>’</w:t>
      </w:r>
      <w:r>
        <w:t>étendre le différend (v. le §</w:t>
      </w:r>
      <w:r w:rsidR="00E63555">
        <w:t>11</w:t>
      </w:r>
      <w:r>
        <w:t xml:space="preserve"> de l</w:t>
      </w:r>
      <w:r w:rsidR="005431F2">
        <w:t>’</w:t>
      </w:r>
      <w:r>
        <w:t xml:space="preserve">ordonnance </w:t>
      </w:r>
      <w:r>
        <w:rPr>
          <w:i/>
          <w:iCs/>
        </w:rPr>
        <w:t>Azerbaïdjan c. Arménie</w:t>
      </w:r>
      <w:r>
        <w:t>).</w:t>
      </w:r>
    </w:p>
  </w:footnote>
  <w:footnote w:id="16">
    <w:p w14:paraId="425E4C1B" w14:textId="77777777" w:rsidR="0002572F" w:rsidRPr="003B6CE3" w:rsidRDefault="0002572F" w:rsidP="0002572F">
      <w:pPr>
        <w:pStyle w:val="Notedebasdepage"/>
        <w:rPr>
          <w:rFonts w:ascii="Times" w:hAnsi="Times"/>
        </w:rPr>
      </w:pPr>
      <w:r w:rsidRPr="003B6CE3">
        <w:rPr>
          <w:rStyle w:val="Appelnotedebasdep"/>
          <w:rFonts w:ascii="Times" w:hAnsi="Times"/>
        </w:rPr>
        <w:footnoteRef/>
      </w:r>
      <w:r w:rsidRPr="003B6CE3">
        <w:rPr>
          <w:rFonts w:ascii="Times" w:hAnsi="Times"/>
        </w:rPr>
        <w:t xml:space="preserve"> CIJ, </w:t>
      </w:r>
      <w:r w:rsidRPr="003B6CE3">
        <w:rPr>
          <w:rFonts w:ascii="Times" w:hAnsi="Times"/>
          <w:i/>
          <w:iCs/>
        </w:rPr>
        <w:t>Essais nucléaires (Australie c. France)</w:t>
      </w:r>
      <w:r w:rsidRPr="003B6CE3">
        <w:rPr>
          <w:rFonts w:ascii="Times" w:hAnsi="Times"/>
        </w:rPr>
        <w:t xml:space="preserve">, mesures conservatoires, ordonnance du 22 juin 1973, </w:t>
      </w:r>
      <w:r w:rsidRPr="003B6CE3">
        <w:rPr>
          <w:rFonts w:ascii="Times" w:hAnsi="Times"/>
          <w:i/>
          <w:iCs/>
        </w:rPr>
        <w:t>CIJ Rec.</w:t>
      </w:r>
      <w:r w:rsidRPr="003B6CE3">
        <w:rPr>
          <w:rFonts w:ascii="Times" w:hAnsi="Times"/>
        </w:rPr>
        <w:t xml:space="preserve"> 1973, §21.</w:t>
      </w:r>
    </w:p>
  </w:footnote>
  <w:footnote w:id="17">
    <w:p w14:paraId="369A80AD" w14:textId="729669A2" w:rsidR="0002572F" w:rsidRPr="003B6CE3" w:rsidRDefault="0002572F" w:rsidP="0002572F">
      <w:pPr>
        <w:pStyle w:val="Notedebasdepage"/>
        <w:rPr>
          <w:rFonts w:ascii="Times" w:hAnsi="Times"/>
        </w:rPr>
      </w:pPr>
      <w:r w:rsidRPr="003B6CE3">
        <w:rPr>
          <w:rStyle w:val="Appelnotedebasdep"/>
          <w:rFonts w:ascii="Times" w:hAnsi="Times"/>
        </w:rPr>
        <w:footnoteRef/>
      </w:r>
      <w:r w:rsidRPr="003B6CE3">
        <w:rPr>
          <w:rFonts w:ascii="Times" w:hAnsi="Times"/>
        </w:rPr>
        <w:t xml:space="preserve"> CIJ, </w:t>
      </w:r>
      <w:r w:rsidRPr="003B6CE3">
        <w:rPr>
          <w:rFonts w:ascii="Times" w:hAnsi="Times"/>
          <w:i/>
        </w:rPr>
        <w:t>Licéité de l</w:t>
      </w:r>
      <w:r w:rsidR="005431F2">
        <w:rPr>
          <w:rFonts w:ascii="Times" w:hAnsi="Times"/>
          <w:i/>
        </w:rPr>
        <w:t>’</w:t>
      </w:r>
      <w:r w:rsidRPr="003B6CE3">
        <w:rPr>
          <w:rFonts w:ascii="Times" w:hAnsi="Times"/>
          <w:i/>
        </w:rPr>
        <w:t>emploi de la force (Yougoslavie c. États-Unis d</w:t>
      </w:r>
      <w:r w:rsidR="005431F2">
        <w:rPr>
          <w:rFonts w:ascii="Times" w:hAnsi="Times"/>
          <w:i/>
        </w:rPr>
        <w:t>’</w:t>
      </w:r>
      <w:r w:rsidRPr="003B6CE3">
        <w:rPr>
          <w:rFonts w:ascii="Times" w:hAnsi="Times"/>
          <w:i/>
        </w:rPr>
        <w:t>Amérique)</w:t>
      </w:r>
      <w:r w:rsidRPr="003B6CE3">
        <w:rPr>
          <w:rFonts w:ascii="Times" w:hAnsi="Times"/>
        </w:rPr>
        <w:t xml:space="preserve">, mesures conservatoires, ordonnance du 2 juin 1999, </w:t>
      </w:r>
      <w:r w:rsidRPr="003B6CE3">
        <w:rPr>
          <w:rFonts w:ascii="Times" w:hAnsi="Times"/>
          <w:i/>
        </w:rPr>
        <w:t>CIJ Rec.</w:t>
      </w:r>
      <w:r w:rsidRPr="003B6CE3">
        <w:rPr>
          <w:rFonts w:ascii="Times" w:hAnsi="Times"/>
        </w:rPr>
        <w:t xml:space="preserve"> 1999, §29.</w:t>
      </w:r>
    </w:p>
  </w:footnote>
  <w:footnote w:id="18">
    <w:p w14:paraId="604730A8" w14:textId="5B0BE378" w:rsidR="0002572F" w:rsidRPr="003B6CE3" w:rsidRDefault="0002572F" w:rsidP="0002572F">
      <w:pPr>
        <w:pStyle w:val="Notedebasdepage"/>
        <w:rPr>
          <w:rFonts w:ascii="Times" w:hAnsi="Times"/>
        </w:rPr>
      </w:pPr>
      <w:r w:rsidRPr="003B6CE3">
        <w:rPr>
          <w:rStyle w:val="Appelnotedebasdep"/>
          <w:rFonts w:ascii="Times" w:hAnsi="Times"/>
        </w:rPr>
        <w:footnoteRef/>
      </w:r>
      <w:r w:rsidRPr="003B6CE3">
        <w:rPr>
          <w:rFonts w:ascii="Times" w:hAnsi="Times"/>
        </w:rPr>
        <w:t xml:space="preserve"> Voir, </w:t>
      </w:r>
      <w:r w:rsidR="00882E56">
        <w:rPr>
          <w:rFonts w:ascii="Times" w:hAnsi="Times"/>
        </w:rPr>
        <w:t>par exemple</w:t>
      </w:r>
      <w:r w:rsidRPr="003B6CE3">
        <w:rPr>
          <w:rFonts w:ascii="Times" w:hAnsi="Times"/>
        </w:rPr>
        <w:t xml:space="preserve">, CIJ, </w:t>
      </w:r>
      <w:r w:rsidRPr="003B6CE3">
        <w:rPr>
          <w:rFonts w:ascii="Times" w:hAnsi="Times"/>
          <w:i/>
          <w:iCs/>
        </w:rPr>
        <w:t>Application de la convention internationale sur l</w:t>
      </w:r>
      <w:r w:rsidR="005431F2">
        <w:rPr>
          <w:rFonts w:ascii="Times" w:hAnsi="Times"/>
          <w:i/>
          <w:iCs/>
        </w:rPr>
        <w:t>’</w:t>
      </w:r>
      <w:r w:rsidRPr="003B6CE3">
        <w:rPr>
          <w:rFonts w:ascii="Times" w:hAnsi="Times"/>
          <w:i/>
          <w:iCs/>
        </w:rPr>
        <w:t>élimination de toutes les formes de discrimination raciale (Qatar c. Émirats arabes unis)</w:t>
      </w:r>
      <w:r w:rsidRPr="003B6CE3">
        <w:rPr>
          <w:rFonts w:ascii="Times" w:hAnsi="Times"/>
        </w:rPr>
        <w:t>, demande en indication de mesures conservatoires, ordonnance du 14 juin 2019, §15.</w:t>
      </w:r>
    </w:p>
  </w:footnote>
  <w:footnote w:id="19">
    <w:p w14:paraId="262285A2" w14:textId="5B4FCD71" w:rsidR="006D4685" w:rsidRDefault="006D4685">
      <w:pPr>
        <w:pStyle w:val="Notedebasdepage"/>
      </w:pPr>
      <w:r>
        <w:rPr>
          <w:rStyle w:val="Appelnotedebasdep"/>
        </w:rPr>
        <w:footnoteRef/>
      </w:r>
      <w:r>
        <w:t xml:space="preserve"> « Tout différend entre deux ou plusieurs États parties touchant l</w:t>
      </w:r>
      <w:r w:rsidR="005431F2">
        <w:t>’</w:t>
      </w:r>
      <w:r>
        <w:t>interprétation ou l</w:t>
      </w:r>
      <w:r w:rsidR="005431F2">
        <w:t>’</w:t>
      </w:r>
      <w:r>
        <w:t>application de la présente Convention qui n</w:t>
      </w:r>
      <w:r w:rsidR="005431F2">
        <w:t>’</w:t>
      </w:r>
      <w:r>
        <w:t>aura pas été réglé par voie de négociation ou au moyen des procédures expressément prévues par ladite Convention sera porté, à la requête de toute partie au différend, devant la Cour internationale de Justice pour qu</w:t>
      </w:r>
      <w:r w:rsidR="005431F2">
        <w:t>’</w:t>
      </w:r>
      <w:r>
        <w:t>elle statue à son sujet, à moins que les parties au différend ne conviennent d</w:t>
      </w:r>
      <w:r w:rsidR="005431F2">
        <w:t>’</w:t>
      </w:r>
      <w:r>
        <w:t>un autre mode de règlement ».</w:t>
      </w:r>
    </w:p>
  </w:footnote>
  <w:footnote w:id="20">
    <w:p w14:paraId="156D6136" w14:textId="77777777" w:rsidR="006D4685" w:rsidRDefault="006D4685">
      <w:pPr>
        <w:pStyle w:val="Notedebasdepage"/>
      </w:pPr>
      <w:r>
        <w:rPr>
          <w:rStyle w:val="Appelnotedebasdep"/>
        </w:rPr>
        <w:footnoteRef/>
      </w:r>
      <w:r>
        <w:t xml:space="preserve"> Ordonnance </w:t>
      </w:r>
      <w:r w:rsidRPr="006D4685">
        <w:rPr>
          <w:i/>
          <w:iCs/>
        </w:rPr>
        <w:t>Arménie c. Azerbaïdjan</w:t>
      </w:r>
      <w:r>
        <w:t>, §27.</w:t>
      </w:r>
    </w:p>
  </w:footnote>
  <w:footnote w:id="21">
    <w:p w14:paraId="2037016D" w14:textId="77777777" w:rsidR="006D4685" w:rsidRPr="006D4685" w:rsidRDefault="006D4685">
      <w:pPr>
        <w:pStyle w:val="Notedebasdepage"/>
      </w:pPr>
      <w:r>
        <w:rPr>
          <w:rStyle w:val="Appelnotedebasdep"/>
        </w:rPr>
        <w:footnoteRef/>
      </w:r>
      <w:r>
        <w:t xml:space="preserve"> Ordonnance </w:t>
      </w:r>
      <w:r>
        <w:rPr>
          <w:i/>
          <w:iCs/>
        </w:rPr>
        <w:t>Azerbaïdjan c. Arménie</w:t>
      </w:r>
      <w:r>
        <w:t>, § 27.</w:t>
      </w:r>
    </w:p>
  </w:footnote>
  <w:footnote w:id="22">
    <w:p w14:paraId="793E7DE6" w14:textId="720A7579" w:rsidR="008433FC" w:rsidRPr="00612C8F" w:rsidRDefault="008433FC" w:rsidP="008433FC">
      <w:pPr>
        <w:pStyle w:val="Notedebasdepage"/>
      </w:pPr>
      <w:r w:rsidRPr="00612C8F">
        <w:rPr>
          <w:rStyle w:val="Appelnotedebasdep"/>
        </w:rPr>
        <w:footnoteRef/>
      </w:r>
      <w:r w:rsidRPr="00612C8F">
        <w:t xml:space="preserve"> </w:t>
      </w:r>
      <w:r w:rsidR="008A7311" w:rsidRPr="00612C8F">
        <w:t xml:space="preserve">CIJ, </w:t>
      </w:r>
      <w:r w:rsidR="008A7311" w:rsidRPr="00612C8F">
        <w:rPr>
          <w:i/>
        </w:rPr>
        <w:t>Application de la convention internationale sur l</w:t>
      </w:r>
      <w:r w:rsidR="005431F2">
        <w:rPr>
          <w:i/>
        </w:rPr>
        <w:t>’</w:t>
      </w:r>
      <w:r w:rsidR="008A7311" w:rsidRPr="00612C8F">
        <w:rPr>
          <w:i/>
        </w:rPr>
        <w:t>élimination de toutes les formes de discrimination raciale (Géorgie c. Fédération de Russie)</w:t>
      </w:r>
      <w:r w:rsidR="008A7311" w:rsidRPr="00612C8F">
        <w:t xml:space="preserve">, mesures conservatoires, ordonnance du 15 octobre 2008, </w:t>
      </w:r>
      <w:r w:rsidR="008A7311" w:rsidRPr="00612C8F">
        <w:rPr>
          <w:i/>
        </w:rPr>
        <w:t>CIJ Rec.</w:t>
      </w:r>
      <w:r w:rsidR="008A7311" w:rsidRPr="00612C8F">
        <w:t xml:space="preserve"> 2008, p. 353</w:t>
      </w:r>
      <w:r w:rsidR="00505706">
        <w:t>,</w:t>
      </w:r>
      <w:r w:rsidR="008A7311">
        <w:t xml:space="preserve"> </w:t>
      </w:r>
      <w:r w:rsidRPr="00612C8F">
        <w:t>§§113 à 117.</w:t>
      </w:r>
    </w:p>
  </w:footnote>
  <w:footnote w:id="23">
    <w:p w14:paraId="6D70CF72" w14:textId="1E001BF1" w:rsidR="008433FC" w:rsidRPr="00612C8F" w:rsidRDefault="008433FC" w:rsidP="008433FC">
      <w:pPr>
        <w:pStyle w:val="Notedebasdepage"/>
      </w:pPr>
      <w:r w:rsidRPr="00612C8F">
        <w:rPr>
          <w:rStyle w:val="Appelnotedebasdep"/>
        </w:rPr>
        <w:footnoteRef/>
      </w:r>
      <w:r w:rsidRPr="00612C8F">
        <w:t xml:space="preserve"> </w:t>
      </w:r>
      <w:r w:rsidR="008A7311" w:rsidRPr="00612C8F">
        <w:t xml:space="preserve">CIJ, </w:t>
      </w:r>
      <w:r w:rsidR="008A7311" w:rsidRPr="00612C8F">
        <w:rPr>
          <w:i/>
        </w:rPr>
        <w:t>Application de la convention internationale sur l</w:t>
      </w:r>
      <w:r w:rsidR="005431F2">
        <w:rPr>
          <w:i/>
        </w:rPr>
        <w:t>’</w:t>
      </w:r>
      <w:r w:rsidR="008A7311" w:rsidRPr="00612C8F">
        <w:rPr>
          <w:i/>
        </w:rPr>
        <w:t>élimination de toutes les formes de discrimination raciale (Géorgie c. Fédération de Russie)</w:t>
      </w:r>
      <w:r w:rsidR="008A7311" w:rsidRPr="00612C8F">
        <w:t>, exceptions préliminaires, arrêt du 1</w:t>
      </w:r>
      <w:r w:rsidR="008A7311" w:rsidRPr="00612C8F">
        <w:rPr>
          <w:vertAlign w:val="superscript"/>
        </w:rPr>
        <w:t>er</w:t>
      </w:r>
      <w:r w:rsidR="008A7311" w:rsidRPr="00612C8F">
        <w:t xml:space="preserve"> avril 2011, </w:t>
      </w:r>
      <w:r w:rsidR="008A7311" w:rsidRPr="00612C8F">
        <w:rPr>
          <w:i/>
        </w:rPr>
        <w:t>CIJ Rec.</w:t>
      </w:r>
      <w:r w:rsidR="008A7311" w:rsidRPr="00612C8F">
        <w:t xml:space="preserve"> 2011, p. 70</w:t>
      </w:r>
      <w:r w:rsidR="008A7311">
        <w:t xml:space="preserve">, </w:t>
      </w:r>
      <w:r w:rsidRPr="00612C8F">
        <w:t>§183</w:t>
      </w:r>
      <w:r w:rsidR="00505706">
        <w:t>.</w:t>
      </w:r>
    </w:p>
  </w:footnote>
  <w:footnote w:id="24">
    <w:p w14:paraId="1BD34206" w14:textId="056EB4B5" w:rsidR="008433FC" w:rsidRPr="00612C8F" w:rsidRDefault="008433FC" w:rsidP="008433FC">
      <w:pPr>
        <w:pStyle w:val="Notedebasdepage"/>
      </w:pPr>
      <w:r w:rsidRPr="00612C8F">
        <w:rPr>
          <w:rStyle w:val="Appelnotedebasdep"/>
        </w:rPr>
        <w:footnoteRef/>
      </w:r>
      <w:r w:rsidRPr="00612C8F">
        <w:t xml:space="preserve"> CIJ, </w:t>
      </w:r>
      <w:r w:rsidRPr="00612C8F">
        <w:rPr>
          <w:i/>
        </w:rPr>
        <w:t>Application de la convention internationale pour la répression du financement du terrorisme et de la convention internationale sur l</w:t>
      </w:r>
      <w:r w:rsidR="005431F2">
        <w:rPr>
          <w:i/>
        </w:rPr>
        <w:t>’</w:t>
      </w:r>
      <w:r w:rsidRPr="00612C8F">
        <w:rPr>
          <w:i/>
        </w:rPr>
        <w:t>élimination de toutes les formes de discrimination raciale (Ukraine c. Fédération de Russie)</w:t>
      </w:r>
      <w:r w:rsidRPr="00612C8F">
        <w:t>, ordonnance précitée not</w:t>
      </w:r>
      <w:r w:rsidR="00505706">
        <w:t xml:space="preserve">e </w:t>
      </w:r>
      <w:r w:rsidR="00505706">
        <w:fldChar w:fldCharType="begin"/>
      </w:r>
      <w:r w:rsidR="00505706">
        <w:instrText xml:space="preserve"> NOTEREF _Ref90284720 \h </w:instrText>
      </w:r>
      <w:r w:rsidR="00505706">
        <w:fldChar w:fldCharType="separate"/>
      </w:r>
      <w:r w:rsidR="00935311">
        <w:t>11</w:t>
      </w:r>
      <w:r w:rsidR="00505706">
        <w:fldChar w:fldCharType="end"/>
      </w:r>
      <w:r w:rsidRPr="00612C8F">
        <w:t>, §60.</w:t>
      </w:r>
    </w:p>
  </w:footnote>
  <w:footnote w:id="25">
    <w:p w14:paraId="1298B287" w14:textId="29D764D4" w:rsidR="00505706" w:rsidRDefault="00505706">
      <w:pPr>
        <w:pStyle w:val="Notedebasdepage"/>
      </w:pPr>
      <w:r>
        <w:rPr>
          <w:rStyle w:val="Appelnotedebasdep"/>
        </w:rPr>
        <w:footnoteRef/>
      </w:r>
      <w:r>
        <w:t xml:space="preserve"> CIJ, </w:t>
      </w:r>
      <w:r w:rsidRPr="00505706">
        <w:rPr>
          <w:i/>
          <w:iCs/>
        </w:rPr>
        <w:t>Application de la convention internationale pour la répression du financement du terrorisme et de la convention internationale sur l</w:t>
      </w:r>
      <w:r w:rsidR="005431F2">
        <w:rPr>
          <w:i/>
          <w:iCs/>
        </w:rPr>
        <w:t>’</w:t>
      </w:r>
      <w:r w:rsidRPr="00505706">
        <w:rPr>
          <w:i/>
          <w:iCs/>
        </w:rPr>
        <w:t>élimination de toutes les formes de discrimination raciale (Ukraine c. Fédération de Russie)</w:t>
      </w:r>
      <w:r w:rsidRPr="00505706">
        <w:t xml:space="preserve">, exceptions préliminaires, arrêt du 8 novembre 2019, </w:t>
      </w:r>
      <w:r w:rsidRPr="00505706">
        <w:rPr>
          <w:i/>
          <w:iCs/>
        </w:rPr>
        <w:t>C.I.J Rec.</w:t>
      </w:r>
      <w:r w:rsidRPr="00505706">
        <w:t xml:space="preserve"> 2019, p. 600, §§106-113</w:t>
      </w:r>
      <w:r w:rsidR="006F4D85">
        <w:t> ; la citation est extraite du §113.</w:t>
      </w:r>
    </w:p>
  </w:footnote>
  <w:footnote w:id="26">
    <w:p w14:paraId="18E62BE6" w14:textId="02B1E7EC" w:rsidR="00D85670" w:rsidRPr="00D85670" w:rsidRDefault="00D85670">
      <w:pPr>
        <w:pStyle w:val="Notedebasdepage"/>
      </w:pPr>
      <w:r>
        <w:rPr>
          <w:rStyle w:val="Appelnotedebasdep"/>
        </w:rPr>
        <w:footnoteRef/>
      </w:r>
      <w:r>
        <w:t xml:space="preserve"> Ordonnance </w:t>
      </w:r>
      <w:r>
        <w:rPr>
          <w:i/>
          <w:iCs/>
        </w:rPr>
        <w:t>Arménie c. Azerbaïdjan</w:t>
      </w:r>
      <w:r>
        <w:t>, §24.</w:t>
      </w:r>
    </w:p>
  </w:footnote>
  <w:footnote w:id="27">
    <w:p w14:paraId="2447757B" w14:textId="5EBF846B" w:rsidR="00D85670" w:rsidRPr="00F47C89" w:rsidRDefault="00D85670">
      <w:pPr>
        <w:pStyle w:val="Notedebasdepage"/>
      </w:pPr>
      <w:r>
        <w:rPr>
          <w:rStyle w:val="Appelnotedebasdep"/>
        </w:rPr>
        <w:footnoteRef/>
      </w:r>
      <w:r>
        <w:t xml:space="preserve"> </w:t>
      </w:r>
      <w:r>
        <w:rPr>
          <w:i/>
          <w:iCs/>
        </w:rPr>
        <w:t>Ibid</w:t>
      </w:r>
      <w:r>
        <w:t>., §27</w:t>
      </w:r>
      <w:r w:rsidR="00F47C89">
        <w:t xml:space="preserve"> ; ordonnance </w:t>
      </w:r>
      <w:r w:rsidR="00F47C89">
        <w:rPr>
          <w:i/>
          <w:iCs/>
        </w:rPr>
        <w:t>Arménie c. Azerbaïdjan</w:t>
      </w:r>
      <w:r w:rsidR="00F47C89">
        <w:t>, §26.</w:t>
      </w:r>
    </w:p>
  </w:footnote>
  <w:footnote w:id="28">
    <w:p w14:paraId="7D7BE228" w14:textId="430E7BC9" w:rsidR="009140A5" w:rsidRPr="009140A5" w:rsidRDefault="009140A5">
      <w:pPr>
        <w:pStyle w:val="Notedebasdepage"/>
      </w:pPr>
      <w:r>
        <w:rPr>
          <w:rStyle w:val="Appelnotedebasdep"/>
        </w:rPr>
        <w:footnoteRef/>
      </w:r>
      <w:r>
        <w:t xml:space="preserve"> Ordonnance </w:t>
      </w:r>
      <w:r>
        <w:rPr>
          <w:i/>
          <w:iCs/>
        </w:rPr>
        <w:t>Arménie c. Azerbaïdjan</w:t>
      </w:r>
      <w:r>
        <w:t>, §41.</w:t>
      </w:r>
    </w:p>
  </w:footnote>
  <w:footnote w:id="29">
    <w:p w14:paraId="1904D0A4" w14:textId="57F67993" w:rsidR="0017641D" w:rsidRPr="0017641D" w:rsidRDefault="0017641D">
      <w:pPr>
        <w:pStyle w:val="Notedebasdepage"/>
      </w:pPr>
      <w:r>
        <w:rPr>
          <w:rStyle w:val="Appelnotedebasdep"/>
        </w:rPr>
        <w:footnoteRef/>
      </w:r>
      <w:r>
        <w:t xml:space="preserve"> </w:t>
      </w:r>
      <w:r w:rsidR="00F300DC" w:rsidRPr="00F300DC">
        <w:rPr>
          <w:i/>
          <w:iCs/>
        </w:rPr>
        <w:t>Ibid</w:t>
      </w:r>
      <w:r w:rsidR="00F300DC">
        <w:t>., §37 ; o</w:t>
      </w:r>
      <w:r w:rsidRPr="00F300DC">
        <w:t>rdonnance</w:t>
      </w:r>
      <w:r>
        <w:t xml:space="preserve"> </w:t>
      </w:r>
      <w:r>
        <w:rPr>
          <w:i/>
          <w:iCs/>
        </w:rPr>
        <w:t>Azerbaïdjan c. Arménie</w:t>
      </w:r>
      <w:r>
        <w:t>, §37.</w:t>
      </w:r>
    </w:p>
  </w:footnote>
  <w:footnote w:id="30">
    <w:p w14:paraId="5E90F57C" w14:textId="281D936F" w:rsidR="00825BE4" w:rsidRDefault="00825BE4">
      <w:pPr>
        <w:pStyle w:val="Notedebasdepage"/>
      </w:pPr>
      <w:r>
        <w:rPr>
          <w:rStyle w:val="Appelnotedebasdep"/>
        </w:rPr>
        <w:footnoteRef/>
      </w:r>
      <w:r>
        <w:t xml:space="preserve"> </w:t>
      </w:r>
      <w:r w:rsidRPr="00825BE4">
        <w:t xml:space="preserve">CPJI, </w:t>
      </w:r>
      <w:r w:rsidRPr="00825BE4">
        <w:rPr>
          <w:i/>
          <w:iCs/>
        </w:rPr>
        <w:t>Affaire des concessions Mavrommatis en Palestine</w:t>
      </w:r>
      <w:r w:rsidRPr="00825BE4">
        <w:t>, arrêt du 30 août 1924, série A, n°2, p. 13</w:t>
      </w:r>
      <w:r>
        <w:t>.</w:t>
      </w:r>
    </w:p>
  </w:footnote>
  <w:footnote w:id="31">
    <w:p w14:paraId="552A8D3A" w14:textId="7CE447BA" w:rsidR="008C2071" w:rsidRDefault="008C2071">
      <w:pPr>
        <w:pStyle w:val="Notedebasdepage"/>
      </w:pPr>
      <w:r>
        <w:rPr>
          <w:rStyle w:val="Appelnotedebasdep"/>
        </w:rPr>
        <w:footnoteRef/>
      </w:r>
      <w:r w:rsidR="0027495D">
        <w:t> </w:t>
      </w:r>
      <w:r w:rsidRPr="003B6CE3">
        <w:rPr>
          <w:rFonts w:ascii="Times" w:hAnsi="Times"/>
        </w:rPr>
        <w:t xml:space="preserve">CIJ, </w:t>
      </w:r>
      <w:r w:rsidRPr="003B6CE3">
        <w:rPr>
          <w:rFonts w:ascii="Times" w:hAnsi="Times"/>
          <w:i/>
          <w:iCs/>
        </w:rPr>
        <w:t>Questions concernant l</w:t>
      </w:r>
      <w:r w:rsidR="005431F2">
        <w:rPr>
          <w:rFonts w:ascii="Times" w:hAnsi="Times"/>
          <w:i/>
          <w:iCs/>
        </w:rPr>
        <w:t>’</w:t>
      </w:r>
      <w:r w:rsidRPr="003B6CE3">
        <w:rPr>
          <w:rFonts w:ascii="Times" w:hAnsi="Times"/>
          <w:i/>
          <w:iCs/>
        </w:rPr>
        <w:t>obligation de poursuivre ou d</w:t>
      </w:r>
      <w:r w:rsidR="005431F2">
        <w:rPr>
          <w:rFonts w:ascii="Times" w:hAnsi="Times"/>
          <w:i/>
          <w:iCs/>
        </w:rPr>
        <w:t>’</w:t>
      </w:r>
      <w:r w:rsidRPr="003B6CE3">
        <w:rPr>
          <w:rFonts w:ascii="Times" w:hAnsi="Times"/>
          <w:i/>
          <w:iCs/>
        </w:rPr>
        <w:t>extrader (Belgique c. Sénégal)</w:t>
      </w:r>
      <w:r w:rsidRPr="003B6CE3">
        <w:rPr>
          <w:rFonts w:ascii="Times" w:hAnsi="Times"/>
        </w:rPr>
        <w:t xml:space="preserve">, mesures conservatoires, ordonnance du 28 mai 2009, </w:t>
      </w:r>
      <w:r w:rsidRPr="003B6CE3">
        <w:rPr>
          <w:rFonts w:ascii="Times" w:hAnsi="Times"/>
          <w:i/>
          <w:iCs/>
        </w:rPr>
        <w:t>CIJ Rec.</w:t>
      </w:r>
      <w:r w:rsidRPr="003B6CE3">
        <w:rPr>
          <w:rFonts w:ascii="Times" w:hAnsi="Times"/>
        </w:rPr>
        <w:t xml:space="preserve"> 2009,</w:t>
      </w:r>
      <w:r>
        <w:rPr>
          <w:rFonts w:ascii="Times" w:hAnsi="Times"/>
        </w:rPr>
        <w:t xml:space="preserve"> §57.</w:t>
      </w:r>
    </w:p>
  </w:footnote>
  <w:footnote w:id="32">
    <w:p w14:paraId="6CD8EA21" w14:textId="753DC8A5" w:rsidR="000A6D1E" w:rsidRDefault="000A6D1E">
      <w:pPr>
        <w:pStyle w:val="Notedebasdepage"/>
      </w:pPr>
      <w:r>
        <w:rPr>
          <w:rStyle w:val="Appelnotedebasdep"/>
        </w:rPr>
        <w:footnoteRef/>
      </w:r>
      <w:r>
        <w:t xml:space="preserve"> Ordonnance </w:t>
      </w:r>
      <w:r w:rsidRPr="00E5252B">
        <w:rPr>
          <w:i/>
          <w:iCs/>
        </w:rPr>
        <w:t>Arménie c. Azerbaïdjan</w:t>
      </w:r>
      <w:r>
        <w:t>, §45.</w:t>
      </w:r>
    </w:p>
  </w:footnote>
  <w:footnote w:id="33">
    <w:p w14:paraId="3788DCE4" w14:textId="19C75699" w:rsidR="005437BD" w:rsidRPr="005437BD" w:rsidRDefault="005437BD">
      <w:pPr>
        <w:pStyle w:val="Notedebasdepage"/>
      </w:pPr>
      <w:r>
        <w:rPr>
          <w:rStyle w:val="Appelnotedebasdep"/>
        </w:rPr>
        <w:footnoteRef/>
      </w:r>
      <w:r>
        <w:t xml:space="preserve"> </w:t>
      </w:r>
      <w:r w:rsidRPr="003B6CE3">
        <w:rPr>
          <w:rFonts w:ascii="Times" w:hAnsi="Times"/>
        </w:rPr>
        <w:t xml:space="preserve">CIJ, </w:t>
      </w:r>
      <w:r w:rsidRPr="003B6CE3">
        <w:rPr>
          <w:rFonts w:ascii="Times" w:hAnsi="Times"/>
          <w:i/>
          <w:iCs/>
        </w:rPr>
        <w:t>Application de la convention internationale sur l</w:t>
      </w:r>
      <w:r w:rsidR="005431F2">
        <w:rPr>
          <w:rFonts w:ascii="Times" w:hAnsi="Times"/>
          <w:i/>
          <w:iCs/>
        </w:rPr>
        <w:t>’</w:t>
      </w:r>
      <w:r w:rsidRPr="003B6CE3">
        <w:rPr>
          <w:rFonts w:ascii="Times" w:hAnsi="Times"/>
          <w:i/>
          <w:iCs/>
        </w:rPr>
        <w:t>élimination de toutes les formes de discrimination raciale (Qatar c. Émirats arabes unis)</w:t>
      </w:r>
      <w:r w:rsidRPr="003B6CE3">
        <w:rPr>
          <w:rFonts w:ascii="Times" w:hAnsi="Times"/>
        </w:rPr>
        <w:t>,</w:t>
      </w:r>
      <w:r>
        <w:rPr>
          <w:rFonts w:ascii="Times" w:hAnsi="Times"/>
        </w:rPr>
        <w:t xml:space="preserve"> </w:t>
      </w:r>
      <w:r w:rsidR="00E2713A">
        <w:rPr>
          <w:rFonts w:ascii="Times" w:hAnsi="Times"/>
        </w:rPr>
        <w:t>ordonnance précitée</w:t>
      </w:r>
      <w:r>
        <w:rPr>
          <w:rFonts w:ascii="Times" w:hAnsi="Times"/>
        </w:rPr>
        <w:t xml:space="preserve"> note </w:t>
      </w:r>
      <w:r>
        <w:rPr>
          <w:rFonts w:ascii="Times" w:hAnsi="Times"/>
        </w:rPr>
        <w:fldChar w:fldCharType="begin"/>
      </w:r>
      <w:r>
        <w:rPr>
          <w:rFonts w:ascii="Times" w:hAnsi="Times"/>
        </w:rPr>
        <w:instrText xml:space="preserve"> NOTEREF _Ref31448124 \h </w:instrText>
      </w:r>
      <w:r>
        <w:rPr>
          <w:rFonts w:ascii="Times" w:hAnsi="Times"/>
        </w:rPr>
      </w:r>
      <w:r>
        <w:rPr>
          <w:rFonts w:ascii="Times" w:hAnsi="Times"/>
        </w:rPr>
        <w:fldChar w:fldCharType="separate"/>
      </w:r>
      <w:r w:rsidR="00935311">
        <w:rPr>
          <w:rFonts w:ascii="Times" w:hAnsi="Times"/>
        </w:rPr>
        <w:t>17</w:t>
      </w:r>
      <w:r>
        <w:rPr>
          <w:rFonts w:ascii="Times" w:hAnsi="Times"/>
        </w:rPr>
        <w:fldChar w:fldCharType="end"/>
      </w:r>
      <w:r>
        <w:rPr>
          <w:rFonts w:ascii="Times" w:hAnsi="Times"/>
        </w:rPr>
        <w:t>, §47.</w:t>
      </w:r>
    </w:p>
  </w:footnote>
  <w:footnote w:id="34">
    <w:p w14:paraId="4B0973E9" w14:textId="58FE305B" w:rsidR="00AD5FB9" w:rsidRPr="00667BAB" w:rsidRDefault="00AD5FB9" w:rsidP="00AD5FB9">
      <w:pPr>
        <w:pStyle w:val="Notedebasdepage"/>
      </w:pPr>
      <w:r>
        <w:rPr>
          <w:rStyle w:val="Appelnotedebasdep"/>
        </w:rPr>
        <w:footnoteRef/>
      </w:r>
      <w:r>
        <w:t xml:space="preserve"> Selon la formule peu claire utilisée dans CIJ, </w:t>
      </w:r>
      <w:r>
        <w:rPr>
          <w:i/>
          <w:iCs/>
        </w:rPr>
        <w:t>Violations alléguées du traité d</w:t>
      </w:r>
      <w:r w:rsidR="005431F2">
        <w:rPr>
          <w:i/>
          <w:iCs/>
        </w:rPr>
        <w:t>’</w:t>
      </w:r>
      <w:r>
        <w:rPr>
          <w:i/>
          <w:iCs/>
        </w:rPr>
        <w:t>amitié, de commerce et de droits consulaires de 1955 (République islamique d</w:t>
      </w:r>
      <w:r w:rsidR="005431F2">
        <w:rPr>
          <w:i/>
          <w:iCs/>
        </w:rPr>
        <w:t>’</w:t>
      </w:r>
      <w:r>
        <w:rPr>
          <w:i/>
          <w:iCs/>
        </w:rPr>
        <w:t>Iran c. États-Unis d</w:t>
      </w:r>
      <w:r w:rsidR="005431F2">
        <w:rPr>
          <w:i/>
          <w:iCs/>
        </w:rPr>
        <w:t>’</w:t>
      </w:r>
      <w:r>
        <w:rPr>
          <w:i/>
          <w:iCs/>
        </w:rPr>
        <w:t>Amérique</w:t>
      </w:r>
      <w:r w:rsidR="00304FB1">
        <w:rPr>
          <w:i/>
          <w:iCs/>
        </w:rPr>
        <w:t>)</w:t>
      </w:r>
      <w:r>
        <w:t xml:space="preserve">, mesures conservatoires, ordonnance du 3 octobre 2018, </w:t>
      </w:r>
      <w:r>
        <w:rPr>
          <w:i/>
          <w:iCs/>
        </w:rPr>
        <w:t xml:space="preserve">CIR Rec. </w:t>
      </w:r>
      <w:r>
        <w:t>2018, §69.</w:t>
      </w:r>
    </w:p>
  </w:footnote>
  <w:footnote w:id="35">
    <w:p w14:paraId="65886F96" w14:textId="6FFD4EEA" w:rsidR="00E03D84" w:rsidRPr="00E03D84" w:rsidRDefault="00E03D84">
      <w:pPr>
        <w:pStyle w:val="Notedebasdepage"/>
      </w:pPr>
      <w:r>
        <w:rPr>
          <w:rStyle w:val="Appelnotedebasdep"/>
        </w:rPr>
        <w:footnoteRef/>
      </w:r>
      <w:r>
        <w:t xml:space="preserve"> </w:t>
      </w:r>
      <w:r>
        <w:rPr>
          <w:i/>
          <w:iCs/>
        </w:rPr>
        <w:t>Ibid</w:t>
      </w:r>
      <w:r>
        <w:t>.,</w:t>
      </w:r>
      <w:r w:rsidR="00D038DD">
        <w:t xml:space="preserve"> §56.</w:t>
      </w:r>
    </w:p>
  </w:footnote>
  <w:footnote w:id="36">
    <w:p w14:paraId="41B2C0C5" w14:textId="1C63BA75" w:rsidR="00E5252B" w:rsidRDefault="00E5252B">
      <w:pPr>
        <w:pStyle w:val="Notedebasdepage"/>
      </w:pPr>
      <w:r>
        <w:rPr>
          <w:rStyle w:val="Appelnotedebasdep"/>
        </w:rPr>
        <w:footnoteRef/>
      </w:r>
      <w:r>
        <w:t xml:space="preserve"> On peut néanmoins regretter que cette rigueur – relative – soit souvent peu motivée</w:t>
      </w:r>
      <w:r w:rsidR="00B43A50">
        <w:t xml:space="preserve"> ; voir </w:t>
      </w:r>
      <w:r w:rsidR="00B43A50">
        <w:rPr>
          <w:i/>
          <w:iCs/>
        </w:rPr>
        <w:t>infra</w:t>
      </w:r>
      <w:r w:rsidR="00B43A50">
        <w:t xml:space="preserve"> sur ce point.</w:t>
      </w:r>
    </w:p>
  </w:footnote>
  <w:footnote w:id="37">
    <w:p w14:paraId="160C74EE" w14:textId="364CC400" w:rsidR="003B6DBA" w:rsidRDefault="003B6DBA">
      <w:pPr>
        <w:pStyle w:val="Notedebasdepage"/>
      </w:pPr>
      <w:r>
        <w:rPr>
          <w:rStyle w:val="Appelnotedebasdep"/>
        </w:rPr>
        <w:footnoteRef/>
      </w:r>
      <w:r>
        <w:t xml:space="preserve"> V., à ce propos</w:t>
      </w:r>
      <w:r w:rsidRPr="00502F00">
        <w:rPr>
          <w:color w:val="000000" w:themeColor="text1"/>
        </w:rPr>
        <w:t>,</w:t>
      </w:r>
      <w:r>
        <w:rPr>
          <w:color w:val="000000" w:themeColor="text1"/>
        </w:rPr>
        <w:t xml:space="preserve"> Alain Pellet, </w:t>
      </w:r>
      <w:r w:rsidRPr="00502F00">
        <w:rPr>
          <w:color w:val="000000" w:themeColor="text1"/>
        </w:rPr>
        <w:t>« Le droit international à la lumière de la pratique : l</w:t>
      </w:r>
      <w:r w:rsidR="005431F2">
        <w:rPr>
          <w:color w:val="000000" w:themeColor="text1"/>
        </w:rPr>
        <w:t>’</w:t>
      </w:r>
      <w:r w:rsidRPr="00502F00">
        <w:rPr>
          <w:color w:val="000000" w:themeColor="text1"/>
        </w:rPr>
        <w:t xml:space="preserve">introuvable théorie de la réalité. Cours général de droit international public », </w:t>
      </w:r>
      <w:r w:rsidRPr="00502F00">
        <w:rPr>
          <w:i/>
          <w:iCs/>
          <w:color w:val="000000" w:themeColor="text1"/>
        </w:rPr>
        <w:t>RCADI</w:t>
      </w:r>
      <w:r w:rsidRPr="00502F00">
        <w:rPr>
          <w:color w:val="000000" w:themeColor="text1"/>
        </w:rPr>
        <w:t>, vol. 414, 2021, spéc. le chapitre 9 sur « l</w:t>
      </w:r>
      <w:r w:rsidR="005431F2">
        <w:rPr>
          <w:color w:val="000000" w:themeColor="text1"/>
        </w:rPr>
        <w:t>’</w:t>
      </w:r>
      <w:r w:rsidRPr="00502F00">
        <w:rPr>
          <w:color w:val="000000" w:themeColor="text1"/>
        </w:rPr>
        <w:t>« humanisation » du droit international et ses limites », pp. 370 et ss.</w:t>
      </w:r>
    </w:p>
  </w:footnote>
  <w:footnote w:id="38">
    <w:p w14:paraId="6625D9BE" w14:textId="1866EE47" w:rsidR="0027495D" w:rsidRDefault="0027495D">
      <w:pPr>
        <w:pStyle w:val="Notedebasdepage"/>
      </w:pPr>
      <w:r>
        <w:rPr>
          <w:rStyle w:val="Appelnotedebasdep"/>
        </w:rPr>
        <w:footnoteRef/>
      </w:r>
      <w:r>
        <w:t xml:space="preserve"> </w:t>
      </w:r>
      <w:r w:rsidRPr="0027495D">
        <w:t xml:space="preserve">CIJ, </w:t>
      </w:r>
      <w:r w:rsidRPr="0027495D">
        <w:rPr>
          <w:i/>
          <w:iCs/>
        </w:rPr>
        <w:t>Certaines activités menées par le Nicaragua dans la région frontalière (Costa Rica c. Nicaragua)</w:t>
      </w:r>
      <w:r w:rsidRPr="0027495D">
        <w:t>, mesures conservatoires, ordonnance du 8 mars 2011, opinion individuelle de M. Le juge Koroma, §1</w:t>
      </w:r>
      <w:r>
        <w:t> : « [o]</w:t>
      </w:r>
      <w:r w:rsidRPr="0027495D">
        <w:t>utre qu</w:t>
      </w:r>
      <w:r w:rsidR="005431F2">
        <w:t>’</w:t>
      </w:r>
      <w:r w:rsidRPr="0027495D">
        <w:t>un tel critère introduit à mon sens une ambiguïté et une incertitude, on voit mal s</w:t>
      </w:r>
      <w:r w:rsidR="005431F2">
        <w:t>’</w:t>
      </w:r>
      <w:r w:rsidRPr="0027495D">
        <w:t>il porte sur les droits, les faits, ou les deux</w:t>
      </w:r>
      <w:r>
        <w:t> ».</w:t>
      </w:r>
    </w:p>
  </w:footnote>
  <w:footnote w:id="39">
    <w:p w14:paraId="11398FD1" w14:textId="732F24F0" w:rsidR="00400B15" w:rsidRDefault="00400B15">
      <w:pPr>
        <w:pStyle w:val="Notedebasdepage"/>
      </w:pPr>
      <w:r>
        <w:rPr>
          <w:rStyle w:val="Appelnotedebasdep"/>
        </w:rPr>
        <w:footnoteRef/>
      </w:r>
      <w:r>
        <w:t xml:space="preserve"> Ordonnance </w:t>
      </w:r>
      <w:r w:rsidRPr="00E5252B">
        <w:rPr>
          <w:i/>
          <w:iCs/>
        </w:rPr>
        <w:t>Arménie c. Azerbaïdjan</w:t>
      </w:r>
      <w:r>
        <w:t>, §58.</w:t>
      </w:r>
    </w:p>
  </w:footnote>
  <w:footnote w:id="40">
    <w:p w14:paraId="096A0B9E" w14:textId="5AF1DDEF" w:rsidR="00175313" w:rsidRDefault="00175313">
      <w:pPr>
        <w:pStyle w:val="Notedebasdepage"/>
      </w:pPr>
      <w:r>
        <w:rPr>
          <w:rStyle w:val="Appelnotedebasdep"/>
        </w:rPr>
        <w:footnoteRef/>
      </w:r>
      <w:r>
        <w:t xml:space="preserve"> Ordonnance </w:t>
      </w:r>
      <w:r>
        <w:rPr>
          <w:i/>
          <w:iCs/>
        </w:rPr>
        <w:t>Azerbaïdjan c. Arménie</w:t>
      </w:r>
      <w:r>
        <w:t>, §53.</w:t>
      </w:r>
    </w:p>
  </w:footnote>
  <w:footnote w:id="41">
    <w:p w14:paraId="221EE6FB" w14:textId="1E62AA47" w:rsidR="00175313" w:rsidRDefault="00175313">
      <w:pPr>
        <w:pStyle w:val="Notedebasdepage"/>
      </w:pPr>
      <w:r>
        <w:rPr>
          <w:rStyle w:val="Appelnotedebasdep"/>
        </w:rPr>
        <w:footnoteRef/>
      </w:r>
      <w:r>
        <w:t xml:space="preserve"> Ordonnance </w:t>
      </w:r>
      <w:r w:rsidRPr="00E5252B">
        <w:rPr>
          <w:i/>
          <w:iCs/>
        </w:rPr>
        <w:t>Arménie c. Azerbaïdjan</w:t>
      </w:r>
      <w:r>
        <w:t>, §60.</w:t>
      </w:r>
    </w:p>
  </w:footnote>
  <w:footnote w:id="42">
    <w:p w14:paraId="4AE2112A" w14:textId="786FB938" w:rsidR="00E314BB" w:rsidRPr="00400B15" w:rsidRDefault="00E314BB" w:rsidP="00E314BB">
      <w:pPr>
        <w:pStyle w:val="Notedebasdepage"/>
      </w:pPr>
      <w:r>
        <w:rPr>
          <w:rStyle w:val="Appelnotedebasdep"/>
        </w:rPr>
        <w:footnoteRef/>
      </w:r>
      <w:r>
        <w:t xml:space="preserve"> </w:t>
      </w:r>
      <w:r w:rsidR="00175313">
        <w:rPr>
          <w:i/>
          <w:iCs/>
        </w:rPr>
        <w:t>Ibid</w:t>
      </w:r>
      <w:r w:rsidR="00175313">
        <w:t xml:space="preserve">., </w:t>
      </w:r>
      <w:r>
        <w:t>§59.</w:t>
      </w:r>
    </w:p>
  </w:footnote>
  <w:footnote w:id="43">
    <w:p w14:paraId="54FEA44F" w14:textId="182065AD" w:rsidR="00E314BB" w:rsidRPr="00E314BB" w:rsidRDefault="00E314BB">
      <w:pPr>
        <w:pStyle w:val="Notedebasdepage"/>
      </w:pPr>
      <w:r>
        <w:rPr>
          <w:rStyle w:val="Appelnotedebasdep"/>
        </w:rPr>
        <w:footnoteRef/>
      </w:r>
      <w:r>
        <w:t xml:space="preserve"> Ordonnance </w:t>
      </w:r>
      <w:r>
        <w:rPr>
          <w:i/>
          <w:iCs/>
        </w:rPr>
        <w:t>Azerbaïdjan c. Arménie</w:t>
      </w:r>
      <w:r>
        <w:t>, §52.</w:t>
      </w:r>
    </w:p>
  </w:footnote>
  <w:footnote w:id="44">
    <w:p w14:paraId="05625E24" w14:textId="22E5C5E4" w:rsidR="00E314BB" w:rsidRPr="00E314BB" w:rsidRDefault="00E314BB">
      <w:pPr>
        <w:pStyle w:val="Notedebasdepage"/>
      </w:pPr>
      <w:r>
        <w:rPr>
          <w:rStyle w:val="Appelnotedebasdep"/>
        </w:rPr>
        <w:footnoteRef/>
      </w:r>
      <w:r>
        <w:t xml:space="preserve"> </w:t>
      </w:r>
      <w:r w:rsidR="002D161A">
        <w:t xml:space="preserve">Ordonnance </w:t>
      </w:r>
      <w:r w:rsidR="002D161A" w:rsidRPr="00E5252B">
        <w:rPr>
          <w:i/>
          <w:iCs/>
        </w:rPr>
        <w:t>Arménie c. Azerbaïdjan</w:t>
      </w:r>
      <w:r w:rsidR="002D161A">
        <w:t>,</w:t>
      </w:r>
      <w:r>
        <w:t xml:space="preserve"> §60. La Cour précise néanmoins que le droit à ce que ces personnes ne subissent pas de traitements inhumains ou dégradants fondés sur leur origine nationale ou ethnique tant qu</w:t>
      </w:r>
      <w:r w:rsidR="005431F2">
        <w:t>’</w:t>
      </w:r>
      <w:r>
        <w:t>elles sont détenues en Azerbaïdjan est plausible.</w:t>
      </w:r>
    </w:p>
  </w:footnote>
  <w:footnote w:id="45">
    <w:p w14:paraId="539F78FE" w14:textId="3826DCDA" w:rsidR="004F0324" w:rsidRPr="004F0324" w:rsidRDefault="004F0324">
      <w:pPr>
        <w:pStyle w:val="Notedebasdepage"/>
      </w:pPr>
      <w:r>
        <w:rPr>
          <w:rStyle w:val="Appelnotedebasdep"/>
        </w:rPr>
        <w:footnoteRef/>
      </w:r>
      <w:r>
        <w:t xml:space="preserve"> </w:t>
      </w:r>
      <w:r>
        <w:rPr>
          <w:i/>
          <w:iCs/>
        </w:rPr>
        <w:t>Ibid</w:t>
      </w:r>
      <w:r>
        <w:t>., §61.</w:t>
      </w:r>
    </w:p>
  </w:footnote>
  <w:footnote w:id="46">
    <w:p w14:paraId="4E73D0EA" w14:textId="57ABA0B0" w:rsidR="00E706CA" w:rsidRPr="00E706CA" w:rsidRDefault="00E706CA">
      <w:pPr>
        <w:pStyle w:val="Notedebasdepage"/>
      </w:pPr>
      <w:r>
        <w:rPr>
          <w:rStyle w:val="Appelnotedebasdep"/>
        </w:rPr>
        <w:footnoteRef/>
      </w:r>
      <w:r>
        <w:t xml:space="preserve"> V. en ce sens la déclaration du juge </w:t>
      </w:r>
      <w:r>
        <w:rPr>
          <w:i/>
          <w:iCs/>
        </w:rPr>
        <w:t>ad hoc</w:t>
      </w:r>
      <w:r>
        <w:t xml:space="preserve"> </w:t>
      </w:r>
      <w:r w:rsidRPr="00E706CA">
        <w:rPr>
          <w:smallCaps/>
        </w:rPr>
        <w:t>Keith</w:t>
      </w:r>
      <w:r>
        <w:t>, §4.</w:t>
      </w:r>
    </w:p>
  </w:footnote>
  <w:footnote w:id="47">
    <w:p w14:paraId="4E809206" w14:textId="77446E77" w:rsidR="008F2DA0" w:rsidRPr="008F2DA0" w:rsidRDefault="008F2DA0">
      <w:pPr>
        <w:pStyle w:val="Notedebasdepage"/>
      </w:pPr>
      <w:r>
        <w:rPr>
          <w:rStyle w:val="Appelnotedebasdep"/>
        </w:rPr>
        <w:footnoteRef/>
      </w:r>
      <w:r>
        <w:t xml:space="preserve"> </w:t>
      </w:r>
      <w:r w:rsidR="00022470">
        <w:t xml:space="preserve">Ordonnance </w:t>
      </w:r>
      <w:r w:rsidR="00022470" w:rsidRPr="00E5252B">
        <w:rPr>
          <w:i/>
          <w:iCs/>
        </w:rPr>
        <w:t>Arménie c. Azerbaïdjan</w:t>
      </w:r>
      <w:r w:rsidR="00022470">
        <w:t xml:space="preserve">, </w:t>
      </w:r>
      <w:r>
        <w:t>§§63-64</w:t>
      </w:r>
      <w:r w:rsidR="002A37F7">
        <w:t xml:space="preserve"> et 66. V, dans le même sens, l</w:t>
      </w:r>
      <w:r w:rsidR="005431F2">
        <w:t>’</w:t>
      </w:r>
      <w:r w:rsidR="002A37F7">
        <w:t xml:space="preserve">opinion dissidente du juge </w:t>
      </w:r>
      <w:r w:rsidR="002A37F7" w:rsidRPr="002A37F7">
        <w:rPr>
          <w:smallCaps/>
        </w:rPr>
        <w:t>Yusuf</w:t>
      </w:r>
      <w:r w:rsidR="002A37F7">
        <w:t>, §17.</w:t>
      </w:r>
    </w:p>
  </w:footnote>
  <w:footnote w:id="48">
    <w:p w14:paraId="31EBB7A8" w14:textId="1ADBAB76" w:rsidR="002D161A" w:rsidRDefault="002D161A">
      <w:pPr>
        <w:pStyle w:val="Notedebasdepage"/>
      </w:pPr>
      <w:r>
        <w:rPr>
          <w:rStyle w:val="Appelnotedebasdep"/>
        </w:rPr>
        <w:footnoteRef/>
      </w:r>
      <w:r>
        <w:t xml:space="preserve"> Ordonnance </w:t>
      </w:r>
      <w:r>
        <w:rPr>
          <w:i/>
          <w:iCs/>
        </w:rPr>
        <w:t>Azerbaïdjan c. Arménie</w:t>
      </w:r>
      <w:r>
        <w:t>, §53.</w:t>
      </w:r>
    </w:p>
  </w:footnote>
  <w:footnote w:id="49">
    <w:p w14:paraId="29DB66AF" w14:textId="64FB8342" w:rsidR="00304FB1" w:rsidRDefault="00304FB1">
      <w:pPr>
        <w:pStyle w:val="Notedebasdepage"/>
      </w:pPr>
      <w:r>
        <w:rPr>
          <w:rStyle w:val="Appelnotedebasdep"/>
        </w:rPr>
        <w:footnoteRef/>
      </w:r>
      <w:r>
        <w:t xml:space="preserve"> CIJ, </w:t>
      </w:r>
      <w:r>
        <w:rPr>
          <w:i/>
          <w:iCs/>
        </w:rPr>
        <w:t>Violations alléguées du traité d</w:t>
      </w:r>
      <w:r w:rsidR="005431F2">
        <w:rPr>
          <w:i/>
          <w:iCs/>
        </w:rPr>
        <w:t>’</w:t>
      </w:r>
      <w:r>
        <w:rPr>
          <w:i/>
          <w:iCs/>
        </w:rPr>
        <w:t>amitié, de commerce et de droits consulaires de 1955 (République islamique d</w:t>
      </w:r>
      <w:r w:rsidR="005431F2">
        <w:rPr>
          <w:i/>
          <w:iCs/>
        </w:rPr>
        <w:t>’</w:t>
      </w:r>
      <w:r>
        <w:rPr>
          <w:i/>
          <w:iCs/>
        </w:rPr>
        <w:t>Iran c. États-Unis d</w:t>
      </w:r>
      <w:r w:rsidR="005431F2">
        <w:rPr>
          <w:i/>
          <w:iCs/>
        </w:rPr>
        <w:t>’</w:t>
      </w:r>
      <w:r>
        <w:rPr>
          <w:i/>
          <w:iCs/>
        </w:rPr>
        <w:t>Amérique)</w:t>
      </w:r>
      <w:r>
        <w:t xml:space="preserve">, ordonnance précitée note </w:t>
      </w:r>
      <w:r>
        <w:fldChar w:fldCharType="begin"/>
      </w:r>
      <w:r>
        <w:instrText xml:space="preserve"> NOTEREF _Ref95337509 \h </w:instrText>
      </w:r>
      <w:r>
        <w:fldChar w:fldCharType="separate"/>
      </w:r>
      <w:r w:rsidR="00935311">
        <w:t>33</w:t>
      </w:r>
      <w:r>
        <w:fldChar w:fldCharType="end"/>
      </w:r>
      <w:r>
        <w:t>, §75.</w:t>
      </w:r>
    </w:p>
  </w:footnote>
  <w:footnote w:id="50">
    <w:p w14:paraId="768B69BC" w14:textId="5A88F133" w:rsidR="00B43A50" w:rsidRDefault="00B43A50">
      <w:pPr>
        <w:pStyle w:val="Notedebasdepage"/>
      </w:pPr>
      <w:r>
        <w:rPr>
          <w:rStyle w:val="Appelnotedebasdep"/>
        </w:rPr>
        <w:footnoteRef/>
      </w:r>
      <w:r>
        <w:t xml:space="preserve"> </w:t>
      </w:r>
      <w:r w:rsidRPr="003B6CE3">
        <w:rPr>
          <w:rFonts w:ascii="Times" w:hAnsi="Times"/>
        </w:rPr>
        <w:t xml:space="preserve">CIJ, </w:t>
      </w:r>
      <w:r w:rsidRPr="003B6CE3">
        <w:rPr>
          <w:rFonts w:ascii="Times" w:hAnsi="Times"/>
          <w:i/>
          <w:iCs/>
        </w:rPr>
        <w:t>Application de la convention pour la prévention et la répression du crime de génocide (Gambie c. Myanmar)</w:t>
      </w:r>
      <w:r>
        <w:rPr>
          <w:rFonts w:ascii="Times" w:hAnsi="Times"/>
        </w:rPr>
        <w:t xml:space="preserve">, ordonnance précitée note </w:t>
      </w:r>
      <w:r>
        <w:rPr>
          <w:rFonts w:ascii="Times" w:hAnsi="Times"/>
        </w:rPr>
        <w:fldChar w:fldCharType="begin"/>
      </w:r>
      <w:r>
        <w:rPr>
          <w:rFonts w:ascii="Times" w:hAnsi="Times"/>
        </w:rPr>
        <w:instrText xml:space="preserve"> NOTEREF _Ref95334796 \h </w:instrText>
      </w:r>
      <w:r>
        <w:rPr>
          <w:rFonts w:ascii="Times" w:hAnsi="Times"/>
        </w:rPr>
      </w:r>
      <w:r>
        <w:rPr>
          <w:rFonts w:ascii="Times" w:hAnsi="Times"/>
        </w:rPr>
        <w:fldChar w:fldCharType="separate"/>
      </w:r>
      <w:r w:rsidR="00935311">
        <w:rPr>
          <w:rFonts w:ascii="Times" w:hAnsi="Times"/>
        </w:rPr>
        <w:t>7</w:t>
      </w:r>
      <w:r>
        <w:rPr>
          <w:rFonts w:ascii="Times" w:hAnsi="Times"/>
        </w:rPr>
        <w:fldChar w:fldCharType="end"/>
      </w:r>
      <w:r>
        <w:rPr>
          <w:rFonts w:ascii="Times" w:hAnsi="Times"/>
        </w:rPr>
        <w:t>, §§61-62.</w:t>
      </w:r>
      <w:r w:rsidRPr="00B43A50">
        <w:rPr>
          <w:rFonts w:ascii="Times" w:hAnsi="Times"/>
        </w:rPr>
        <w:t xml:space="preserve"> </w:t>
      </w:r>
      <w:r>
        <w:rPr>
          <w:rFonts w:ascii="Times" w:hAnsi="Times"/>
        </w:rPr>
        <w:t>La mesure semblait certes éloignée des droits allégués puisqu</w:t>
      </w:r>
      <w:r w:rsidR="005431F2">
        <w:rPr>
          <w:rFonts w:ascii="Times" w:hAnsi="Times"/>
        </w:rPr>
        <w:t>’</w:t>
      </w:r>
      <w:r>
        <w:rPr>
          <w:rFonts w:ascii="Times" w:hAnsi="Times"/>
        </w:rPr>
        <w:t>elle requerrait « </w:t>
      </w:r>
      <w:r w:rsidRPr="006D7861">
        <w:rPr>
          <w:rFonts w:ascii="Times" w:hAnsi="Times"/>
        </w:rPr>
        <w:t>qu</w:t>
      </w:r>
      <w:r w:rsidR="005431F2">
        <w:rPr>
          <w:rFonts w:ascii="Times" w:hAnsi="Times"/>
        </w:rPr>
        <w:t>’</w:t>
      </w:r>
      <w:r w:rsidRPr="006D7861">
        <w:rPr>
          <w:rFonts w:ascii="Times" w:hAnsi="Times"/>
        </w:rPr>
        <w:t>il soit prescrit au Myanmar de donner accès et d</w:t>
      </w:r>
      <w:r w:rsidR="005431F2">
        <w:rPr>
          <w:rFonts w:ascii="Times" w:hAnsi="Times"/>
        </w:rPr>
        <w:t>’</w:t>
      </w:r>
      <w:r w:rsidRPr="006D7861">
        <w:rPr>
          <w:rFonts w:ascii="Times" w:hAnsi="Times"/>
        </w:rPr>
        <w:t>apporter son concours à tous les organes d</w:t>
      </w:r>
      <w:r w:rsidR="005431F2">
        <w:rPr>
          <w:rFonts w:ascii="Times" w:hAnsi="Times"/>
        </w:rPr>
        <w:t>’</w:t>
      </w:r>
      <w:r w:rsidRPr="006D7861">
        <w:rPr>
          <w:rFonts w:ascii="Times" w:hAnsi="Times"/>
        </w:rPr>
        <w:t>établissement des faits de l</w:t>
      </w:r>
      <w:r w:rsidR="005431F2">
        <w:rPr>
          <w:rFonts w:ascii="Times" w:hAnsi="Times"/>
        </w:rPr>
        <w:t>’</w:t>
      </w:r>
      <w:r w:rsidRPr="006D7861">
        <w:rPr>
          <w:rFonts w:ascii="Times" w:hAnsi="Times"/>
        </w:rPr>
        <w:t>Organisation des Nations Unies qui enquêtent sur des actes de génocide qui auraient été commis contre les Rohingya, y compris sur les conditions auxquelles ces derniers sont soumis</w:t>
      </w:r>
      <w:r>
        <w:rPr>
          <w:rFonts w:ascii="Times" w:hAnsi="Times"/>
        </w:rPr>
        <w:t> »</w:t>
      </w:r>
      <w:r w:rsidRPr="006D7861">
        <w:rPr>
          <w:rFonts w:ascii="Times" w:hAnsi="Times"/>
        </w:rPr>
        <w:t xml:space="preserve"> (§ 10)</w:t>
      </w:r>
      <w:r>
        <w:rPr>
          <w:rFonts w:ascii="Times" w:hAnsi="Times"/>
        </w:rPr>
        <w:t>. Cependant, une motivation plus étayée que la formule lapidaire selon laquelle « </w:t>
      </w:r>
      <w:r w:rsidRPr="006D7861">
        <w:rPr>
          <w:rFonts w:ascii="Times" w:hAnsi="Times"/>
        </w:rPr>
        <w:t>la Cour ne considère pas que son indication soit nécessaire dans les circonstances de l</w:t>
      </w:r>
      <w:r w:rsidR="005431F2">
        <w:rPr>
          <w:rFonts w:ascii="Times" w:hAnsi="Times"/>
        </w:rPr>
        <w:t>’</w:t>
      </w:r>
      <w:r w:rsidRPr="006D7861">
        <w:rPr>
          <w:rFonts w:ascii="Times" w:hAnsi="Times"/>
        </w:rPr>
        <w:t>espèce</w:t>
      </w:r>
      <w:r>
        <w:rPr>
          <w:rFonts w:ascii="Times" w:hAnsi="Times"/>
        </w:rPr>
        <w:t> » (§62)</w:t>
      </w:r>
      <w:r w:rsidR="00175AE4">
        <w:rPr>
          <w:rFonts w:ascii="Times" w:hAnsi="Times"/>
        </w:rPr>
        <w:t xml:space="preserve"> </w:t>
      </w:r>
      <w:r>
        <w:rPr>
          <w:rFonts w:ascii="Times" w:hAnsi="Times"/>
        </w:rPr>
        <w:t>eût été souhaitable</w:t>
      </w:r>
      <w:r w:rsidR="00175AE4">
        <w:rPr>
          <w:rFonts w:ascii="Times" w:hAnsi="Times"/>
        </w:rPr>
        <w:t>, d</w:t>
      </w:r>
      <w:r w:rsidR="005431F2">
        <w:rPr>
          <w:rFonts w:ascii="Times" w:hAnsi="Times"/>
        </w:rPr>
        <w:t>’</w:t>
      </w:r>
      <w:r w:rsidR="00175AE4">
        <w:rPr>
          <w:rFonts w:ascii="Times" w:hAnsi="Times"/>
        </w:rPr>
        <w:t xml:space="preserve">autant </w:t>
      </w:r>
      <w:r w:rsidR="00D47785">
        <w:rPr>
          <w:rFonts w:ascii="Times" w:hAnsi="Times"/>
        </w:rPr>
        <w:t xml:space="preserve">que cette formulation </w:t>
      </w:r>
      <w:r w:rsidR="00175AE4">
        <w:rPr>
          <w:rFonts w:ascii="Times" w:hAnsi="Times"/>
        </w:rPr>
        <w:t xml:space="preserve">sème </w:t>
      </w:r>
      <w:r w:rsidR="00B95886">
        <w:rPr>
          <w:rFonts w:ascii="Times" w:hAnsi="Times"/>
        </w:rPr>
        <w:t>un sérieux</w:t>
      </w:r>
      <w:r w:rsidR="00175AE4">
        <w:rPr>
          <w:rFonts w:ascii="Times" w:hAnsi="Times"/>
        </w:rPr>
        <w:t xml:space="preserve"> doute sur l</w:t>
      </w:r>
      <w:r w:rsidR="005431F2">
        <w:rPr>
          <w:rFonts w:ascii="Times" w:hAnsi="Times"/>
        </w:rPr>
        <w:t>’</w:t>
      </w:r>
      <w:r w:rsidR="00175AE4">
        <w:rPr>
          <w:rFonts w:ascii="Times" w:hAnsi="Times"/>
        </w:rPr>
        <w:t>articulation entre, d</w:t>
      </w:r>
      <w:r w:rsidR="005431F2">
        <w:rPr>
          <w:rFonts w:ascii="Times" w:hAnsi="Times"/>
        </w:rPr>
        <w:t>’</w:t>
      </w:r>
      <w:r w:rsidR="00175AE4">
        <w:rPr>
          <w:rFonts w:ascii="Times" w:hAnsi="Times"/>
        </w:rPr>
        <w:t>une part, le lien entre la mesure et les droits allégués, d</w:t>
      </w:r>
      <w:r w:rsidR="005431F2">
        <w:rPr>
          <w:rFonts w:ascii="Times" w:hAnsi="Times"/>
        </w:rPr>
        <w:t>’</w:t>
      </w:r>
      <w:r w:rsidR="00175AE4">
        <w:rPr>
          <w:rFonts w:ascii="Times" w:hAnsi="Times"/>
        </w:rPr>
        <w:t xml:space="preserve">autre part, la nécessité de la mesure qui </w:t>
      </w:r>
      <w:r w:rsidR="00B95886">
        <w:rPr>
          <w:rFonts w:ascii="Times" w:hAnsi="Times"/>
        </w:rPr>
        <w:t xml:space="preserve">est </w:t>
      </w:r>
      <w:r w:rsidR="0047544C">
        <w:rPr>
          <w:rFonts w:ascii="Times" w:hAnsi="Times"/>
        </w:rPr>
        <w:t>– ou est censée être –</w:t>
      </w:r>
      <w:r w:rsidR="00175AE4">
        <w:rPr>
          <w:rFonts w:ascii="Times" w:hAnsi="Times"/>
        </w:rPr>
        <w:t xml:space="preserve"> une tout autre question.</w:t>
      </w:r>
    </w:p>
  </w:footnote>
  <w:footnote w:id="51">
    <w:p w14:paraId="2476ECAC" w14:textId="7E22EFE5" w:rsidR="00C87672" w:rsidRPr="00C87672" w:rsidRDefault="00C87672">
      <w:pPr>
        <w:pStyle w:val="Notedebasdepage"/>
      </w:pPr>
      <w:r>
        <w:rPr>
          <w:rStyle w:val="Appelnotedebasdep"/>
        </w:rPr>
        <w:footnoteRef/>
      </w:r>
      <w:r>
        <w:t xml:space="preserve"> Il faut noter, au-delà des propos qui suivent, que ces clarifications n</w:t>
      </w:r>
      <w:r w:rsidR="005431F2">
        <w:t>’</w:t>
      </w:r>
      <w:r>
        <w:t>apparaissent pas non plus dans l</w:t>
      </w:r>
      <w:r w:rsidR="005431F2">
        <w:t>’</w:t>
      </w:r>
      <w:r>
        <w:t>ordonnance ultérieure rendue dans l</w:t>
      </w:r>
      <w:r w:rsidR="005431F2">
        <w:t>’</w:t>
      </w:r>
      <w:r>
        <w:t xml:space="preserve">affaire </w:t>
      </w:r>
      <w:r>
        <w:rPr>
          <w:i/>
          <w:iCs/>
        </w:rPr>
        <w:t>Ukraine c. Russie</w:t>
      </w:r>
      <w:r>
        <w:t xml:space="preserve"> le 16 mars 2022 ; </w:t>
      </w:r>
      <w:r>
        <w:rPr>
          <w:i/>
          <w:iCs/>
        </w:rPr>
        <w:t>op. cit.</w:t>
      </w:r>
      <w:r>
        <w:t xml:space="preserve">, note </w:t>
      </w:r>
      <w:r>
        <w:fldChar w:fldCharType="begin"/>
      </w:r>
      <w:r>
        <w:instrText xml:space="preserve"> NOTEREF _Ref104359221 \h </w:instrText>
      </w:r>
      <w:r>
        <w:fldChar w:fldCharType="separate"/>
      </w:r>
      <w:r w:rsidR="00935311">
        <w:t>3</w:t>
      </w:r>
      <w:r>
        <w:fldChar w:fldCharType="end"/>
      </w:r>
      <w:r>
        <w:t>.</w:t>
      </w:r>
    </w:p>
  </w:footnote>
  <w:footnote w:id="52">
    <w:p w14:paraId="21459FB9" w14:textId="16EC3B37" w:rsidR="00D47785" w:rsidRPr="00D47785" w:rsidRDefault="00D47785">
      <w:pPr>
        <w:pStyle w:val="Notedebasdepage"/>
      </w:pPr>
      <w:r>
        <w:rPr>
          <w:rStyle w:val="Appelnotedebasdep"/>
        </w:rPr>
        <w:footnoteRef/>
      </w:r>
      <w:r>
        <w:t xml:space="preserve"> Ordonnance </w:t>
      </w:r>
      <w:r>
        <w:rPr>
          <w:i/>
          <w:iCs/>
        </w:rPr>
        <w:t>Arménie c. Azerbaïdjan</w:t>
      </w:r>
      <w:r>
        <w:t>, §67.</w:t>
      </w:r>
    </w:p>
  </w:footnote>
  <w:footnote w:id="53">
    <w:p w14:paraId="587EBD62" w14:textId="13CFCB32" w:rsidR="00D47785" w:rsidRPr="00D47785" w:rsidRDefault="00D47785">
      <w:pPr>
        <w:pStyle w:val="Notedebasdepage"/>
      </w:pPr>
      <w:r>
        <w:rPr>
          <w:rStyle w:val="Appelnotedebasdep"/>
        </w:rPr>
        <w:footnoteRef/>
      </w:r>
      <w:r>
        <w:t xml:space="preserve"> </w:t>
      </w:r>
      <w:r>
        <w:rPr>
          <w:i/>
          <w:iCs/>
        </w:rPr>
        <w:t>Ibid.</w:t>
      </w:r>
      <w:r>
        <w:t>, §68 (nous soulignons).</w:t>
      </w:r>
    </w:p>
  </w:footnote>
  <w:footnote w:id="54">
    <w:p w14:paraId="74442E94" w14:textId="35C8CBC1" w:rsidR="0086095F" w:rsidRPr="0086095F" w:rsidRDefault="0086095F">
      <w:pPr>
        <w:pStyle w:val="Notedebasdepage"/>
      </w:pPr>
      <w:r>
        <w:rPr>
          <w:rStyle w:val="Appelnotedebasdep"/>
        </w:rPr>
        <w:footnoteRef/>
      </w:r>
      <w:r>
        <w:t xml:space="preserve"> </w:t>
      </w:r>
      <w:r>
        <w:rPr>
          <w:i/>
          <w:iCs/>
        </w:rPr>
        <w:t>Ibid</w:t>
      </w:r>
      <w:r>
        <w:t>., §80</w:t>
      </w:r>
      <w:r w:rsidR="00F45671">
        <w:t xml:space="preserve"> (nous soulignons).</w:t>
      </w:r>
    </w:p>
  </w:footnote>
  <w:footnote w:id="55">
    <w:p w14:paraId="1EA114FD" w14:textId="7FD27D82" w:rsidR="00A94A67" w:rsidRPr="00A94A67" w:rsidRDefault="00A94A67">
      <w:pPr>
        <w:pStyle w:val="Notedebasdepage"/>
      </w:pPr>
      <w:r>
        <w:rPr>
          <w:rStyle w:val="Appelnotedebasdep"/>
        </w:rPr>
        <w:footnoteRef/>
      </w:r>
      <w:r>
        <w:t xml:space="preserve"> Ordonnance </w:t>
      </w:r>
      <w:r>
        <w:rPr>
          <w:i/>
          <w:iCs/>
        </w:rPr>
        <w:t>Azerbaïdjan c. Arménie</w:t>
      </w:r>
      <w:r>
        <w:t>, §57.</w:t>
      </w:r>
    </w:p>
  </w:footnote>
  <w:footnote w:id="56">
    <w:p w14:paraId="37B6F381" w14:textId="657EB3D3" w:rsidR="00701240" w:rsidRPr="00701240" w:rsidRDefault="00701240">
      <w:pPr>
        <w:pStyle w:val="Notedebasdepage"/>
      </w:pPr>
      <w:r>
        <w:rPr>
          <w:rStyle w:val="Appelnotedebasdep"/>
        </w:rPr>
        <w:footnoteRef/>
      </w:r>
      <w:r>
        <w:t xml:space="preserve"> </w:t>
      </w:r>
      <w:r>
        <w:rPr>
          <w:i/>
          <w:iCs/>
        </w:rPr>
        <w:t>Ibid</w:t>
      </w:r>
      <w:r>
        <w:t>., §58.</w:t>
      </w:r>
    </w:p>
  </w:footnote>
  <w:footnote w:id="57">
    <w:p w14:paraId="1EFA8EAE" w14:textId="2E168240" w:rsidR="009A45F1" w:rsidRPr="009A45F1" w:rsidRDefault="009A45F1">
      <w:pPr>
        <w:pStyle w:val="Notedebasdepage"/>
      </w:pPr>
      <w:r>
        <w:rPr>
          <w:rStyle w:val="Appelnotedebasdep"/>
        </w:rPr>
        <w:footnoteRef/>
      </w:r>
      <w:r>
        <w:t xml:space="preserve"> </w:t>
      </w:r>
      <w:r>
        <w:rPr>
          <w:i/>
          <w:iCs/>
        </w:rPr>
        <w:t>Ibid</w:t>
      </w:r>
      <w:r>
        <w:t>., §64.</w:t>
      </w:r>
    </w:p>
  </w:footnote>
  <w:footnote w:id="58">
    <w:p w14:paraId="4FFA8DC6" w14:textId="3D47A78E" w:rsidR="00BF187F" w:rsidRPr="00C97630" w:rsidRDefault="00BF187F">
      <w:pPr>
        <w:pStyle w:val="Notedebasdepage"/>
      </w:pPr>
      <w:r>
        <w:rPr>
          <w:rStyle w:val="Appelnotedebasdep"/>
        </w:rPr>
        <w:footnoteRef/>
      </w:r>
      <w:r w:rsidR="008230A6">
        <w:t> </w:t>
      </w:r>
      <w:r>
        <w:t>M</w:t>
      </w:r>
      <w:r w:rsidR="00FD002D">
        <w:t>ohammed</w:t>
      </w:r>
      <w:r>
        <w:t xml:space="preserve"> </w:t>
      </w:r>
      <w:r w:rsidR="009916C0">
        <w:t>Bedjaoui</w:t>
      </w:r>
      <w:r>
        <w:t>,</w:t>
      </w:r>
      <w:r w:rsidR="00C97630">
        <w:t xml:space="preserve"> « La </w:t>
      </w:r>
      <w:r w:rsidR="00C97630" w:rsidRPr="00D84119">
        <w:rPr>
          <w:lang w:val="fr-CA"/>
        </w:rPr>
        <w:t>“fabrication”</w:t>
      </w:r>
      <w:r w:rsidR="00C97630">
        <w:t xml:space="preserve"> des arrêts de la Cour internationale de justice », </w:t>
      </w:r>
      <w:r w:rsidR="00C97630">
        <w:rPr>
          <w:i/>
          <w:iCs/>
        </w:rPr>
        <w:t>in</w:t>
      </w:r>
      <w:r w:rsidR="00C97630">
        <w:t xml:space="preserve"> </w:t>
      </w:r>
      <w:r w:rsidR="00C97630">
        <w:rPr>
          <w:i/>
          <w:iCs/>
        </w:rPr>
        <w:t>Le droit international au service de la paix, de la justice et du développement. Mélanges Michel Virally</w:t>
      </w:r>
      <w:r w:rsidR="00C97630">
        <w:t>, Paris, Pedone, 1991,</w:t>
      </w:r>
      <w:r w:rsidR="009258AA">
        <w:t xml:space="preserve"> spéc.</w:t>
      </w:r>
      <w:r>
        <w:t xml:space="preserve"> </w:t>
      </w:r>
      <w:r w:rsidR="00C97630">
        <w:t xml:space="preserve">pp. 98-99 ou encore p. 105 : </w:t>
      </w:r>
      <w:r>
        <w:t>« [o]n ne peut pas lire un arrêt de la Cour comme la sentence d</w:t>
      </w:r>
      <w:r w:rsidR="005431F2">
        <w:t>’</w:t>
      </w:r>
      <w:r>
        <w:t>un arbitre unique, ou comme une thèse bien équilibrée de doctorat. La Cour n</w:t>
      </w:r>
      <w:r w:rsidR="005431F2">
        <w:t>’</w:t>
      </w:r>
      <w:r>
        <w:t>a ni rapporteur, ni avocat général et n</w:t>
      </w:r>
      <w:r w:rsidR="005431F2">
        <w:t>’</w:t>
      </w:r>
      <w:r>
        <w:t>entend pas en avoir. Son travail est collégial et l</w:t>
      </w:r>
      <w:r w:rsidR="005431F2">
        <w:t>’</w:t>
      </w:r>
      <w:r>
        <w:t>arrêt est le produit d</w:t>
      </w:r>
      <w:r w:rsidR="005431F2">
        <w:t>’</w:t>
      </w:r>
      <w:r>
        <w:t>une œuvre collective »</w:t>
      </w:r>
      <w:r w:rsidR="00C97630">
        <w:t>. L</w:t>
      </w:r>
      <w:r w:rsidR="005431F2">
        <w:t>’</w:t>
      </w:r>
      <w:r w:rsidR="00C97630">
        <w:t>auteur de ces lignes n</w:t>
      </w:r>
      <w:r w:rsidR="005431F2">
        <w:t>’</w:t>
      </w:r>
      <w:r w:rsidR="00C97630">
        <w:t>est pas certain de totalement échapper à la critique opérée par l</w:t>
      </w:r>
      <w:r w:rsidR="005431F2">
        <w:t>’</w:t>
      </w:r>
      <w:r w:rsidR="00C97630">
        <w:t>honorable juge Bedjaoui des commentaires doctrinaux fustigeant « niveau de la compétence rédactionnelle » des arrêts (</w:t>
      </w:r>
      <w:r w:rsidR="00C97630">
        <w:rPr>
          <w:i/>
          <w:iCs/>
        </w:rPr>
        <w:t>idem</w:t>
      </w:r>
      <w:r w:rsidR="00C97630">
        <w:t>) ; il n</w:t>
      </w:r>
      <w:r w:rsidR="005431F2">
        <w:t>’</w:t>
      </w:r>
      <w:r w:rsidR="00C97630">
        <w:t>en demeure pas moins qu</w:t>
      </w:r>
      <w:r w:rsidR="005431F2">
        <w:t>’</w:t>
      </w:r>
      <w:r w:rsidR="00C97630">
        <w:t>il est peu satisfaisant – et peu commun – qu</w:t>
      </w:r>
      <w:r w:rsidR="005431F2">
        <w:t>’</w:t>
      </w:r>
      <w:r w:rsidR="00C97630">
        <w:t>une ordonnance de la Cour dise une chose, puis, par omission, son exact contraire.</w:t>
      </w:r>
    </w:p>
  </w:footnote>
  <w:footnote w:id="59">
    <w:p w14:paraId="37E43EC8" w14:textId="6ECCB2F5" w:rsidR="00951EE6" w:rsidRPr="00951EE6" w:rsidRDefault="00951EE6">
      <w:pPr>
        <w:pStyle w:val="Notedebasdepage"/>
      </w:pPr>
      <w:r>
        <w:rPr>
          <w:rStyle w:val="Appelnotedebasdep"/>
        </w:rPr>
        <w:footnoteRef/>
      </w:r>
      <w:r>
        <w:t xml:space="preserve"> V. par exemple Ordonnance </w:t>
      </w:r>
      <w:r>
        <w:rPr>
          <w:i/>
          <w:iCs/>
        </w:rPr>
        <w:t>Azerbaïdjan c. Arménie</w:t>
      </w:r>
      <w:r>
        <w:t>, §60.</w:t>
      </w:r>
    </w:p>
  </w:footnote>
  <w:footnote w:id="60">
    <w:p w14:paraId="34B98819" w14:textId="6E1C661D" w:rsidR="006A4198" w:rsidRPr="006A4198" w:rsidRDefault="009916C0">
      <w:pPr>
        <w:pStyle w:val="Notedebasdepage"/>
      </w:pPr>
      <w:r>
        <w:rPr>
          <w:rStyle w:val="Appelnotedebasdep"/>
        </w:rPr>
        <w:footnoteRef/>
      </w:r>
      <w:r>
        <w:t xml:space="preserve"> </w:t>
      </w:r>
      <w:r w:rsidR="00F62CCE">
        <w:t>Robert</w:t>
      </w:r>
      <w:r>
        <w:t xml:space="preserve"> Kolb, </w:t>
      </w:r>
      <w:r>
        <w:rPr>
          <w:i/>
          <w:iCs/>
        </w:rPr>
        <w:t>L</w:t>
      </w:r>
      <w:r w:rsidR="009032E4">
        <w:rPr>
          <w:i/>
          <w:iCs/>
        </w:rPr>
        <w:t xml:space="preserve">a </w:t>
      </w:r>
      <w:r w:rsidR="006A4198">
        <w:rPr>
          <w:i/>
          <w:iCs/>
        </w:rPr>
        <w:t>Cour internationale de Justice</w:t>
      </w:r>
      <w:r w:rsidR="006A4198">
        <w:t>, Paris, Pedone, 2013, p. 649.</w:t>
      </w:r>
    </w:p>
  </w:footnote>
  <w:footnote w:id="61">
    <w:p w14:paraId="2C79DF4B" w14:textId="0EE18D6E" w:rsidR="006A4198" w:rsidRPr="006A4198" w:rsidRDefault="006A4198">
      <w:pPr>
        <w:pStyle w:val="Notedebasdepage"/>
        <w:rPr>
          <w:i/>
          <w:iCs/>
        </w:rPr>
      </w:pPr>
      <w:r>
        <w:rPr>
          <w:rStyle w:val="Appelnotedebasdep"/>
        </w:rPr>
        <w:footnoteRef/>
      </w:r>
      <w:r>
        <w:t xml:space="preserve"> </w:t>
      </w:r>
      <w:r>
        <w:rPr>
          <w:i/>
          <w:iCs/>
        </w:rPr>
        <w:t>Idem.</w:t>
      </w:r>
    </w:p>
  </w:footnote>
  <w:footnote w:id="62">
    <w:p w14:paraId="69378C32" w14:textId="419DC99D" w:rsidR="006A4198" w:rsidRPr="006A4198" w:rsidRDefault="006A4198">
      <w:pPr>
        <w:pStyle w:val="Notedebasdepage"/>
      </w:pPr>
      <w:r>
        <w:rPr>
          <w:rStyle w:val="Appelnotedebasdep"/>
        </w:rPr>
        <w:footnoteRef/>
      </w:r>
      <w:r>
        <w:t xml:space="preserve"> L</w:t>
      </w:r>
      <w:r w:rsidR="005431F2">
        <w:t>’</w:t>
      </w:r>
      <w:r>
        <w:t>on pense par exemple à l</w:t>
      </w:r>
      <w:r w:rsidR="005431F2">
        <w:t>’</w:t>
      </w:r>
      <w:r>
        <w:t xml:space="preserve">affaire CIJ, </w:t>
      </w:r>
      <w:r>
        <w:rPr>
          <w:i/>
          <w:iCs/>
        </w:rPr>
        <w:t>Demande en interprétation de l</w:t>
      </w:r>
      <w:r w:rsidR="005431F2">
        <w:rPr>
          <w:i/>
          <w:iCs/>
        </w:rPr>
        <w:t>’</w:t>
      </w:r>
      <w:r>
        <w:rPr>
          <w:i/>
          <w:iCs/>
        </w:rPr>
        <w:t>arrêt du 31 mars 2004 en l</w:t>
      </w:r>
      <w:r w:rsidR="005431F2">
        <w:rPr>
          <w:i/>
          <w:iCs/>
        </w:rPr>
        <w:t>’</w:t>
      </w:r>
      <w:r>
        <w:rPr>
          <w:i/>
          <w:iCs/>
        </w:rPr>
        <w:t xml:space="preserve">affaire </w:t>
      </w:r>
      <w:r>
        <w:t>Avena et autres ressortissants mexicains (Mexique c. États-Unis d</w:t>
      </w:r>
      <w:r w:rsidR="005431F2">
        <w:t>’</w:t>
      </w:r>
      <w:r>
        <w:t xml:space="preserve">Amérique) </w:t>
      </w:r>
      <w:r>
        <w:rPr>
          <w:i/>
          <w:iCs/>
        </w:rPr>
        <w:t>(Mexique c. États-Unis d</w:t>
      </w:r>
      <w:r w:rsidR="005431F2">
        <w:rPr>
          <w:i/>
          <w:iCs/>
        </w:rPr>
        <w:t>’</w:t>
      </w:r>
      <w:r>
        <w:rPr>
          <w:i/>
          <w:iCs/>
        </w:rPr>
        <w:t>Amérique)</w:t>
      </w:r>
      <w:r>
        <w:t xml:space="preserve">, mesures conservatoires, ordonnance du 16 juillet 2008, </w:t>
      </w:r>
      <w:r>
        <w:rPr>
          <w:i/>
          <w:iCs/>
        </w:rPr>
        <w:t xml:space="preserve">CIJ Rec. </w:t>
      </w:r>
      <w:r>
        <w:t>2008, §73</w:t>
      </w:r>
      <w:r w:rsidR="00120D22">
        <w:t>, ou</w:t>
      </w:r>
      <w:r w:rsidR="00167B3D">
        <w:t xml:space="preserve"> </w:t>
      </w:r>
      <w:r w:rsidR="00120D22">
        <w:t>plus récemment à l</w:t>
      </w:r>
      <w:r w:rsidR="005431F2">
        <w:t>’</w:t>
      </w:r>
      <w:r w:rsidR="00120D22">
        <w:t xml:space="preserve">affaire </w:t>
      </w:r>
      <w:r w:rsidR="00120D22" w:rsidRPr="00120D22">
        <w:t xml:space="preserve">CIJ, </w:t>
      </w:r>
      <w:r w:rsidR="00120D22" w:rsidRPr="00120D22">
        <w:rPr>
          <w:i/>
          <w:iCs/>
        </w:rPr>
        <w:t>Affaire Jadhav (Inde c. Pakistan)</w:t>
      </w:r>
      <w:r w:rsidR="00120D22" w:rsidRPr="00120D22">
        <w:t xml:space="preserve">, mesures conservatoires, ordonnance du 18 mai 2017, </w:t>
      </w:r>
      <w:r w:rsidR="00120D22" w:rsidRPr="00120D22">
        <w:rPr>
          <w:i/>
          <w:iCs/>
        </w:rPr>
        <w:t>CIJ Rec</w:t>
      </w:r>
      <w:r w:rsidR="00120D22" w:rsidRPr="00120D22">
        <w:t xml:space="preserve"> 2017, §55</w:t>
      </w:r>
      <w:r w:rsidR="00120D22">
        <w:t> : « </w:t>
      </w:r>
      <w:r w:rsidR="00120D22" w:rsidRPr="00120D22">
        <w:t>le simple fait que M. Jadhav fasse l</w:t>
      </w:r>
      <w:r w:rsidR="005431F2">
        <w:t>’</w:t>
      </w:r>
      <w:r w:rsidR="00120D22" w:rsidRPr="00120D22">
        <w:t>objet de pareille condamnation et puisse donc être exécuté suffit à établir l</w:t>
      </w:r>
      <w:r w:rsidR="005431F2">
        <w:t>’</w:t>
      </w:r>
      <w:r w:rsidR="00120D22" w:rsidRPr="00120D22">
        <w:t>existence d</w:t>
      </w:r>
      <w:r w:rsidR="005431F2">
        <w:t>’</w:t>
      </w:r>
      <w:r w:rsidR="00120D22" w:rsidRPr="00120D22">
        <w:t>un tel risque</w:t>
      </w:r>
      <w:r w:rsidR="00120D22">
        <w:t> ».</w:t>
      </w:r>
    </w:p>
  </w:footnote>
  <w:footnote w:id="63">
    <w:p w14:paraId="496752EC" w14:textId="57EFC868" w:rsidR="001D45BC" w:rsidRDefault="001D45BC">
      <w:pPr>
        <w:pStyle w:val="Notedebasdepage"/>
      </w:pPr>
      <w:r>
        <w:rPr>
          <w:rStyle w:val="Appelnotedebasdep"/>
        </w:rPr>
        <w:footnoteRef/>
      </w:r>
      <w:r>
        <w:t xml:space="preserve"> </w:t>
      </w:r>
      <w:r w:rsidR="0011151A" w:rsidRPr="003B6CE3">
        <w:rPr>
          <w:rFonts w:ascii="Times" w:hAnsi="Times"/>
        </w:rPr>
        <w:t xml:space="preserve">CIJ, </w:t>
      </w:r>
      <w:r w:rsidR="0011151A" w:rsidRPr="003B6CE3">
        <w:rPr>
          <w:rFonts w:ascii="Times" w:hAnsi="Times"/>
          <w:i/>
          <w:iCs/>
        </w:rPr>
        <w:t>Application de la convention internationale sur l</w:t>
      </w:r>
      <w:r w:rsidR="005431F2">
        <w:rPr>
          <w:rFonts w:ascii="Times" w:hAnsi="Times"/>
          <w:i/>
          <w:iCs/>
        </w:rPr>
        <w:t>’</w:t>
      </w:r>
      <w:r w:rsidR="0011151A" w:rsidRPr="003B6CE3">
        <w:rPr>
          <w:rFonts w:ascii="Times" w:hAnsi="Times"/>
          <w:i/>
          <w:iCs/>
        </w:rPr>
        <w:t>élimination de toutes les formes de discrimination raciale (Qatar c. Émirats arabes unis)</w:t>
      </w:r>
      <w:r w:rsidR="0011151A" w:rsidRPr="003B6CE3">
        <w:rPr>
          <w:rFonts w:ascii="Times" w:hAnsi="Times"/>
        </w:rPr>
        <w:t>,</w:t>
      </w:r>
      <w:r w:rsidR="0011151A">
        <w:rPr>
          <w:rFonts w:ascii="Times" w:hAnsi="Times"/>
        </w:rPr>
        <w:t xml:space="preserve"> ordonnance précitée note </w:t>
      </w:r>
      <w:r w:rsidR="0011151A">
        <w:rPr>
          <w:rFonts w:ascii="Times" w:hAnsi="Times"/>
        </w:rPr>
        <w:fldChar w:fldCharType="begin"/>
      </w:r>
      <w:r w:rsidR="0011151A">
        <w:rPr>
          <w:rFonts w:ascii="Times" w:hAnsi="Times"/>
        </w:rPr>
        <w:instrText xml:space="preserve"> NOTEREF _Ref31448124 \h </w:instrText>
      </w:r>
      <w:r w:rsidR="0011151A">
        <w:rPr>
          <w:rFonts w:ascii="Times" w:hAnsi="Times"/>
        </w:rPr>
      </w:r>
      <w:r w:rsidR="0011151A">
        <w:rPr>
          <w:rFonts w:ascii="Times" w:hAnsi="Times"/>
        </w:rPr>
        <w:fldChar w:fldCharType="separate"/>
      </w:r>
      <w:r w:rsidR="00935311">
        <w:rPr>
          <w:rFonts w:ascii="Times" w:hAnsi="Times"/>
        </w:rPr>
        <w:t>17</w:t>
      </w:r>
      <w:r w:rsidR="0011151A">
        <w:rPr>
          <w:rFonts w:ascii="Times" w:hAnsi="Times"/>
        </w:rPr>
        <w:fldChar w:fldCharType="end"/>
      </w:r>
      <w:r w:rsidR="0011151A">
        <w:rPr>
          <w:rFonts w:ascii="Times" w:hAnsi="Times"/>
        </w:rPr>
        <w:t>, §69.</w:t>
      </w:r>
    </w:p>
  </w:footnote>
  <w:footnote w:id="64">
    <w:p w14:paraId="2E0D4F2E" w14:textId="366DDDC0" w:rsidR="00A60B5A" w:rsidRDefault="00A60B5A">
      <w:pPr>
        <w:pStyle w:val="Notedebasdepage"/>
      </w:pPr>
      <w:r>
        <w:rPr>
          <w:rStyle w:val="Appelnotedebasdep"/>
        </w:rPr>
        <w:footnoteRef/>
      </w:r>
      <w:r>
        <w:t xml:space="preserve"> CIJ, </w:t>
      </w:r>
      <w:r>
        <w:rPr>
          <w:i/>
          <w:iCs/>
        </w:rPr>
        <w:t>Violations alléguées du traité d</w:t>
      </w:r>
      <w:r w:rsidR="005431F2">
        <w:rPr>
          <w:i/>
          <w:iCs/>
        </w:rPr>
        <w:t>’</w:t>
      </w:r>
      <w:r>
        <w:rPr>
          <w:i/>
          <w:iCs/>
        </w:rPr>
        <w:t>amitié, de commerce et de droits consulaires de 1955 (République islamique d</w:t>
      </w:r>
      <w:r w:rsidR="005431F2">
        <w:rPr>
          <w:i/>
          <w:iCs/>
        </w:rPr>
        <w:t>’</w:t>
      </w:r>
      <w:r>
        <w:rPr>
          <w:i/>
          <w:iCs/>
        </w:rPr>
        <w:t>Iran c. États-Unis d</w:t>
      </w:r>
      <w:r w:rsidR="005431F2">
        <w:rPr>
          <w:i/>
          <w:iCs/>
        </w:rPr>
        <w:t>’</w:t>
      </w:r>
      <w:r>
        <w:rPr>
          <w:i/>
          <w:iCs/>
        </w:rPr>
        <w:t>Amérique)</w:t>
      </w:r>
      <w:r>
        <w:t xml:space="preserve">, ordonnance précitée note </w:t>
      </w:r>
      <w:r>
        <w:fldChar w:fldCharType="begin"/>
      </w:r>
      <w:r>
        <w:instrText xml:space="preserve"> NOTEREF _Ref95337509 \h </w:instrText>
      </w:r>
      <w:r>
        <w:fldChar w:fldCharType="separate"/>
      </w:r>
      <w:r w:rsidR="00935311">
        <w:t>33</w:t>
      </w:r>
      <w:r>
        <w:fldChar w:fldCharType="end"/>
      </w:r>
      <w:r>
        <w:t>, §91.</w:t>
      </w:r>
    </w:p>
  </w:footnote>
  <w:footnote w:id="65">
    <w:p w14:paraId="658DDD2B" w14:textId="17710370" w:rsidR="0050337B" w:rsidRPr="0050337B" w:rsidRDefault="0050337B">
      <w:pPr>
        <w:pStyle w:val="Notedebasdepage"/>
      </w:pPr>
      <w:r>
        <w:rPr>
          <w:rStyle w:val="Appelnotedebasdep"/>
        </w:rPr>
        <w:footnoteRef/>
      </w:r>
      <w:r>
        <w:t xml:space="preserve"> Tel était notamment le cas dans l</w:t>
      </w:r>
      <w:r w:rsidR="005431F2">
        <w:t>’</w:t>
      </w:r>
      <w:r>
        <w:t xml:space="preserve">ordonnance </w:t>
      </w:r>
      <w:r>
        <w:rPr>
          <w:i/>
          <w:iCs/>
        </w:rPr>
        <w:t>ibid</w:t>
      </w:r>
      <w:r>
        <w:t>., puisque l</w:t>
      </w:r>
      <w:r w:rsidR="005431F2">
        <w:t>’</w:t>
      </w:r>
      <w:r>
        <w:t>objet du différend ne concernait pas la protection des ressortissants iraniens.</w:t>
      </w:r>
    </w:p>
  </w:footnote>
  <w:footnote w:id="66">
    <w:p w14:paraId="50C63E8B" w14:textId="52AE0B13" w:rsidR="0050337B" w:rsidRPr="006F7FC1" w:rsidRDefault="0050337B">
      <w:pPr>
        <w:pStyle w:val="Notedebasdepage"/>
        <w:rPr>
          <w:i/>
          <w:iCs/>
        </w:rPr>
      </w:pPr>
      <w:r>
        <w:rPr>
          <w:rStyle w:val="Appelnotedebasdep"/>
        </w:rPr>
        <w:footnoteRef/>
      </w:r>
      <w:r w:rsidR="006F7FC1">
        <w:t xml:space="preserve"> </w:t>
      </w:r>
      <w:r w:rsidR="006F7FC1">
        <w:rPr>
          <w:i/>
          <w:iCs/>
        </w:rPr>
        <w:t>Idem.</w:t>
      </w:r>
    </w:p>
  </w:footnote>
  <w:footnote w:id="67">
    <w:p w14:paraId="44B61B41" w14:textId="5CF86DDF" w:rsidR="001303F0" w:rsidRDefault="001303F0">
      <w:pPr>
        <w:pStyle w:val="Notedebasdepage"/>
      </w:pPr>
      <w:r>
        <w:rPr>
          <w:rStyle w:val="Appelnotedebasdep"/>
        </w:rPr>
        <w:footnoteRef/>
      </w:r>
      <w:r>
        <w:t xml:space="preserve"> </w:t>
      </w:r>
      <w:r w:rsidR="006361DB" w:rsidRPr="003B6CE3">
        <w:rPr>
          <w:rFonts w:ascii="Times" w:hAnsi="Times"/>
        </w:rPr>
        <w:t xml:space="preserve">CIJ, </w:t>
      </w:r>
      <w:r w:rsidR="006361DB" w:rsidRPr="003B6CE3">
        <w:rPr>
          <w:rFonts w:ascii="Times" w:hAnsi="Times"/>
          <w:i/>
          <w:iCs/>
        </w:rPr>
        <w:t>Application de la convention pour la prévention et la répression du crime de génocide (Gambie c. Myanmar)</w:t>
      </w:r>
      <w:r w:rsidR="006361DB">
        <w:rPr>
          <w:rFonts w:ascii="Times" w:hAnsi="Times"/>
        </w:rPr>
        <w:t xml:space="preserve">, ordonnance précitée note </w:t>
      </w:r>
      <w:r w:rsidR="006361DB">
        <w:rPr>
          <w:rFonts w:ascii="Times" w:hAnsi="Times"/>
        </w:rPr>
        <w:fldChar w:fldCharType="begin"/>
      </w:r>
      <w:r w:rsidR="006361DB">
        <w:rPr>
          <w:rFonts w:ascii="Times" w:hAnsi="Times"/>
        </w:rPr>
        <w:instrText xml:space="preserve"> NOTEREF _Ref95334796 \h </w:instrText>
      </w:r>
      <w:r w:rsidR="006361DB">
        <w:rPr>
          <w:rFonts w:ascii="Times" w:hAnsi="Times"/>
        </w:rPr>
      </w:r>
      <w:r w:rsidR="006361DB">
        <w:rPr>
          <w:rFonts w:ascii="Times" w:hAnsi="Times"/>
        </w:rPr>
        <w:fldChar w:fldCharType="separate"/>
      </w:r>
      <w:r w:rsidR="00935311">
        <w:rPr>
          <w:rFonts w:ascii="Times" w:hAnsi="Times"/>
        </w:rPr>
        <w:t>7</w:t>
      </w:r>
      <w:r w:rsidR="006361DB">
        <w:rPr>
          <w:rFonts w:ascii="Times" w:hAnsi="Times"/>
        </w:rPr>
        <w:fldChar w:fldCharType="end"/>
      </w:r>
      <w:r w:rsidR="006361DB">
        <w:rPr>
          <w:rFonts w:ascii="Times" w:hAnsi="Times"/>
        </w:rPr>
        <w:t xml:space="preserve">, </w:t>
      </w:r>
      <w:r>
        <w:t>§§69-75. Si les développements sont conséquents sur ce point, l</w:t>
      </w:r>
      <w:r w:rsidR="005431F2">
        <w:t>’</w:t>
      </w:r>
      <w:r>
        <w:t>issue du raisonnement, au regard tant de la gravité des faits allégués que des faits déjà pris en considération par la Cour dans le cadre de l</w:t>
      </w:r>
      <w:r w:rsidR="005431F2">
        <w:t>’</w:t>
      </w:r>
      <w:r>
        <w:t xml:space="preserve">appréciation de la plausibilité des droits invoqués, ne faisait aucun doute. </w:t>
      </w:r>
    </w:p>
  </w:footnote>
  <w:footnote w:id="68">
    <w:p w14:paraId="62450567" w14:textId="2EC81826" w:rsidR="006E2B32" w:rsidRPr="006E2B32" w:rsidRDefault="006E2B32">
      <w:pPr>
        <w:pStyle w:val="Notedebasdepage"/>
      </w:pPr>
      <w:r>
        <w:rPr>
          <w:rStyle w:val="Appelnotedebasdep"/>
        </w:rPr>
        <w:footnoteRef/>
      </w:r>
      <w:r>
        <w:t xml:space="preserve"> Ordonnance </w:t>
      </w:r>
      <w:r>
        <w:rPr>
          <w:i/>
          <w:iCs/>
        </w:rPr>
        <w:t>Arménie c. Azerbaïdjan</w:t>
      </w:r>
      <w:r>
        <w:t>, §82.</w:t>
      </w:r>
    </w:p>
  </w:footnote>
  <w:footnote w:id="69">
    <w:p w14:paraId="2EC11D00" w14:textId="460D4BFD" w:rsidR="006E2B32" w:rsidRPr="006E2B32" w:rsidRDefault="006E2B32">
      <w:pPr>
        <w:pStyle w:val="Notedebasdepage"/>
      </w:pPr>
      <w:r>
        <w:rPr>
          <w:rStyle w:val="Appelnotedebasdep"/>
        </w:rPr>
        <w:footnoteRef/>
      </w:r>
      <w:r>
        <w:t xml:space="preserve"> </w:t>
      </w:r>
      <w:r>
        <w:rPr>
          <w:i/>
          <w:iCs/>
        </w:rPr>
        <w:t>Ibid</w:t>
      </w:r>
      <w:r>
        <w:t>., §83.</w:t>
      </w:r>
    </w:p>
  </w:footnote>
  <w:footnote w:id="70">
    <w:p w14:paraId="4DBCB601" w14:textId="6AD5CC50" w:rsidR="006E2B32" w:rsidRPr="006E2B32" w:rsidRDefault="006E2B32">
      <w:pPr>
        <w:pStyle w:val="Notedebasdepage"/>
      </w:pPr>
      <w:r>
        <w:rPr>
          <w:rStyle w:val="Appelnotedebasdep"/>
        </w:rPr>
        <w:footnoteRef/>
      </w:r>
      <w:r>
        <w:t xml:space="preserve"> </w:t>
      </w:r>
      <w:r>
        <w:rPr>
          <w:i/>
          <w:iCs/>
        </w:rPr>
        <w:t>Idem</w:t>
      </w:r>
      <w:r>
        <w:t>.</w:t>
      </w:r>
    </w:p>
  </w:footnote>
  <w:footnote w:id="71">
    <w:p w14:paraId="1964C760" w14:textId="55A29E3D" w:rsidR="00B053A9" w:rsidRPr="00B053A9" w:rsidRDefault="00B053A9">
      <w:pPr>
        <w:pStyle w:val="Notedebasdepage"/>
      </w:pPr>
      <w:r>
        <w:rPr>
          <w:rStyle w:val="Appelnotedebasdep"/>
        </w:rPr>
        <w:footnoteRef/>
      </w:r>
      <w:r>
        <w:t xml:space="preserve"> Ordonnance </w:t>
      </w:r>
      <w:r>
        <w:rPr>
          <w:i/>
          <w:iCs/>
        </w:rPr>
        <w:t>Azerbaïdjan c. Arménie</w:t>
      </w:r>
      <w:r>
        <w:t>, §66.</w:t>
      </w:r>
    </w:p>
  </w:footnote>
  <w:footnote w:id="72">
    <w:p w14:paraId="1289F4E8" w14:textId="4C412D34" w:rsidR="00956887" w:rsidRPr="00956887" w:rsidRDefault="00956887">
      <w:pPr>
        <w:pStyle w:val="Notedebasdepage"/>
      </w:pPr>
      <w:r>
        <w:rPr>
          <w:rStyle w:val="Appelnotedebasdep"/>
        </w:rPr>
        <w:footnoteRef/>
      </w:r>
      <w:r>
        <w:t xml:space="preserve"> R</w:t>
      </w:r>
      <w:r w:rsidR="00F62CCE">
        <w:t>obert</w:t>
      </w:r>
      <w:r>
        <w:t xml:space="preserve"> Kolb, </w:t>
      </w:r>
      <w:r>
        <w:rPr>
          <w:i/>
          <w:iCs/>
        </w:rPr>
        <w:t>La Cour internationale de Justice</w:t>
      </w:r>
      <w:r>
        <w:t xml:space="preserve">, </w:t>
      </w:r>
      <w:r>
        <w:rPr>
          <w:i/>
          <w:iCs/>
        </w:rPr>
        <w:t>op. cit.</w:t>
      </w:r>
      <w:r>
        <w:t xml:space="preserve"> note </w:t>
      </w:r>
      <w:r>
        <w:fldChar w:fldCharType="begin"/>
      </w:r>
      <w:r>
        <w:instrText xml:space="preserve"> NOTEREF _Ref95690478 \h </w:instrText>
      </w:r>
      <w:r>
        <w:fldChar w:fldCharType="separate"/>
      </w:r>
      <w:r w:rsidR="00935311">
        <w:t>59</w:t>
      </w:r>
      <w:r>
        <w:fldChar w:fldCharType="end"/>
      </w:r>
      <w:r>
        <w:t>, p. 650.</w:t>
      </w:r>
    </w:p>
  </w:footnote>
  <w:footnote w:id="73">
    <w:p w14:paraId="1E0B0834" w14:textId="11D49DEC" w:rsidR="001D2F1A" w:rsidRPr="001D2F1A" w:rsidRDefault="001D2F1A">
      <w:pPr>
        <w:pStyle w:val="Notedebasdepage"/>
      </w:pPr>
      <w:r>
        <w:rPr>
          <w:rStyle w:val="Appelnotedebasdep"/>
        </w:rPr>
        <w:footnoteRef/>
      </w:r>
      <w:r>
        <w:t xml:space="preserve"> </w:t>
      </w:r>
      <w:r>
        <w:rPr>
          <w:i/>
          <w:iCs/>
        </w:rPr>
        <w:t>Idem</w:t>
      </w:r>
      <w:r>
        <w:t>.</w:t>
      </w:r>
    </w:p>
  </w:footnote>
  <w:footnote w:id="74">
    <w:p w14:paraId="2028BD59" w14:textId="1535D360" w:rsidR="00BF5033" w:rsidRDefault="00BF5033">
      <w:pPr>
        <w:pStyle w:val="Notedebasdepage"/>
      </w:pPr>
      <w:r>
        <w:rPr>
          <w:rStyle w:val="Appelnotedebasdep"/>
        </w:rPr>
        <w:footnoteRef/>
      </w:r>
      <w:r w:rsidR="007A073C">
        <w:t> </w:t>
      </w:r>
      <w:r w:rsidR="00B3660A" w:rsidRPr="003B6CE3">
        <w:rPr>
          <w:rFonts w:ascii="Times" w:hAnsi="Times"/>
        </w:rPr>
        <w:t xml:space="preserve">CIJ, </w:t>
      </w:r>
      <w:r w:rsidR="00B3660A" w:rsidRPr="003B6CE3">
        <w:rPr>
          <w:rFonts w:ascii="Times" w:hAnsi="Times"/>
          <w:i/>
          <w:iCs/>
        </w:rPr>
        <w:t>Application de la convention internationale sur l</w:t>
      </w:r>
      <w:r w:rsidR="005431F2">
        <w:rPr>
          <w:rFonts w:ascii="Times" w:hAnsi="Times"/>
          <w:i/>
          <w:iCs/>
        </w:rPr>
        <w:t>’</w:t>
      </w:r>
      <w:r w:rsidR="00B3660A" w:rsidRPr="003B6CE3">
        <w:rPr>
          <w:rFonts w:ascii="Times" w:hAnsi="Times"/>
          <w:i/>
          <w:iCs/>
        </w:rPr>
        <w:t>élimination de toutes les formes de discrimination raciale (Qatar c. Émirats arabes unis)</w:t>
      </w:r>
      <w:r w:rsidR="00B3660A" w:rsidRPr="003B6CE3">
        <w:rPr>
          <w:rFonts w:ascii="Times" w:hAnsi="Times"/>
        </w:rPr>
        <w:t>,</w:t>
      </w:r>
      <w:r w:rsidR="00B3660A">
        <w:rPr>
          <w:rFonts w:ascii="Times" w:hAnsi="Times"/>
        </w:rPr>
        <w:t xml:space="preserve"> ordonnance précitée note </w:t>
      </w:r>
      <w:r w:rsidR="00B3660A">
        <w:rPr>
          <w:rFonts w:ascii="Times" w:hAnsi="Times"/>
        </w:rPr>
        <w:fldChar w:fldCharType="begin"/>
      </w:r>
      <w:r w:rsidR="00B3660A">
        <w:rPr>
          <w:rFonts w:ascii="Times" w:hAnsi="Times"/>
        </w:rPr>
        <w:instrText xml:space="preserve"> NOTEREF _Ref31448124 \h </w:instrText>
      </w:r>
      <w:r w:rsidR="00B3660A">
        <w:rPr>
          <w:rFonts w:ascii="Times" w:hAnsi="Times"/>
        </w:rPr>
      </w:r>
      <w:r w:rsidR="00B3660A">
        <w:rPr>
          <w:rFonts w:ascii="Times" w:hAnsi="Times"/>
        </w:rPr>
        <w:fldChar w:fldCharType="separate"/>
      </w:r>
      <w:r w:rsidR="00935311">
        <w:rPr>
          <w:rFonts w:ascii="Times" w:hAnsi="Times"/>
        </w:rPr>
        <w:t>17</w:t>
      </w:r>
      <w:r w:rsidR="00B3660A">
        <w:rPr>
          <w:rFonts w:ascii="Times" w:hAnsi="Times"/>
        </w:rPr>
        <w:fldChar w:fldCharType="end"/>
      </w:r>
      <w:r w:rsidR="00B3660A">
        <w:rPr>
          <w:rFonts w:ascii="Times" w:hAnsi="Times"/>
        </w:rPr>
        <w:t>, §68.</w:t>
      </w:r>
      <w:r w:rsidR="007A2B91">
        <w:rPr>
          <w:rFonts w:ascii="Times" w:hAnsi="Times"/>
        </w:rPr>
        <w:t xml:space="preserve"> Nous soulignons.</w:t>
      </w:r>
    </w:p>
  </w:footnote>
  <w:footnote w:id="75">
    <w:p w14:paraId="5B0E4708" w14:textId="4DD9ADDA" w:rsidR="007A2B91" w:rsidRPr="007A2B91" w:rsidRDefault="007A2B91">
      <w:pPr>
        <w:pStyle w:val="Notedebasdepage"/>
      </w:pPr>
      <w:r>
        <w:rPr>
          <w:rStyle w:val="Appelnotedebasdep"/>
        </w:rPr>
        <w:footnoteRef/>
      </w:r>
      <w:r>
        <w:t xml:space="preserve"> </w:t>
      </w:r>
      <w:r>
        <w:rPr>
          <w:i/>
          <w:iCs/>
        </w:rPr>
        <w:t>Ibid</w:t>
      </w:r>
      <w:r>
        <w:t>., §70.</w:t>
      </w:r>
      <w:r w:rsidR="00BF62AA">
        <w:t xml:space="preserve"> La Cour en déduit « </w:t>
      </w:r>
      <w:r w:rsidR="00BF62AA" w:rsidRPr="00BF62AA">
        <w:rPr>
          <w:i/>
          <w:iCs/>
        </w:rPr>
        <w:t xml:space="preserve">par conséquent </w:t>
      </w:r>
      <w:r w:rsidR="00BF62AA">
        <w:t>qu</w:t>
      </w:r>
      <w:r w:rsidR="005431F2">
        <w:t>’</w:t>
      </w:r>
      <w:r w:rsidR="00BF62AA">
        <w:t>il existe un risque imminent que les mesures adoptées […] puissent causer un préjudice irréparable » (§71 ; nous soulignons).</w:t>
      </w:r>
    </w:p>
  </w:footnote>
  <w:footnote w:id="76">
    <w:p w14:paraId="3542B58A" w14:textId="26DFCF73" w:rsidR="00A057D5" w:rsidRDefault="00A057D5">
      <w:pPr>
        <w:pStyle w:val="Notedebasdepage"/>
      </w:pPr>
      <w:r>
        <w:rPr>
          <w:rStyle w:val="Appelnotedebasdep"/>
        </w:rPr>
        <w:footnoteRef/>
      </w:r>
      <w:r>
        <w:t xml:space="preserve"> </w:t>
      </w:r>
      <w:r w:rsidRPr="00A057D5">
        <w:t>V</w:t>
      </w:r>
      <w:r>
        <w:t xml:space="preserve">. </w:t>
      </w:r>
      <w:r w:rsidRPr="00A057D5">
        <w:t xml:space="preserve">par exemple CIJ, </w:t>
      </w:r>
      <w:r w:rsidRPr="00A057D5">
        <w:rPr>
          <w:i/>
          <w:iCs/>
        </w:rPr>
        <w:t>Certaines activités menées par le Nicaragua dans la région frontalière (Costa Rica c. Nicaragua)</w:t>
      </w:r>
      <w:r>
        <w:rPr>
          <w:i/>
          <w:iCs/>
        </w:rPr>
        <w:t> </w:t>
      </w:r>
      <w:r>
        <w:t xml:space="preserve">; </w:t>
      </w:r>
      <w:r w:rsidRPr="00A057D5">
        <w:rPr>
          <w:i/>
          <w:iCs/>
        </w:rPr>
        <w:t>Construction d</w:t>
      </w:r>
      <w:r w:rsidR="005431F2">
        <w:rPr>
          <w:i/>
          <w:iCs/>
        </w:rPr>
        <w:t>’</w:t>
      </w:r>
      <w:r w:rsidRPr="00A057D5">
        <w:rPr>
          <w:i/>
          <w:iCs/>
        </w:rPr>
        <w:t>une route au Costa Rica le long du fleuve San Juan (Nicaragua c. Costa Rica</w:t>
      </w:r>
      <w:r w:rsidRPr="00A057D5">
        <w:t xml:space="preserve">), mesures conservatoires, ordonnance du 22 novembre 2013, </w:t>
      </w:r>
      <w:r w:rsidRPr="00A057D5">
        <w:rPr>
          <w:i/>
          <w:iCs/>
        </w:rPr>
        <w:t>CIJ Rec.</w:t>
      </w:r>
      <w:r w:rsidRPr="00A057D5">
        <w:t xml:space="preserve"> 2013, §50.</w:t>
      </w:r>
    </w:p>
  </w:footnote>
  <w:footnote w:id="77">
    <w:p w14:paraId="4E81A3FB" w14:textId="13C93412" w:rsidR="009C339D" w:rsidRPr="009C339D" w:rsidRDefault="009C339D">
      <w:pPr>
        <w:pStyle w:val="Notedebasdepage"/>
      </w:pPr>
      <w:r>
        <w:rPr>
          <w:rStyle w:val="Appelnotedebasdep"/>
        </w:rPr>
        <w:footnoteRef/>
      </w:r>
      <w:r>
        <w:t xml:space="preserve"> Ordonnance </w:t>
      </w:r>
      <w:r>
        <w:rPr>
          <w:i/>
          <w:iCs/>
        </w:rPr>
        <w:t>Arménie c. Azerbaïdjan</w:t>
      </w:r>
      <w:r>
        <w:t>, §§85-88.</w:t>
      </w:r>
    </w:p>
  </w:footnote>
  <w:footnote w:id="78">
    <w:p w14:paraId="4CAE9F9F" w14:textId="4EBDB91C" w:rsidR="00834EF2" w:rsidRPr="00834EF2" w:rsidRDefault="00834EF2">
      <w:pPr>
        <w:pStyle w:val="Notedebasdepage"/>
      </w:pPr>
      <w:r>
        <w:rPr>
          <w:rStyle w:val="Appelnotedebasdep"/>
        </w:rPr>
        <w:footnoteRef/>
      </w:r>
      <w:r>
        <w:t xml:space="preserve"> </w:t>
      </w:r>
      <w:r>
        <w:rPr>
          <w:i/>
          <w:iCs/>
        </w:rPr>
        <w:t>Ibid</w:t>
      </w:r>
      <w:r>
        <w:t>., §85</w:t>
      </w:r>
      <w:r w:rsidR="00F866DE">
        <w:t xml:space="preserve">, </w:t>
      </w:r>
      <w:r>
        <w:t xml:space="preserve">citant la résolution </w:t>
      </w:r>
      <w:r w:rsidR="00FB6C99">
        <w:t>sur les conséquences humanitaires du conflit entre l</w:t>
      </w:r>
      <w:r w:rsidR="005431F2">
        <w:t>’</w:t>
      </w:r>
      <w:r w:rsidR="00FB6C99">
        <w:t>Arménie et l</w:t>
      </w:r>
      <w:r w:rsidR="005431F2">
        <w:t>’</w:t>
      </w:r>
      <w:r w:rsidR="00FB6C99">
        <w:t>Azerbaïdjan de l</w:t>
      </w:r>
      <w:r w:rsidR="005431F2">
        <w:t>’</w:t>
      </w:r>
      <w:r w:rsidR="00FB6C99">
        <w:t>Assemblée parlementaire du Conseil de l</w:t>
      </w:r>
      <w:r w:rsidR="005431F2">
        <w:t>’</w:t>
      </w:r>
      <w:r w:rsidR="00FB6C99">
        <w:t>Europe du 27 septembre 2021.</w:t>
      </w:r>
    </w:p>
  </w:footnote>
  <w:footnote w:id="79">
    <w:p w14:paraId="561A6199" w14:textId="1865833D" w:rsidR="00C15766" w:rsidRPr="00C15766" w:rsidRDefault="00C15766">
      <w:pPr>
        <w:pStyle w:val="Notedebasdepage"/>
      </w:pPr>
      <w:r>
        <w:rPr>
          <w:rStyle w:val="Appelnotedebasdep"/>
        </w:rPr>
        <w:footnoteRef/>
      </w:r>
      <w:r>
        <w:t xml:space="preserve"> </w:t>
      </w:r>
      <w:r>
        <w:rPr>
          <w:i/>
          <w:iCs/>
        </w:rPr>
        <w:t>Ibid.</w:t>
      </w:r>
      <w:r>
        <w:t>, §88.</w:t>
      </w:r>
      <w:r w:rsidR="001419C2">
        <w:t xml:space="preserve"> Nous soulignons.</w:t>
      </w:r>
    </w:p>
  </w:footnote>
  <w:footnote w:id="80">
    <w:p w14:paraId="47D4617F" w14:textId="07756FB8" w:rsidR="009C523E" w:rsidRPr="009C523E" w:rsidRDefault="009C523E">
      <w:pPr>
        <w:pStyle w:val="Notedebasdepage"/>
      </w:pPr>
      <w:r>
        <w:rPr>
          <w:rStyle w:val="Appelnotedebasdep"/>
        </w:rPr>
        <w:footnoteRef/>
      </w:r>
      <w:r>
        <w:t xml:space="preserve"> </w:t>
      </w:r>
      <w:r>
        <w:rPr>
          <w:i/>
          <w:iCs/>
        </w:rPr>
        <w:t>Ibid</w:t>
      </w:r>
      <w:r>
        <w:t>., §70.</w:t>
      </w:r>
    </w:p>
  </w:footnote>
  <w:footnote w:id="81">
    <w:p w14:paraId="5EBDB84D" w14:textId="04CCD46E" w:rsidR="007E49E0" w:rsidRPr="007E49E0" w:rsidRDefault="007E49E0">
      <w:pPr>
        <w:pStyle w:val="Notedebasdepage"/>
      </w:pPr>
      <w:r>
        <w:rPr>
          <w:rStyle w:val="Appelnotedebasdep"/>
        </w:rPr>
        <w:footnoteRef/>
      </w:r>
      <w:r>
        <w:t xml:space="preserve"> Ordonnance </w:t>
      </w:r>
      <w:r w:rsidR="00327AF7">
        <w:rPr>
          <w:i/>
          <w:iCs/>
        </w:rPr>
        <w:t>Azerbaïdjan c. Arménie</w:t>
      </w:r>
      <w:r>
        <w:t>, §67.</w:t>
      </w:r>
    </w:p>
  </w:footnote>
  <w:footnote w:id="82">
    <w:p w14:paraId="0CAA509B" w14:textId="0F133F0C" w:rsidR="00327AF7" w:rsidRPr="00327AF7" w:rsidRDefault="00327AF7">
      <w:pPr>
        <w:pStyle w:val="Notedebasdepage"/>
      </w:pPr>
      <w:r>
        <w:rPr>
          <w:rStyle w:val="Appelnotedebasdep"/>
        </w:rPr>
        <w:footnoteRef/>
      </w:r>
      <w:r>
        <w:t xml:space="preserve"> </w:t>
      </w:r>
      <w:r>
        <w:rPr>
          <w:i/>
          <w:iCs/>
        </w:rPr>
        <w:t>Ibid.</w:t>
      </w:r>
      <w:r>
        <w:t>, §62. Nous soulignons.</w:t>
      </w:r>
    </w:p>
  </w:footnote>
  <w:footnote w:id="83">
    <w:p w14:paraId="2A244369" w14:textId="661FF487" w:rsidR="00630209" w:rsidRPr="00630209" w:rsidRDefault="00630209">
      <w:pPr>
        <w:pStyle w:val="Notedebasdepage"/>
        <w:rPr>
          <w:i/>
          <w:iCs/>
        </w:rPr>
      </w:pPr>
      <w:r>
        <w:rPr>
          <w:rStyle w:val="Appelnotedebasdep"/>
        </w:rPr>
        <w:footnoteRef/>
      </w:r>
      <w:r>
        <w:t xml:space="preserve"> </w:t>
      </w:r>
      <w:r>
        <w:rPr>
          <w:i/>
          <w:iCs/>
        </w:rPr>
        <w:t>Ibid</w:t>
      </w:r>
      <w:r>
        <w:t xml:space="preserve">., §60, citant </w:t>
      </w:r>
      <w:r w:rsidRPr="003B6CE3">
        <w:rPr>
          <w:rFonts w:ascii="Times" w:hAnsi="Times"/>
        </w:rPr>
        <w:t xml:space="preserve">CIJ, </w:t>
      </w:r>
      <w:r w:rsidRPr="003B6CE3">
        <w:rPr>
          <w:rFonts w:ascii="Times" w:hAnsi="Times"/>
          <w:i/>
          <w:iCs/>
        </w:rPr>
        <w:t>Application de la convention pour la prévention et la répression du crime de génocide (Gambie c. Myanmar)</w:t>
      </w:r>
      <w:r>
        <w:rPr>
          <w:rFonts w:ascii="Times" w:hAnsi="Times"/>
        </w:rPr>
        <w:t xml:space="preserve">, ordonnance précitée note </w:t>
      </w:r>
      <w:r>
        <w:rPr>
          <w:rFonts w:ascii="Times" w:hAnsi="Times"/>
        </w:rPr>
        <w:fldChar w:fldCharType="begin"/>
      </w:r>
      <w:r>
        <w:rPr>
          <w:rFonts w:ascii="Times" w:hAnsi="Times"/>
        </w:rPr>
        <w:instrText xml:space="preserve"> NOTEREF _Ref95334796 \h </w:instrText>
      </w:r>
      <w:r>
        <w:rPr>
          <w:rFonts w:ascii="Times" w:hAnsi="Times"/>
        </w:rPr>
      </w:r>
      <w:r>
        <w:rPr>
          <w:rFonts w:ascii="Times" w:hAnsi="Times"/>
        </w:rPr>
        <w:fldChar w:fldCharType="separate"/>
      </w:r>
      <w:r w:rsidR="00935311">
        <w:rPr>
          <w:rFonts w:ascii="Times" w:hAnsi="Times"/>
        </w:rPr>
        <w:t>7</w:t>
      </w:r>
      <w:r>
        <w:rPr>
          <w:rFonts w:ascii="Times" w:hAnsi="Times"/>
        </w:rPr>
        <w:fldChar w:fldCharType="end"/>
      </w:r>
      <w:r>
        <w:rPr>
          <w:rFonts w:ascii="Times" w:hAnsi="Times"/>
        </w:rPr>
        <w:t>, §65.</w:t>
      </w:r>
    </w:p>
  </w:footnote>
  <w:footnote w:id="84">
    <w:p w14:paraId="37324D5B" w14:textId="206A1253" w:rsidR="00952AC1" w:rsidRDefault="00952AC1">
      <w:pPr>
        <w:pStyle w:val="Notedebasdepage"/>
      </w:pPr>
      <w:r>
        <w:rPr>
          <w:rStyle w:val="Appelnotedebasdep"/>
        </w:rPr>
        <w:footnoteRef/>
      </w:r>
      <w:r>
        <w:t> C</w:t>
      </w:r>
      <w:r w:rsidR="005431F2">
        <w:t>’</w:t>
      </w:r>
      <w:r>
        <w:t>est en 2007 que la Cour a pour la dernière fois rejeté une demande d</w:t>
      </w:r>
      <w:r w:rsidR="005431F2">
        <w:t>’</w:t>
      </w:r>
      <w:r>
        <w:t>indication de mesures conservatoires sur le fondement de l</w:t>
      </w:r>
      <w:r w:rsidR="005431F2">
        <w:t>’</w:t>
      </w:r>
      <w:r>
        <w:t>absence d</w:t>
      </w:r>
      <w:r w:rsidR="005431F2">
        <w:t>’</w:t>
      </w:r>
      <w:r>
        <w:t>imminence d</w:t>
      </w:r>
      <w:r w:rsidR="005431F2">
        <w:t>’</w:t>
      </w:r>
      <w:r>
        <w:t xml:space="preserve">un préjudice irréparable : </w:t>
      </w:r>
      <w:r w:rsidRPr="00952AC1">
        <w:t xml:space="preserve">CIJ, </w:t>
      </w:r>
      <w:r w:rsidRPr="00952AC1">
        <w:rPr>
          <w:i/>
          <w:iCs/>
        </w:rPr>
        <w:t>Usines de pâte à papier sur le fleuve Uruguay (Argentine c. Uruguay)</w:t>
      </w:r>
      <w:r w:rsidRPr="00952AC1">
        <w:t xml:space="preserve">, mesures conservatoires, ordonnances du 23 janvier 2007, </w:t>
      </w:r>
      <w:r w:rsidRPr="00952AC1">
        <w:rPr>
          <w:i/>
          <w:iCs/>
        </w:rPr>
        <w:t>CIJ Rec.</w:t>
      </w:r>
      <w:r w:rsidRPr="00952AC1">
        <w:t xml:space="preserve"> 2007, §§41-42.</w:t>
      </w:r>
    </w:p>
  </w:footnote>
  <w:footnote w:id="85">
    <w:p w14:paraId="7E14008F" w14:textId="475898D2" w:rsidR="00DA5EA6" w:rsidRDefault="00DA5EA6">
      <w:pPr>
        <w:pStyle w:val="Notedebasdepage"/>
      </w:pPr>
      <w:r>
        <w:rPr>
          <w:rStyle w:val="Appelnotedebasdep"/>
        </w:rPr>
        <w:footnoteRef/>
      </w:r>
      <w:r>
        <w:t xml:space="preserve"> </w:t>
      </w:r>
      <w:r w:rsidRPr="00DA5EA6">
        <w:t>Depuis 2016, si l</w:t>
      </w:r>
      <w:r w:rsidR="005431F2">
        <w:t>’</w:t>
      </w:r>
      <w:r w:rsidRPr="00DA5EA6">
        <w:t>on excepte les affaires introduites par compromis ou requête conjointe et celles radiées du rôle, seules quatre contentieux sur les treize soumis par requête introductive d</w:t>
      </w:r>
      <w:r w:rsidR="005431F2">
        <w:t>’</w:t>
      </w:r>
      <w:r w:rsidRPr="00DA5EA6">
        <w:t>instance n</w:t>
      </w:r>
      <w:r w:rsidR="005431F2">
        <w:t>’</w:t>
      </w:r>
      <w:r w:rsidRPr="00DA5EA6">
        <w:t>ont pas (encore ?) été accompagnés de demandes d</w:t>
      </w:r>
      <w:r w:rsidR="005431F2">
        <w:t>’</w:t>
      </w:r>
      <w:r w:rsidRPr="00DA5EA6">
        <w:t xml:space="preserve">indication de mesures conservatoires : </w:t>
      </w:r>
      <w:r w:rsidRPr="00DA5EA6">
        <w:rPr>
          <w:i/>
          <w:iCs/>
        </w:rPr>
        <w:t>Transfert de l</w:t>
      </w:r>
      <w:r w:rsidR="005431F2">
        <w:rPr>
          <w:i/>
          <w:iCs/>
        </w:rPr>
        <w:t>’</w:t>
      </w:r>
      <w:r w:rsidRPr="00DA5EA6">
        <w:rPr>
          <w:i/>
          <w:iCs/>
        </w:rPr>
        <w:t>ambassade des États-Unis à Jérusalem (Palestine c. États-Unis d</w:t>
      </w:r>
      <w:r w:rsidR="005431F2">
        <w:rPr>
          <w:i/>
          <w:iCs/>
        </w:rPr>
        <w:t>’</w:t>
      </w:r>
      <w:r w:rsidRPr="00DA5EA6">
        <w:rPr>
          <w:i/>
          <w:iCs/>
        </w:rPr>
        <w:t>Amérique)</w:t>
      </w:r>
      <w:r w:rsidRPr="00DA5EA6">
        <w:t xml:space="preserve">, </w:t>
      </w:r>
      <w:r w:rsidRPr="00DA5EA6">
        <w:rPr>
          <w:i/>
          <w:iCs/>
        </w:rPr>
        <w:t>Sentence arbitrale du 3 octobre 1899 (Guyana c. Venezuela)</w:t>
      </w:r>
      <w:r w:rsidRPr="00DA5EA6">
        <w:t xml:space="preserve">, </w:t>
      </w:r>
      <w:r w:rsidRPr="00DA5EA6">
        <w:rPr>
          <w:i/>
          <w:iCs/>
        </w:rPr>
        <w:t>Frontière terrestre dans la partie septentrionale d</w:t>
      </w:r>
      <w:r w:rsidR="005431F2">
        <w:rPr>
          <w:i/>
          <w:iCs/>
        </w:rPr>
        <w:t>’</w:t>
      </w:r>
      <w:r w:rsidRPr="00DA5EA6">
        <w:rPr>
          <w:i/>
          <w:iCs/>
        </w:rPr>
        <w:t>Isla Portillos (Costa Rica c. Nicaragua)</w:t>
      </w:r>
      <w:r w:rsidRPr="00DA5EA6">
        <w:t xml:space="preserve"> et </w:t>
      </w:r>
      <w:r w:rsidRPr="00DA5EA6">
        <w:rPr>
          <w:i/>
          <w:iCs/>
        </w:rPr>
        <w:t>Différend concernant le statut et l</w:t>
      </w:r>
      <w:r w:rsidR="005431F2">
        <w:rPr>
          <w:i/>
          <w:iCs/>
        </w:rPr>
        <w:t>’</w:t>
      </w:r>
      <w:r w:rsidRPr="00DA5EA6">
        <w:rPr>
          <w:i/>
          <w:iCs/>
        </w:rPr>
        <w:t>utilisation des eaux du Silala (Chili c. Bolivie)</w:t>
      </w:r>
      <w:r w:rsidRPr="00DA5EA6">
        <w:t xml:space="preserve">. Autrement dit, environ deux requêtes sur trois font </w:t>
      </w:r>
      <w:r>
        <w:t xml:space="preserve">actuellement </w:t>
      </w:r>
      <w:r w:rsidRPr="00DA5EA6">
        <w:t>l</w:t>
      </w:r>
      <w:r w:rsidR="005431F2">
        <w:t>’</w:t>
      </w:r>
      <w:r w:rsidRPr="00DA5EA6">
        <w:t>objet d</w:t>
      </w:r>
      <w:r w:rsidR="005431F2">
        <w:t>’</w:t>
      </w:r>
      <w:r w:rsidRPr="00DA5EA6">
        <w:t>une ordonnance en indication de mesures conservatoires.</w:t>
      </w:r>
    </w:p>
  </w:footnote>
  <w:footnote w:id="86">
    <w:p w14:paraId="02B4D24B" w14:textId="63CB5DE6" w:rsidR="00944BCA" w:rsidRDefault="00944BCA">
      <w:pPr>
        <w:pStyle w:val="Notedebasdepage"/>
      </w:pPr>
      <w:r>
        <w:rPr>
          <w:rStyle w:val="Appelnotedebasdep"/>
        </w:rPr>
        <w:footnoteRef/>
      </w:r>
      <w:r w:rsidR="00A3194F">
        <w:t> </w:t>
      </w:r>
      <w:r>
        <w:t xml:space="preserve">Par ex. </w:t>
      </w:r>
      <w:r w:rsidRPr="00944BCA">
        <w:t xml:space="preserve">CIJ, </w:t>
      </w:r>
      <w:r w:rsidRPr="00944BCA">
        <w:rPr>
          <w:i/>
          <w:iCs/>
        </w:rPr>
        <w:t>Application de la convention internationale sur l</w:t>
      </w:r>
      <w:r w:rsidR="005431F2">
        <w:rPr>
          <w:i/>
          <w:iCs/>
        </w:rPr>
        <w:t>’</w:t>
      </w:r>
      <w:r w:rsidRPr="00944BCA">
        <w:rPr>
          <w:i/>
          <w:iCs/>
        </w:rPr>
        <w:t>élimination de toutes les formes de discrimination raciale (Qatar c. Émirats arabes unis)</w:t>
      </w:r>
      <w:r w:rsidRPr="00944BCA">
        <w:t xml:space="preserve">, mesures conservatoires, ordonnance du 14 juin 2019, </w:t>
      </w:r>
      <w:r w:rsidRPr="00A3194F">
        <w:rPr>
          <w:i/>
          <w:iCs/>
        </w:rPr>
        <w:t>CIJ Rec.</w:t>
      </w:r>
      <w:r w:rsidRPr="00944BCA">
        <w:t xml:space="preserve"> 2019, §17.</w:t>
      </w:r>
    </w:p>
  </w:footnote>
  <w:footnote w:id="87">
    <w:p w14:paraId="285D74D8" w14:textId="65C68269" w:rsidR="000B5BE2" w:rsidRPr="000B5BE2" w:rsidRDefault="000B5BE2">
      <w:pPr>
        <w:pStyle w:val="Notedebasdepage"/>
        <w:rPr>
          <w:i/>
          <w:iCs/>
        </w:rPr>
      </w:pPr>
      <w:r>
        <w:rPr>
          <w:rStyle w:val="Appelnotedebasdep"/>
        </w:rPr>
        <w:footnoteRef/>
      </w:r>
      <w:r>
        <w:t xml:space="preserve"> V. </w:t>
      </w:r>
      <w:r w:rsidRPr="00952AC1">
        <w:t xml:space="preserve">CIJ, </w:t>
      </w:r>
      <w:r w:rsidRPr="00952AC1">
        <w:rPr>
          <w:i/>
          <w:iCs/>
        </w:rPr>
        <w:t>Usines de pâte à papier sur le fleuve Uruguay (Argentine c. Uruguay)</w:t>
      </w:r>
      <w:r w:rsidRPr="00952AC1">
        <w:t>,</w:t>
      </w:r>
      <w:r>
        <w:t xml:space="preserve"> arrêt précité note </w:t>
      </w:r>
      <w:r>
        <w:fldChar w:fldCharType="begin"/>
      </w:r>
      <w:r>
        <w:instrText xml:space="preserve"> NOTEREF _Ref95698539 \h </w:instrText>
      </w:r>
      <w:r>
        <w:fldChar w:fldCharType="separate"/>
      </w:r>
      <w:r w:rsidR="00935311">
        <w:t>83</w:t>
      </w:r>
      <w:r>
        <w:fldChar w:fldCharType="end"/>
      </w:r>
      <w:r>
        <w:t xml:space="preserve">, §42 ; </w:t>
      </w:r>
      <w:r w:rsidRPr="000B5BE2">
        <w:t xml:space="preserve">CIJ, </w:t>
      </w:r>
      <w:r w:rsidRPr="000B5BE2">
        <w:rPr>
          <w:i/>
          <w:iCs/>
        </w:rPr>
        <w:t>Mandat d</w:t>
      </w:r>
      <w:r w:rsidR="005431F2">
        <w:rPr>
          <w:i/>
          <w:iCs/>
        </w:rPr>
        <w:t>’</w:t>
      </w:r>
      <w:r w:rsidRPr="000B5BE2">
        <w:rPr>
          <w:i/>
          <w:iCs/>
        </w:rPr>
        <w:t>arrêt du 11 avril 2000 (République démocratique du Congo c. Belgique)</w:t>
      </w:r>
      <w:r w:rsidRPr="000B5BE2">
        <w:t>, mesures conservatoires, ordonnance du 8 décembre 2000, CIJ Rec. 2000, §72.</w:t>
      </w:r>
    </w:p>
  </w:footnote>
  <w:footnote w:id="88">
    <w:p w14:paraId="04E8C1D8" w14:textId="679E3128" w:rsidR="00CB6B67" w:rsidRDefault="00CB6B67">
      <w:pPr>
        <w:pStyle w:val="Notedebasdepage"/>
      </w:pPr>
      <w:r>
        <w:rPr>
          <w:rStyle w:val="Appelnotedebasdep"/>
        </w:rPr>
        <w:footnoteRef/>
      </w:r>
      <w:r>
        <w:t> </w:t>
      </w:r>
      <w:r w:rsidRPr="00CB6B67">
        <w:t>Cette liberté découle de l</w:t>
      </w:r>
      <w:r w:rsidR="005431F2">
        <w:t>’</w:t>
      </w:r>
      <w:r w:rsidRPr="00CB6B67">
        <w:t>article 75, §2</w:t>
      </w:r>
      <w:r>
        <w:t>,</w:t>
      </w:r>
      <w:r w:rsidRPr="00CB6B67">
        <w:t xml:space="preserve"> du Règlement de la Cour, selon lequel </w:t>
      </w:r>
      <w:r>
        <w:t>« </w:t>
      </w:r>
      <w:r w:rsidRPr="00CB6B67">
        <w:t>[l]orsqu</w:t>
      </w:r>
      <w:r w:rsidR="005431F2">
        <w:t>’</w:t>
      </w:r>
      <w:r w:rsidRPr="00CB6B67">
        <w:t>une demande en indication de mesures conservatoires lui est présentée, la Cour peut indiquer des mesures totalement ou partiellement différentes de celles qui sont sollicitées, ou des mesures à prendre ou à exécuter par la partie même dont émane la demande</w:t>
      </w:r>
      <w:r>
        <w:t> »</w:t>
      </w:r>
      <w:r w:rsidRPr="00CB6B67">
        <w:t xml:space="preserve">. La Cour a souvent fait usage de cette </w:t>
      </w:r>
      <w:r>
        <w:t>faculté ;</w:t>
      </w:r>
      <w:r w:rsidR="00C21C1F">
        <w:t xml:space="preserve"> </w:t>
      </w:r>
      <w:r w:rsidR="00603E29">
        <w:t xml:space="preserve">v. par exemple </w:t>
      </w:r>
      <w:r w:rsidR="00AE2C41" w:rsidRPr="00AE2C41">
        <w:t xml:space="preserve">CIJ, </w:t>
      </w:r>
      <w:r w:rsidR="00AE2C41" w:rsidRPr="00AE2C41">
        <w:rPr>
          <w:i/>
          <w:iCs/>
        </w:rPr>
        <w:t>Immunités et procédures pénales (Guinée équatoriale c. France)</w:t>
      </w:r>
      <w:r w:rsidR="00AE2C41" w:rsidRPr="00AE2C41">
        <w:t xml:space="preserve">, mesures conservatoires, ordonnance du 7 décembre 2016, </w:t>
      </w:r>
      <w:r w:rsidR="00AE2C41" w:rsidRPr="00AE2C41">
        <w:rPr>
          <w:i/>
          <w:iCs/>
        </w:rPr>
        <w:t>CIJ Rec.</w:t>
      </w:r>
      <w:r w:rsidR="00AE2C41">
        <w:t xml:space="preserve"> 2016, §</w:t>
      </w:r>
      <w:r w:rsidR="00AE2C41" w:rsidRPr="00AE2C41">
        <w:t>94</w:t>
      </w:r>
      <w:r w:rsidR="00AE2C41">
        <w:t> ;</w:t>
      </w:r>
      <w:r>
        <w:t xml:space="preserve"> </w:t>
      </w:r>
      <w:r w:rsidR="00C21C1F" w:rsidRPr="00612C8F">
        <w:t xml:space="preserve">CIJ, </w:t>
      </w:r>
      <w:r w:rsidR="00C21C1F" w:rsidRPr="00612C8F">
        <w:rPr>
          <w:i/>
        </w:rPr>
        <w:t>Application de la convention internationale pour la répression du financement du terrorisme et de la convention internationale sur l</w:t>
      </w:r>
      <w:r w:rsidR="005431F2">
        <w:rPr>
          <w:i/>
        </w:rPr>
        <w:t>’</w:t>
      </w:r>
      <w:r w:rsidR="00C21C1F" w:rsidRPr="00612C8F">
        <w:rPr>
          <w:i/>
        </w:rPr>
        <w:t>élimination de toutes les formes de discrimination raciale (Ukraine c. Fédération de Russie)</w:t>
      </w:r>
      <w:r w:rsidR="00C21C1F" w:rsidRPr="00612C8F">
        <w:t>, ordonnance précitée not</w:t>
      </w:r>
      <w:r w:rsidR="00C21C1F">
        <w:t xml:space="preserve">e </w:t>
      </w:r>
      <w:r w:rsidR="00C21C1F">
        <w:fldChar w:fldCharType="begin"/>
      </w:r>
      <w:r w:rsidR="00C21C1F">
        <w:instrText xml:space="preserve"> NOTEREF _Ref90284720 \h </w:instrText>
      </w:r>
      <w:r w:rsidR="00C21C1F">
        <w:fldChar w:fldCharType="separate"/>
      </w:r>
      <w:r w:rsidR="00935311">
        <w:t>11</w:t>
      </w:r>
      <w:r w:rsidR="00C21C1F">
        <w:fldChar w:fldCharType="end"/>
      </w:r>
      <w:r w:rsidR="00C21C1F" w:rsidRPr="00612C8F">
        <w:t>, §</w:t>
      </w:r>
      <w:r w:rsidR="00C21C1F">
        <w:t>100</w:t>
      </w:r>
      <w:r w:rsidR="00AE2C41">
        <w:t> ; ou encore, de manière remarquable puisqu</w:t>
      </w:r>
      <w:r w:rsidR="005431F2">
        <w:t>’</w:t>
      </w:r>
      <w:r w:rsidR="00AE2C41">
        <w:t>il s</w:t>
      </w:r>
      <w:r w:rsidR="005431F2">
        <w:t>’</w:t>
      </w:r>
      <w:r w:rsidR="00AE2C41">
        <w:t>agit du premier cas dans lequel la Cour, de sa propre initiative,</w:t>
      </w:r>
      <w:r w:rsidR="00AE2C41" w:rsidRPr="00AE2C41">
        <w:t xml:space="preserve"> </w:t>
      </w:r>
      <w:r w:rsidR="00AE2C41">
        <w:t xml:space="preserve">« juge </w:t>
      </w:r>
      <w:r w:rsidR="00AE2C41" w:rsidRPr="00AE2C41">
        <w:t>opportun d</w:t>
      </w:r>
      <w:r w:rsidR="005431F2">
        <w:t>’</w:t>
      </w:r>
      <w:r w:rsidR="00AE2C41" w:rsidRPr="00AE2C41">
        <w:t>indiquer des mesures à l</w:t>
      </w:r>
      <w:r w:rsidR="005431F2">
        <w:t>’</w:t>
      </w:r>
      <w:r w:rsidR="00AE2C41" w:rsidRPr="00AE2C41">
        <w:t>intention des deux Parties</w:t>
      </w:r>
      <w:r w:rsidR="00AE2C41">
        <w:t xml:space="preserve"> », </w:t>
      </w:r>
      <w:r w:rsidR="00AE2C41" w:rsidRPr="00612C8F">
        <w:t xml:space="preserve">CIJ, </w:t>
      </w:r>
      <w:r w:rsidR="00AE2C41" w:rsidRPr="00612C8F">
        <w:rPr>
          <w:i/>
        </w:rPr>
        <w:t>Application de la convention internationale sur l</w:t>
      </w:r>
      <w:r w:rsidR="005431F2">
        <w:rPr>
          <w:i/>
        </w:rPr>
        <w:t>’</w:t>
      </w:r>
      <w:r w:rsidR="00AE2C41" w:rsidRPr="00612C8F">
        <w:rPr>
          <w:i/>
        </w:rPr>
        <w:t>élimination de toutes les formes de discrimination raciale (Géorgie c. Fédération de Russie)</w:t>
      </w:r>
      <w:r w:rsidR="00AE2C41" w:rsidRPr="00612C8F">
        <w:t xml:space="preserve">, mesures conservatoires, ordonnance </w:t>
      </w:r>
      <w:r w:rsidR="00AE2C41">
        <w:t xml:space="preserve">précitée note </w:t>
      </w:r>
      <w:r w:rsidR="00AE2C41">
        <w:fldChar w:fldCharType="begin"/>
      </w:r>
      <w:r w:rsidR="00AE2C41">
        <w:instrText xml:space="preserve"> NOTEREF _Ref104360622 \h </w:instrText>
      </w:r>
      <w:r w:rsidR="00AE2C41">
        <w:fldChar w:fldCharType="separate"/>
      </w:r>
      <w:r w:rsidR="00935311">
        <w:t>21</w:t>
      </w:r>
      <w:r w:rsidR="00AE2C41">
        <w:fldChar w:fldCharType="end"/>
      </w:r>
      <w:r w:rsidR="00AE2C41" w:rsidRPr="00612C8F">
        <w:t>,</w:t>
      </w:r>
      <w:r w:rsidR="00AE2C41">
        <w:t xml:space="preserve"> §146.</w:t>
      </w:r>
    </w:p>
  </w:footnote>
  <w:footnote w:id="89">
    <w:p w14:paraId="1B43C2BC" w14:textId="73BAE448" w:rsidR="00DD18B2" w:rsidRDefault="00DD18B2">
      <w:pPr>
        <w:pStyle w:val="Notedebasdepage"/>
      </w:pPr>
      <w:r>
        <w:rPr>
          <w:rStyle w:val="Appelnotedebasdep"/>
        </w:rPr>
        <w:footnoteRef/>
      </w:r>
      <w:r>
        <w:t xml:space="preserve"> </w:t>
      </w:r>
      <w:r w:rsidRPr="00DD18B2">
        <w:t xml:space="preserve">CIJ, </w:t>
      </w:r>
      <w:r w:rsidRPr="00DD18B2">
        <w:rPr>
          <w:i/>
          <w:iCs/>
        </w:rPr>
        <w:t>LaGrand (Allemagne c. États-Unis d</w:t>
      </w:r>
      <w:r w:rsidR="005431F2">
        <w:rPr>
          <w:i/>
          <w:iCs/>
        </w:rPr>
        <w:t>’</w:t>
      </w:r>
      <w:r w:rsidRPr="00DD18B2">
        <w:rPr>
          <w:i/>
          <w:iCs/>
        </w:rPr>
        <w:t>Amérique)</w:t>
      </w:r>
      <w:r w:rsidRPr="00DD18B2">
        <w:t xml:space="preserve">, fond, arrêt du 7 juin 2001, </w:t>
      </w:r>
      <w:r w:rsidRPr="00C34110">
        <w:rPr>
          <w:i/>
          <w:iCs/>
        </w:rPr>
        <w:t>CIJ Rec.</w:t>
      </w:r>
      <w:r w:rsidRPr="00DD18B2">
        <w:t xml:space="preserve"> 2001, §109.</w:t>
      </w:r>
    </w:p>
  </w:footnote>
  <w:footnote w:id="90">
    <w:p w14:paraId="2F2FCDDB" w14:textId="19C78F97" w:rsidR="00AF3517" w:rsidRPr="00345BDA" w:rsidRDefault="00AF3517">
      <w:pPr>
        <w:pStyle w:val="Notedebasdepage"/>
        <w:rPr>
          <w:rFonts w:ascii="Times" w:hAnsi="Times"/>
        </w:rPr>
      </w:pPr>
      <w:r>
        <w:rPr>
          <w:rStyle w:val="Appelnotedebasdep"/>
        </w:rPr>
        <w:footnoteRef/>
      </w:r>
      <w:r>
        <w:t xml:space="preserve"> </w:t>
      </w:r>
      <w:r w:rsidR="0091214C">
        <w:t xml:space="preserve">Voir sur cette procédure </w:t>
      </w:r>
      <w:r w:rsidR="007578C2">
        <w:rPr>
          <w:rFonts w:ascii="Times" w:hAnsi="Times"/>
        </w:rPr>
        <w:t>Raphaël Maurel, « </w:t>
      </w:r>
      <w:r w:rsidR="007578C2" w:rsidRPr="00410A95">
        <w:rPr>
          <w:rFonts w:ascii="Times" w:hAnsi="Times"/>
        </w:rPr>
        <w:t>La contribution de l</w:t>
      </w:r>
      <w:r w:rsidR="005431F2">
        <w:rPr>
          <w:rFonts w:ascii="Times" w:hAnsi="Times"/>
        </w:rPr>
        <w:t>’</w:t>
      </w:r>
      <w:r w:rsidR="007578C2" w:rsidRPr="00410A95">
        <w:rPr>
          <w:rFonts w:ascii="Times" w:hAnsi="Times"/>
        </w:rPr>
        <w:t xml:space="preserve">ordonnance </w:t>
      </w:r>
      <w:r w:rsidR="007578C2" w:rsidRPr="00410A95">
        <w:rPr>
          <w:rFonts w:ascii="Times" w:hAnsi="Times"/>
          <w:i/>
          <w:iCs/>
        </w:rPr>
        <w:t>Gambie c. Myanmar</w:t>
      </w:r>
      <w:r w:rsidR="007578C2" w:rsidRPr="00410A95">
        <w:rPr>
          <w:rFonts w:ascii="Times" w:hAnsi="Times"/>
        </w:rPr>
        <w:t xml:space="preserve"> à l</w:t>
      </w:r>
      <w:r w:rsidR="005431F2">
        <w:rPr>
          <w:rFonts w:ascii="Times" w:hAnsi="Times"/>
        </w:rPr>
        <w:t>’</w:t>
      </w:r>
      <w:r w:rsidR="007578C2" w:rsidRPr="00410A95">
        <w:rPr>
          <w:rFonts w:ascii="Times" w:hAnsi="Times"/>
        </w:rPr>
        <w:t>élaboration d</w:t>
      </w:r>
      <w:r w:rsidR="005431F2">
        <w:rPr>
          <w:rFonts w:ascii="Times" w:hAnsi="Times"/>
        </w:rPr>
        <w:t>’</w:t>
      </w:r>
      <w:r w:rsidR="007578C2" w:rsidRPr="00410A95">
        <w:rPr>
          <w:rFonts w:ascii="Times" w:hAnsi="Times"/>
        </w:rPr>
        <w:t>un droit des mesures conservatoires</w:t>
      </w:r>
      <w:r w:rsidR="007578C2">
        <w:rPr>
          <w:rFonts w:ascii="Times" w:hAnsi="Times"/>
        </w:rPr>
        <w:t> »</w:t>
      </w:r>
      <w:r w:rsidR="007578C2" w:rsidRPr="00410A95">
        <w:rPr>
          <w:rFonts w:ascii="Times" w:hAnsi="Times"/>
        </w:rPr>
        <w:t>,</w:t>
      </w:r>
      <w:r w:rsidR="007578C2">
        <w:rPr>
          <w:rFonts w:ascii="Times" w:hAnsi="Times"/>
        </w:rPr>
        <w:t xml:space="preserve"> </w:t>
      </w:r>
      <w:r w:rsidR="007578C2">
        <w:rPr>
          <w:rFonts w:ascii="Times" w:hAnsi="Times"/>
          <w:i/>
          <w:iCs/>
        </w:rPr>
        <w:t>op. cit</w:t>
      </w:r>
      <w:r w:rsidR="007578C2">
        <w:rPr>
          <w:rFonts w:ascii="Times" w:hAnsi="Times"/>
        </w:rPr>
        <w:t xml:space="preserve">. note </w:t>
      </w:r>
      <w:r w:rsidR="007578C2">
        <w:rPr>
          <w:rFonts w:ascii="Times" w:hAnsi="Times"/>
        </w:rPr>
        <w:fldChar w:fldCharType="begin"/>
      </w:r>
      <w:r w:rsidR="007578C2">
        <w:rPr>
          <w:rFonts w:ascii="Times" w:hAnsi="Times"/>
        </w:rPr>
        <w:instrText xml:space="preserve"> NOTEREF _Ref95784866 \h </w:instrText>
      </w:r>
      <w:r w:rsidR="007578C2">
        <w:rPr>
          <w:rFonts w:ascii="Times" w:hAnsi="Times"/>
        </w:rPr>
      </w:r>
      <w:r w:rsidR="007578C2">
        <w:rPr>
          <w:rFonts w:ascii="Times" w:hAnsi="Times"/>
        </w:rPr>
        <w:fldChar w:fldCharType="separate"/>
      </w:r>
      <w:r w:rsidR="00935311">
        <w:rPr>
          <w:rFonts w:ascii="Times" w:hAnsi="Times"/>
        </w:rPr>
        <w:t>8</w:t>
      </w:r>
      <w:r w:rsidR="007578C2">
        <w:rPr>
          <w:rFonts w:ascii="Times" w:hAnsi="Times"/>
        </w:rPr>
        <w:fldChar w:fldCharType="end"/>
      </w:r>
      <w:r w:rsidR="007578C2">
        <w:rPr>
          <w:rFonts w:ascii="Times" w:hAnsi="Times"/>
        </w:rPr>
        <w:t xml:space="preserve">, p. 112. </w:t>
      </w:r>
      <w:r>
        <w:rPr>
          <w:rFonts w:ascii="Times" w:hAnsi="Times"/>
        </w:rPr>
        <w:t>Au-delà de la demande formulée par la Gambie, l</w:t>
      </w:r>
      <w:r w:rsidR="005431F2">
        <w:rPr>
          <w:rFonts w:ascii="Times" w:hAnsi="Times"/>
        </w:rPr>
        <w:t>’</w:t>
      </w:r>
      <w:r>
        <w:rPr>
          <w:rFonts w:ascii="Times" w:hAnsi="Times"/>
        </w:rPr>
        <w:t>entrée en fonction de</w:t>
      </w:r>
      <w:r w:rsidRPr="00AF3517">
        <w:rPr>
          <w:rFonts w:ascii="Times" w:hAnsi="Times"/>
        </w:rPr>
        <w:t xml:space="preserve"> Philippe Gautier, ancien Greffier du </w:t>
      </w:r>
      <w:r>
        <w:rPr>
          <w:rFonts w:ascii="Times" w:hAnsi="Times"/>
        </w:rPr>
        <w:t xml:space="preserve">Tribunal international du droit de la mer, </w:t>
      </w:r>
      <w:r w:rsidRPr="00AF3517">
        <w:rPr>
          <w:rFonts w:ascii="Times" w:hAnsi="Times"/>
        </w:rPr>
        <w:t xml:space="preserve">en tant que Greffier de la Cour internationale de Justice </w:t>
      </w:r>
      <w:r>
        <w:rPr>
          <w:rFonts w:ascii="Times" w:hAnsi="Times"/>
        </w:rPr>
        <w:t>quelques mois avant le rendu de l</w:t>
      </w:r>
      <w:r w:rsidR="005431F2">
        <w:rPr>
          <w:rFonts w:ascii="Times" w:hAnsi="Times"/>
        </w:rPr>
        <w:t>’</w:t>
      </w:r>
      <w:r>
        <w:rPr>
          <w:rFonts w:ascii="Times" w:hAnsi="Times"/>
        </w:rPr>
        <w:t>examen n</w:t>
      </w:r>
      <w:r w:rsidR="005431F2">
        <w:rPr>
          <w:rFonts w:ascii="Times" w:hAnsi="Times"/>
        </w:rPr>
        <w:t>’</w:t>
      </w:r>
      <w:r>
        <w:rPr>
          <w:rFonts w:ascii="Times" w:hAnsi="Times"/>
        </w:rPr>
        <w:t>est sans doute pas étranger à cette nouveauté.</w:t>
      </w:r>
      <w:r w:rsidR="0091214C">
        <w:rPr>
          <w:rFonts w:ascii="Times" w:hAnsi="Times"/>
        </w:rPr>
        <w:t xml:space="preserve"> Le 21 décembre 2021, la Cour a en ce sens ajouté un nouvel article 11 à</w:t>
      </w:r>
      <w:r w:rsidR="0091214C" w:rsidRPr="0091214C">
        <w:rPr>
          <w:rFonts w:ascii="Times" w:hAnsi="Times"/>
        </w:rPr>
        <w:t xml:space="preserve"> la résolution du 12 avril 1976 visant la pratique de la Cour en matière judiciaire, lequel dispose notamment que </w:t>
      </w:r>
      <w:r w:rsidR="0091214C">
        <w:rPr>
          <w:rFonts w:ascii="Times" w:hAnsi="Times"/>
        </w:rPr>
        <w:t>« </w:t>
      </w:r>
      <w:r w:rsidR="0091214C" w:rsidRPr="0091214C">
        <w:rPr>
          <w:rFonts w:ascii="Times" w:hAnsi="Times"/>
        </w:rPr>
        <w:t>i) Lorsqu</w:t>
      </w:r>
      <w:r w:rsidR="005431F2">
        <w:rPr>
          <w:rFonts w:ascii="Times" w:hAnsi="Times"/>
        </w:rPr>
        <w:t>’</w:t>
      </w:r>
      <w:r w:rsidR="0091214C" w:rsidRPr="0091214C">
        <w:rPr>
          <w:rFonts w:ascii="Times" w:hAnsi="Times"/>
        </w:rPr>
        <w:t xml:space="preserve">elle indique des mesures conservatoires, la Cour élit trois juges pour former une commission </w:t>
      </w:r>
      <w:r w:rsidR="0091214C" w:rsidRPr="0091214C">
        <w:rPr>
          <w:rFonts w:ascii="Times" w:hAnsi="Times"/>
          <w:i/>
          <w:iCs/>
        </w:rPr>
        <w:t>ad hoc</w:t>
      </w:r>
      <w:r w:rsidR="0091214C" w:rsidRPr="0091214C">
        <w:rPr>
          <w:rFonts w:ascii="Times" w:hAnsi="Times"/>
        </w:rPr>
        <w:t xml:space="preserve"> chargée de l</w:t>
      </w:r>
      <w:r w:rsidR="005431F2">
        <w:rPr>
          <w:rFonts w:ascii="Times" w:hAnsi="Times"/>
        </w:rPr>
        <w:t>’</w:t>
      </w:r>
      <w:r w:rsidR="0091214C" w:rsidRPr="0091214C">
        <w:rPr>
          <w:rFonts w:ascii="Times" w:hAnsi="Times"/>
        </w:rPr>
        <w:t>aider à assurer le suivi de la mise en œuvre des mesures indiquées. Ni les membres de la Cour ayant la nationalité de l</w:t>
      </w:r>
      <w:r w:rsidR="005431F2">
        <w:rPr>
          <w:rFonts w:ascii="Times" w:hAnsi="Times"/>
        </w:rPr>
        <w:t>’</w:t>
      </w:r>
      <w:r w:rsidR="0091214C" w:rsidRPr="0091214C">
        <w:rPr>
          <w:rFonts w:ascii="Times" w:hAnsi="Times"/>
        </w:rPr>
        <w:t xml:space="preserve">une des parties ni les juges </w:t>
      </w:r>
      <w:r w:rsidR="0091214C" w:rsidRPr="00CC475C">
        <w:rPr>
          <w:rFonts w:ascii="Times" w:hAnsi="Times"/>
          <w:i/>
          <w:iCs/>
        </w:rPr>
        <w:t>ad hoc</w:t>
      </w:r>
      <w:r w:rsidR="0091214C" w:rsidRPr="0091214C">
        <w:rPr>
          <w:rFonts w:ascii="Times" w:hAnsi="Times"/>
        </w:rPr>
        <w:t xml:space="preserve"> ne peuvent siéger à la commission. ii) La commission </w:t>
      </w:r>
      <w:r w:rsidR="0091214C" w:rsidRPr="0091214C">
        <w:rPr>
          <w:rFonts w:ascii="Times" w:hAnsi="Times"/>
          <w:i/>
          <w:iCs/>
        </w:rPr>
        <w:t>ad hoc</w:t>
      </w:r>
      <w:r w:rsidR="0091214C" w:rsidRPr="0091214C">
        <w:rPr>
          <w:rFonts w:ascii="Times" w:hAnsi="Times"/>
        </w:rPr>
        <w:t xml:space="preserve"> examine les renseignements fournis par les parties concernant la mise en œuvre des mesures conservatoires indiquées. Elle rend compte périodiquement à la Cour et lui fait des recommandations sur la suite à donner</w:t>
      </w:r>
      <w:r w:rsidR="0091214C">
        <w:rPr>
          <w:rFonts w:ascii="Times" w:hAnsi="Times"/>
        </w:rPr>
        <w:t> ». On peut néanmoins regretter l</w:t>
      </w:r>
      <w:r w:rsidR="005431F2">
        <w:rPr>
          <w:rFonts w:ascii="Times" w:hAnsi="Times"/>
        </w:rPr>
        <w:t>’</w:t>
      </w:r>
      <w:r w:rsidR="0091214C">
        <w:rPr>
          <w:rFonts w:ascii="Times" w:hAnsi="Times"/>
        </w:rPr>
        <w:t>absence de transparence totale quant à la composition et à l</w:t>
      </w:r>
      <w:r w:rsidR="005431F2">
        <w:rPr>
          <w:rFonts w:ascii="Times" w:hAnsi="Times"/>
        </w:rPr>
        <w:t>’</w:t>
      </w:r>
      <w:r w:rsidR="0091214C">
        <w:rPr>
          <w:rFonts w:ascii="Times" w:hAnsi="Times"/>
        </w:rPr>
        <w:t>activité de ces commissions</w:t>
      </w:r>
      <w:r w:rsidR="00CC475C">
        <w:rPr>
          <w:rFonts w:ascii="Times" w:hAnsi="Times"/>
        </w:rPr>
        <w:t>, dont la publication des travaux et des informations reçues permettrait d</w:t>
      </w:r>
      <w:r w:rsidR="005431F2">
        <w:rPr>
          <w:rFonts w:ascii="Times" w:hAnsi="Times"/>
        </w:rPr>
        <w:t>’</w:t>
      </w:r>
      <w:r w:rsidR="00CC475C">
        <w:rPr>
          <w:rFonts w:ascii="Times" w:hAnsi="Times"/>
        </w:rPr>
        <w:t>éclairer la communauté internationale quant à l</w:t>
      </w:r>
      <w:r w:rsidR="005431F2">
        <w:rPr>
          <w:rFonts w:ascii="Times" w:hAnsi="Times"/>
        </w:rPr>
        <w:t>’</w:t>
      </w:r>
      <w:r w:rsidR="00CC475C">
        <w:rPr>
          <w:rFonts w:ascii="Times" w:hAnsi="Times"/>
        </w:rPr>
        <w:t>effectivité des mesures conservatoires.</w:t>
      </w:r>
    </w:p>
  </w:footnote>
  <w:footnote w:id="91">
    <w:p w14:paraId="4F6A34F1" w14:textId="0AEEE52F" w:rsidR="00C37115" w:rsidRPr="00C37115" w:rsidRDefault="00C37115">
      <w:pPr>
        <w:pStyle w:val="Notedebasdepage"/>
      </w:pPr>
      <w:r>
        <w:rPr>
          <w:rStyle w:val="Appelnotedebasdep"/>
        </w:rPr>
        <w:footnoteRef/>
      </w:r>
      <w:r w:rsidR="00627FD1" w:rsidRPr="00D84119">
        <w:rPr>
          <w:lang w:val="en-CA"/>
        </w:rPr>
        <w:t> </w:t>
      </w:r>
      <w:r w:rsidRPr="00D84119">
        <w:rPr>
          <w:lang w:val="en-CA"/>
        </w:rPr>
        <w:t>Dans l</w:t>
      </w:r>
      <w:r w:rsidR="005431F2">
        <w:rPr>
          <w:lang w:val="en-CA"/>
        </w:rPr>
        <w:t>’</w:t>
      </w:r>
      <w:r w:rsidRPr="00D84119">
        <w:rPr>
          <w:lang w:val="en-CA"/>
        </w:rPr>
        <w:t xml:space="preserve">affaire </w:t>
      </w:r>
      <w:r w:rsidRPr="00D84119">
        <w:rPr>
          <w:i/>
          <w:iCs/>
          <w:lang w:val="en-CA"/>
        </w:rPr>
        <w:t>Arménie c. Azerbaïdjan</w:t>
      </w:r>
      <w:r w:rsidRPr="00D84119">
        <w:rPr>
          <w:lang w:val="en-CA"/>
        </w:rPr>
        <w:t>, Lawrence Martin</w:t>
      </w:r>
      <w:r w:rsidR="009416AC" w:rsidRPr="00D84119">
        <w:rPr>
          <w:lang w:val="en-CA"/>
        </w:rPr>
        <w:t xml:space="preserve"> se borne à conclure, lors du premier tour de plaidoiries, que « an order for regular reporting is essential to ensure that Azerbaijan is genuinely implementing the Court</w:t>
      </w:r>
      <w:r w:rsidR="005431F2">
        <w:rPr>
          <w:lang w:val="en-CA"/>
        </w:rPr>
        <w:t>’</w:t>
      </w:r>
      <w:r w:rsidR="009416AC" w:rsidRPr="00D84119">
        <w:rPr>
          <w:lang w:val="en-CA"/>
        </w:rPr>
        <w:t>s Order and respecting the rights of Armenians that are the subject of that Order (and our Request) » (Audience publique du 14 octobre 2021 à 10h, p. 63, §30).</w:t>
      </w:r>
      <w:r w:rsidR="00627FD1" w:rsidRPr="00D84119">
        <w:rPr>
          <w:lang w:val="en-CA"/>
        </w:rPr>
        <w:t xml:space="preserve"> </w:t>
      </w:r>
      <w:r w:rsidR="00627FD1" w:rsidRPr="00627FD1">
        <w:t>Clôturant le premier tour de plaidoiries dans l</w:t>
      </w:r>
      <w:r w:rsidR="005431F2">
        <w:t>’</w:t>
      </w:r>
      <w:r w:rsidR="00627FD1" w:rsidRPr="00627FD1">
        <w:t xml:space="preserve">affaire </w:t>
      </w:r>
      <w:r w:rsidR="00627FD1" w:rsidRPr="00627FD1">
        <w:rPr>
          <w:i/>
          <w:iCs/>
        </w:rPr>
        <w:t>Azerbaïdjan c. Arménie</w:t>
      </w:r>
      <w:r w:rsidR="00627FD1" w:rsidRPr="00627FD1">
        <w:t>, Donald Francis Donovan ne mentionne même pas précisément la mesure requise (Audience publique du 18 octobre 2021 à 10h, p. 64, §21).</w:t>
      </w:r>
      <w:r w:rsidR="00627FD1">
        <w:t xml:space="preserve"> Ces points ne font l</w:t>
      </w:r>
      <w:r w:rsidR="005431F2">
        <w:t>’</w:t>
      </w:r>
      <w:r w:rsidR="00627FD1">
        <w:t>objet d</w:t>
      </w:r>
      <w:r w:rsidR="005431F2">
        <w:t>’</w:t>
      </w:r>
      <w:r w:rsidR="00627FD1">
        <w:t>aucune mention – autre que les conclusions finales – dans les seconds tours respectifs des parties.</w:t>
      </w:r>
    </w:p>
  </w:footnote>
  <w:footnote w:id="92">
    <w:p w14:paraId="7156C989" w14:textId="10FEDAB4" w:rsidR="00735D6A" w:rsidRPr="00735D6A" w:rsidRDefault="00735D6A">
      <w:pPr>
        <w:pStyle w:val="Notedebasdepage"/>
      </w:pPr>
      <w:r>
        <w:rPr>
          <w:rStyle w:val="Appelnotedebasdep"/>
        </w:rPr>
        <w:footnoteRef/>
      </w:r>
      <w:r>
        <w:t xml:space="preserve"> Pierre-François Laval, « Chronique de jurisprudence internationale », </w:t>
      </w:r>
      <w:r>
        <w:rPr>
          <w:i/>
          <w:iCs/>
        </w:rPr>
        <w:t>op. cit.</w:t>
      </w:r>
      <w:r>
        <w:t xml:space="preserve"> note </w:t>
      </w:r>
      <w:r>
        <w:fldChar w:fldCharType="begin"/>
      </w:r>
      <w:r>
        <w:instrText xml:space="preserve"> NOTEREF _Ref95791548 \h </w:instrText>
      </w:r>
      <w:r>
        <w:fldChar w:fldCharType="separate"/>
      </w:r>
      <w:r w:rsidR="00935311">
        <w:t>5</w:t>
      </w:r>
      <w:r>
        <w:fldChar w:fldCharType="end"/>
      </w:r>
      <w:r>
        <w:t>, p. 155.</w:t>
      </w:r>
    </w:p>
  </w:footnote>
  <w:footnote w:id="93">
    <w:p w14:paraId="42FE5F96" w14:textId="745768B1" w:rsidR="00313285" w:rsidRDefault="00313285">
      <w:pPr>
        <w:pStyle w:val="Notedebasdepage"/>
      </w:pPr>
      <w:r>
        <w:rPr>
          <w:rStyle w:val="Appelnotedebasdep"/>
        </w:rPr>
        <w:footnoteRef/>
      </w:r>
      <w:r>
        <w:t> </w:t>
      </w:r>
      <w:r w:rsidRPr="00313285">
        <w:t xml:space="preserve">V. CIJ, Communiqué de presse n°2020/38 du 21 décembre 2020 </w:t>
      </w:r>
      <w:r>
        <w:t>« </w:t>
      </w:r>
      <w:r w:rsidRPr="00313285">
        <w:t>Adoption d</w:t>
      </w:r>
      <w:r w:rsidR="005431F2">
        <w:t>’</w:t>
      </w:r>
      <w:r w:rsidRPr="00313285">
        <w:t>un nouvel article 11 de la résolution visant la pratique interne de la Cour en matière judiciaire concernant l</w:t>
      </w:r>
      <w:r w:rsidR="005431F2">
        <w:t>’</w:t>
      </w:r>
      <w:r w:rsidRPr="00313285">
        <w:t>établissement d</w:t>
      </w:r>
      <w:r w:rsidR="005431F2">
        <w:t>’</w:t>
      </w:r>
      <w:r w:rsidRPr="00313285">
        <w:t>une procédure de suivi de la mise en œuvre des mesures conservatoires indiquées par la Cour</w:t>
      </w:r>
      <w:r>
        <w:t> »</w:t>
      </w:r>
      <w:r w:rsidRPr="00313285">
        <w:t>, par lequel cette dernière prévoit l</w:t>
      </w:r>
      <w:r w:rsidR="005431F2">
        <w:t>’</w:t>
      </w:r>
      <w:r w:rsidRPr="00313285">
        <w:t>établissement d</w:t>
      </w:r>
      <w:r w:rsidR="005431F2">
        <w:t>’</w:t>
      </w:r>
      <w:r w:rsidRPr="00313285">
        <w:t xml:space="preserve">une commission </w:t>
      </w:r>
      <w:r w:rsidRPr="00313285">
        <w:rPr>
          <w:i/>
          <w:iCs/>
        </w:rPr>
        <w:t xml:space="preserve">ad hoc </w:t>
      </w:r>
      <w:r w:rsidRPr="00313285">
        <w:t>de trois juges dédiée au suivi de la mise en œuvre des mesures conservatoires indiquées</w:t>
      </w:r>
      <w:r w:rsidR="00342954">
        <w:t xml:space="preserve"> – lorsque la mesure en question est indiquée.</w:t>
      </w:r>
    </w:p>
  </w:footnote>
  <w:footnote w:id="94">
    <w:p w14:paraId="2D402358" w14:textId="6A0E74CD" w:rsidR="00516594" w:rsidRDefault="00516594">
      <w:pPr>
        <w:pStyle w:val="Notedebasdepage"/>
      </w:pPr>
      <w:r>
        <w:rPr>
          <w:rStyle w:val="Appelnotedebasdep"/>
        </w:rPr>
        <w:footnoteRef/>
      </w:r>
      <w:r>
        <w:t xml:space="preserve"> Une partie de la doctrine a </w:t>
      </w:r>
      <w:r w:rsidR="00D574C8">
        <w:t xml:space="preserve">pu </w:t>
      </w:r>
      <w:r>
        <w:t>considér</w:t>
      </w:r>
      <w:r w:rsidR="00D574C8">
        <w:t>er</w:t>
      </w:r>
      <w:r>
        <w:t xml:space="preserve">, sans doute </w:t>
      </w:r>
      <w:r w:rsidR="00D574C8">
        <w:t>un peu</w:t>
      </w:r>
      <w:r>
        <w:t xml:space="preserve"> promptement, que ce type de mesures était « acquis » pour l</w:t>
      </w:r>
      <w:r w:rsidR="005431F2">
        <w:t>’</w:t>
      </w:r>
      <w:r>
        <w:t>avenir une fois indiqué</w:t>
      </w:r>
      <w:r w:rsidR="00D574C8">
        <w:t xml:space="preserve"> une première fois</w:t>
      </w:r>
      <w:r>
        <w:t>, en se fondant sur l</w:t>
      </w:r>
      <w:r w:rsidR="005431F2">
        <w:t>’</w:t>
      </w:r>
      <w:r>
        <w:t>idée selon laquelle « p</w:t>
      </w:r>
      <w:r w:rsidRPr="00516594">
        <w:t>lus une mesure d</w:t>
      </w:r>
      <w:r w:rsidR="005431F2">
        <w:t>’</w:t>
      </w:r>
      <w:r w:rsidRPr="00516594">
        <w:t>information est demandée à la Cour et plus celle-ci semble l</w:t>
      </w:r>
      <w:r w:rsidR="005431F2">
        <w:t>’</w:t>
      </w:r>
      <w:r w:rsidRPr="00516594">
        <w:t>indiquer ; plus la demande vise une information détaillée et périodique et plus la Cour peut la prescrire, voire hausser les niveaux de détail et de périodicité demandés</w:t>
      </w:r>
      <w:r>
        <w:t> » (</w:t>
      </w:r>
      <w:r w:rsidRPr="00516594">
        <w:t xml:space="preserve">Hugues Hellio, Solveig Henry, </w:t>
      </w:r>
      <w:r>
        <w:t>« </w:t>
      </w:r>
      <w:r w:rsidRPr="00516594">
        <w:t>Le suivi par la Cour internationale de justice de ses ordonnances en indication de mesures conservatoires. Une pratique émergente entre inspiration, discrétion et recherche d</w:t>
      </w:r>
      <w:r w:rsidR="005431F2">
        <w:t>’</w:t>
      </w:r>
      <w:r w:rsidRPr="00516594">
        <w:t>effectivité</w:t>
      </w:r>
      <w:r>
        <w:t> »</w:t>
      </w:r>
      <w:r w:rsidRPr="00516594">
        <w:t xml:space="preserve">, </w:t>
      </w:r>
      <w:r w:rsidRPr="00516594">
        <w:rPr>
          <w:i/>
          <w:iCs/>
        </w:rPr>
        <w:t>RGDIP</w:t>
      </w:r>
      <w:r w:rsidRPr="00516594">
        <w:t>, vol. 2020-2,</w:t>
      </w:r>
      <w:r>
        <w:t xml:space="preserve"> p. 257).</w:t>
      </w:r>
      <w:r w:rsidR="00345BDA">
        <w:t xml:space="preserve"> </w:t>
      </w:r>
      <w:r w:rsidR="006C1E10">
        <w:t xml:space="preserve">V. également, dans une perspective similaire, </w:t>
      </w:r>
      <w:r w:rsidR="006C1E10">
        <w:rPr>
          <w:rFonts w:ascii="Times" w:hAnsi="Times"/>
        </w:rPr>
        <w:t>Raphaël Maurel, « </w:t>
      </w:r>
      <w:r w:rsidR="006C1E10" w:rsidRPr="00410A95">
        <w:rPr>
          <w:rFonts w:ascii="Times" w:hAnsi="Times"/>
        </w:rPr>
        <w:t>La contribution de l</w:t>
      </w:r>
      <w:r w:rsidR="005431F2">
        <w:rPr>
          <w:rFonts w:ascii="Times" w:hAnsi="Times"/>
        </w:rPr>
        <w:t>’</w:t>
      </w:r>
      <w:r w:rsidR="006C1E10" w:rsidRPr="00410A95">
        <w:rPr>
          <w:rFonts w:ascii="Times" w:hAnsi="Times"/>
        </w:rPr>
        <w:t xml:space="preserve">ordonnance </w:t>
      </w:r>
      <w:r w:rsidR="006C1E10" w:rsidRPr="00410A95">
        <w:rPr>
          <w:rFonts w:ascii="Times" w:hAnsi="Times"/>
          <w:i/>
          <w:iCs/>
        </w:rPr>
        <w:t>Gambie c. Myanmar</w:t>
      </w:r>
      <w:r w:rsidR="006C1E10" w:rsidRPr="00410A95">
        <w:rPr>
          <w:rFonts w:ascii="Times" w:hAnsi="Times"/>
        </w:rPr>
        <w:t xml:space="preserve"> à l</w:t>
      </w:r>
      <w:r w:rsidR="005431F2">
        <w:rPr>
          <w:rFonts w:ascii="Times" w:hAnsi="Times"/>
        </w:rPr>
        <w:t>’</w:t>
      </w:r>
      <w:r w:rsidR="006C1E10" w:rsidRPr="00410A95">
        <w:rPr>
          <w:rFonts w:ascii="Times" w:hAnsi="Times"/>
        </w:rPr>
        <w:t>élaboration d</w:t>
      </w:r>
      <w:r w:rsidR="005431F2">
        <w:rPr>
          <w:rFonts w:ascii="Times" w:hAnsi="Times"/>
        </w:rPr>
        <w:t>’</w:t>
      </w:r>
      <w:r w:rsidR="006C1E10" w:rsidRPr="00410A95">
        <w:rPr>
          <w:rFonts w:ascii="Times" w:hAnsi="Times"/>
        </w:rPr>
        <w:t>un droit des mesures conservatoires</w:t>
      </w:r>
      <w:r w:rsidR="006C1E10">
        <w:rPr>
          <w:rFonts w:ascii="Times" w:hAnsi="Times"/>
        </w:rPr>
        <w:t> »</w:t>
      </w:r>
      <w:r w:rsidR="006C1E10" w:rsidRPr="00410A95">
        <w:rPr>
          <w:rFonts w:ascii="Times" w:hAnsi="Times"/>
        </w:rPr>
        <w:t>,</w:t>
      </w:r>
      <w:r w:rsidR="006C1E10">
        <w:rPr>
          <w:rFonts w:ascii="Times" w:hAnsi="Times"/>
        </w:rPr>
        <w:t xml:space="preserve"> </w:t>
      </w:r>
      <w:r w:rsidR="006C1E10">
        <w:rPr>
          <w:rFonts w:ascii="Times" w:hAnsi="Times"/>
          <w:i/>
          <w:iCs/>
        </w:rPr>
        <w:t>op. cit</w:t>
      </w:r>
      <w:r w:rsidR="006C1E10">
        <w:rPr>
          <w:rFonts w:ascii="Times" w:hAnsi="Times"/>
        </w:rPr>
        <w:t xml:space="preserve">. note </w:t>
      </w:r>
      <w:r w:rsidR="006C1E10">
        <w:rPr>
          <w:rFonts w:ascii="Times" w:hAnsi="Times"/>
        </w:rPr>
        <w:fldChar w:fldCharType="begin"/>
      </w:r>
      <w:r w:rsidR="006C1E10">
        <w:rPr>
          <w:rFonts w:ascii="Times" w:hAnsi="Times"/>
        </w:rPr>
        <w:instrText xml:space="preserve"> NOTEREF _Ref95784866 \h </w:instrText>
      </w:r>
      <w:r w:rsidR="006C1E10">
        <w:rPr>
          <w:rFonts w:ascii="Times" w:hAnsi="Times"/>
        </w:rPr>
      </w:r>
      <w:r w:rsidR="006C1E10">
        <w:rPr>
          <w:rFonts w:ascii="Times" w:hAnsi="Times"/>
        </w:rPr>
        <w:fldChar w:fldCharType="separate"/>
      </w:r>
      <w:r w:rsidR="00935311">
        <w:rPr>
          <w:rFonts w:ascii="Times" w:hAnsi="Times"/>
        </w:rPr>
        <w:t>8</w:t>
      </w:r>
      <w:r w:rsidR="006C1E10">
        <w:rPr>
          <w:rFonts w:ascii="Times" w:hAnsi="Times"/>
        </w:rPr>
        <w:fldChar w:fldCharType="end"/>
      </w:r>
      <w:r w:rsidR="006C1E10">
        <w:rPr>
          <w:rFonts w:ascii="Times" w:hAnsi="Times"/>
        </w:rPr>
        <w:t xml:space="preserve">, </w:t>
      </w:r>
      <w:r w:rsidR="006C1E10">
        <w:t xml:space="preserve"> p. 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4FF9" w14:textId="65CE5440" w:rsidR="00E4377E" w:rsidRPr="00E4377E" w:rsidRDefault="00E4377E">
    <w:pPr>
      <w:pStyle w:val="En-tte"/>
      <w:rPr>
        <w:i/>
        <w:iCs/>
      </w:rPr>
    </w:pPr>
    <w:r w:rsidRPr="00E4377E">
      <w:rPr>
        <w:i/>
        <w:iCs/>
      </w:rPr>
      <w:t>Version auteur – des corrections formelles ont pu être effectuées a posteriori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D90"/>
    <w:multiLevelType w:val="hybridMultilevel"/>
    <w:tmpl w:val="3C5050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CB1F5E"/>
    <w:multiLevelType w:val="hybridMultilevel"/>
    <w:tmpl w:val="6EC4EA9C"/>
    <w:lvl w:ilvl="0" w:tplc="8A369A92">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C32156"/>
    <w:multiLevelType w:val="hybridMultilevel"/>
    <w:tmpl w:val="6D282292"/>
    <w:lvl w:ilvl="0" w:tplc="DD302A98">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70102"/>
    <w:multiLevelType w:val="hybridMultilevel"/>
    <w:tmpl w:val="416089E4"/>
    <w:lvl w:ilvl="0" w:tplc="E998FE16">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2B39F8"/>
    <w:multiLevelType w:val="hybridMultilevel"/>
    <w:tmpl w:val="70D0524C"/>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5" w15:restartNumberingAfterBreak="0">
    <w:nsid w:val="1D910156"/>
    <w:multiLevelType w:val="hybridMultilevel"/>
    <w:tmpl w:val="D5825728"/>
    <w:lvl w:ilvl="0" w:tplc="385EC4AE">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6" w15:restartNumberingAfterBreak="0">
    <w:nsid w:val="1F525098"/>
    <w:multiLevelType w:val="hybridMultilevel"/>
    <w:tmpl w:val="4EB6FBD2"/>
    <w:lvl w:ilvl="0" w:tplc="9A228B80">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206B634A"/>
    <w:multiLevelType w:val="hybridMultilevel"/>
    <w:tmpl w:val="5E266286"/>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8" w15:restartNumberingAfterBreak="0">
    <w:nsid w:val="23273CB5"/>
    <w:multiLevelType w:val="hybridMultilevel"/>
    <w:tmpl w:val="78A4ACE2"/>
    <w:lvl w:ilvl="0" w:tplc="C8A29B5A">
      <w:start w:val="20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716888"/>
    <w:multiLevelType w:val="hybridMultilevel"/>
    <w:tmpl w:val="D8967FF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D65860"/>
    <w:multiLevelType w:val="hybridMultilevel"/>
    <w:tmpl w:val="6FB610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82202A"/>
    <w:multiLevelType w:val="hybridMultilevel"/>
    <w:tmpl w:val="D910D340"/>
    <w:lvl w:ilvl="0" w:tplc="0158C78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233530"/>
    <w:multiLevelType w:val="hybridMultilevel"/>
    <w:tmpl w:val="D5A231C0"/>
    <w:lvl w:ilvl="0" w:tplc="88E4F558">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801C23"/>
    <w:multiLevelType w:val="hybridMultilevel"/>
    <w:tmpl w:val="B080AA38"/>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4" w15:restartNumberingAfterBreak="0">
    <w:nsid w:val="3AE0706C"/>
    <w:multiLevelType w:val="hybridMultilevel"/>
    <w:tmpl w:val="5792ED52"/>
    <w:lvl w:ilvl="0" w:tplc="3CD4DE5E">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BE077B"/>
    <w:multiLevelType w:val="hybridMultilevel"/>
    <w:tmpl w:val="E12A9222"/>
    <w:lvl w:ilvl="0" w:tplc="75F0EEFC">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DC3FFC"/>
    <w:multiLevelType w:val="hybridMultilevel"/>
    <w:tmpl w:val="C4F0E158"/>
    <w:lvl w:ilvl="0" w:tplc="7BB2F75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6B5C6A"/>
    <w:multiLevelType w:val="hybridMultilevel"/>
    <w:tmpl w:val="59F461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55412E"/>
    <w:multiLevelType w:val="hybridMultilevel"/>
    <w:tmpl w:val="7AE40C84"/>
    <w:lvl w:ilvl="0" w:tplc="B48607FA">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0C03D5"/>
    <w:multiLevelType w:val="hybridMultilevel"/>
    <w:tmpl w:val="1F6242C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0" w15:restartNumberingAfterBreak="0">
    <w:nsid w:val="541570E7"/>
    <w:multiLevelType w:val="hybridMultilevel"/>
    <w:tmpl w:val="815E9B86"/>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8127527"/>
    <w:multiLevelType w:val="hybridMultilevel"/>
    <w:tmpl w:val="E51021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393A6E"/>
    <w:multiLevelType w:val="hybridMultilevel"/>
    <w:tmpl w:val="9DE03300"/>
    <w:lvl w:ilvl="0" w:tplc="14F44620">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EA36C4D"/>
    <w:multiLevelType w:val="hybridMultilevel"/>
    <w:tmpl w:val="9B881E9A"/>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4" w15:restartNumberingAfterBreak="0">
    <w:nsid w:val="641B37C5"/>
    <w:multiLevelType w:val="hybridMultilevel"/>
    <w:tmpl w:val="D4C62936"/>
    <w:lvl w:ilvl="0" w:tplc="4CAE1AA2">
      <w:start w:val="1"/>
      <w:numFmt w:val="decimal"/>
      <w:pStyle w:val="Normal"/>
      <w:lvlText w:val="%1."/>
      <w:lvlJc w:val="left"/>
      <w:pPr>
        <w:ind w:left="107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DA37B7"/>
    <w:multiLevelType w:val="hybridMultilevel"/>
    <w:tmpl w:val="29224E38"/>
    <w:lvl w:ilvl="0" w:tplc="A26CA48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5D29E5"/>
    <w:multiLevelType w:val="hybridMultilevel"/>
    <w:tmpl w:val="56B8318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E7C3FD4"/>
    <w:multiLevelType w:val="hybridMultilevel"/>
    <w:tmpl w:val="6AA23C6C"/>
    <w:lvl w:ilvl="0" w:tplc="1C4AC00E">
      <w:start w:val="2"/>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9718800">
    <w:abstractNumId w:val="1"/>
  </w:num>
  <w:num w:numId="2" w16cid:durableId="1208568603">
    <w:abstractNumId w:val="24"/>
  </w:num>
  <w:num w:numId="3" w16cid:durableId="2029213009">
    <w:abstractNumId w:val="14"/>
  </w:num>
  <w:num w:numId="4" w16cid:durableId="287905054">
    <w:abstractNumId w:val="10"/>
  </w:num>
  <w:num w:numId="5" w16cid:durableId="453869458">
    <w:abstractNumId w:val="22"/>
  </w:num>
  <w:num w:numId="6" w16cid:durableId="410279954">
    <w:abstractNumId w:val="3"/>
  </w:num>
  <w:num w:numId="7" w16cid:durableId="524292728">
    <w:abstractNumId w:val="9"/>
  </w:num>
  <w:num w:numId="8" w16cid:durableId="22707322">
    <w:abstractNumId w:val="0"/>
  </w:num>
  <w:num w:numId="9" w16cid:durableId="249509079">
    <w:abstractNumId w:val="6"/>
  </w:num>
  <w:num w:numId="10" w16cid:durableId="543954478">
    <w:abstractNumId w:val="11"/>
  </w:num>
  <w:num w:numId="11" w16cid:durableId="1579515238">
    <w:abstractNumId w:val="15"/>
  </w:num>
  <w:num w:numId="12" w16cid:durableId="829172614">
    <w:abstractNumId w:val="27"/>
  </w:num>
  <w:num w:numId="13" w16cid:durableId="938100824">
    <w:abstractNumId w:val="12"/>
  </w:num>
  <w:num w:numId="14" w16cid:durableId="2062287884">
    <w:abstractNumId w:val="21"/>
  </w:num>
  <w:num w:numId="15" w16cid:durableId="502669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341075">
    <w:abstractNumId w:val="16"/>
  </w:num>
  <w:num w:numId="17" w16cid:durableId="1235236494">
    <w:abstractNumId w:val="25"/>
  </w:num>
  <w:num w:numId="18" w16cid:durableId="2030908863">
    <w:abstractNumId w:val="17"/>
  </w:num>
  <w:num w:numId="19" w16cid:durableId="186678901">
    <w:abstractNumId w:val="2"/>
  </w:num>
  <w:num w:numId="20" w16cid:durableId="684478131">
    <w:abstractNumId w:val="8"/>
  </w:num>
  <w:num w:numId="21" w16cid:durableId="1020006622">
    <w:abstractNumId w:val="18"/>
  </w:num>
  <w:num w:numId="22" w16cid:durableId="672343766">
    <w:abstractNumId w:val="20"/>
  </w:num>
  <w:num w:numId="23" w16cid:durableId="476342887">
    <w:abstractNumId w:val="26"/>
  </w:num>
  <w:num w:numId="24" w16cid:durableId="1298100743">
    <w:abstractNumId w:val="4"/>
  </w:num>
  <w:num w:numId="25" w16cid:durableId="1654750038">
    <w:abstractNumId w:val="19"/>
  </w:num>
  <w:num w:numId="26" w16cid:durableId="2011638755">
    <w:abstractNumId w:val="23"/>
  </w:num>
  <w:num w:numId="27" w16cid:durableId="1509906404">
    <w:abstractNumId w:val="7"/>
  </w:num>
  <w:num w:numId="28" w16cid:durableId="1225097192">
    <w:abstractNumId w:val="13"/>
  </w:num>
  <w:num w:numId="29" w16cid:durableId="171279840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59"/>
    <w:rsid w:val="000003DB"/>
    <w:rsid w:val="00000543"/>
    <w:rsid w:val="00000546"/>
    <w:rsid w:val="00000690"/>
    <w:rsid w:val="00000A24"/>
    <w:rsid w:val="00001FDA"/>
    <w:rsid w:val="00002272"/>
    <w:rsid w:val="00002380"/>
    <w:rsid w:val="000024EC"/>
    <w:rsid w:val="00003DA8"/>
    <w:rsid w:val="0000474E"/>
    <w:rsid w:val="00004D44"/>
    <w:rsid w:val="00005563"/>
    <w:rsid w:val="00006390"/>
    <w:rsid w:val="00006D2E"/>
    <w:rsid w:val="00007642"/>
    <w:rsid w:val="00007BCF"/>
    <w:rsid w:val="00007EA2"/>
    <w:rsid w:val="00010B55"/>
    <w:rsid w:val="00010B7C"/>
    <w:rsid w:val="00010C70"/>
    <w:rsid w:val="00010D70"/>
    <w:rsid w:val="0001163D"/>
    <w:rsid w:val="00011EBD"/>
    <w:rsid w:val="0001287D"/>
    <w:rsid w:val="0001299D"/>
    <w:rsid w:val="00012D9E"/>
    <w:rsid w:val="000134BE"/>
    <w:rsid w:val="00013F64"/>
    <w:rsid w:val="00014362"/>
    <w:rsid w:val="0001447C"/>
    <w:rsid w:val="00014E17"/>
    <w:rsid w:val="00015391"/>
    <w:rsid w:val="0001550B"/>
    <w:rsid w:val="00015B7A"/>
    <w:rsid w:val="00016338"/>
    <w:rsid w:val="00016924"/>
    <w:rsid w:val="00016B10"/>
    <w:rsid w:val="00016B3C"/>
    <w:rsid w:val="00016C5D"/>
    <w:rsid w:val="00016FA0"/>
    <w:rsid w:val="00017291"/>
    <w:rsid w:val="000176A2"/>
    <w:rsid w:val="000213BC"/>
    <w:rsid w:val="0002189D"/>
    <w:rsid w:val="00022470"/>
    <w:rsid w:val="00022475"/>
    <w:rsid w:val="00022AC5"/>
    <w:rsid w:val="00023259"/>
    <w:rsid w:val="0002365A"/>
    <w:rsid w:val="000247EE"/>
    <w:rsid w:val="00024A44"/>
    <w:rsid w:val="00024E92"/>
    <w:rsid w:val="00024EBD"/>
    <w:rsid w:val="00024FD0"/>
    <w:rsid w:val="0002526B"/>
    <w:rsid w:val="0002572F"/>
    <w:rsid w:val="00025925"/>
    <w:rsid w:val="00025F7E"/>
    <w:rsid w:val="00026655"/>
    <w:rsid w:val="00026902"/>
    <w:rsid w:val="00026EF6"/>
    <w:rsid w:val="00026F85"/>
    <w:rsid w:val="0002760F"/>
    <w:rsid w:val="00027913"/>
    <w:rsid w:val="00027D74"/>
    <w:rsid w:val="00030267"/>
    <w:rsid w:val="00030C95"/>
    <w:rsid w:val="00031959"/>
    <w:rsid w:val="00031BB5"/>
    <w:rsid w:val="0003295B"/>
    <w:rsid w:val="00032B44"/>
    <w:rsid w:val="0003314E"/>
    <w:rsid w:val="00033402"/>
    <w:rsid w:val="000339AA"/>
    <w:rsid w:val="00034255"/>
    <w:rsid w:val="00034958"/>
    <w:rsid w:val="00036019"/>
    <w:rsid w:val="000366FC"/>
    <w:rsid w:val="00036995"/>
    <w:rsid w:val="00036B68"/>
    <w:rsid w:val="00036C4E"/>
    <w:rsid w:val="00036CE1"/>
    <w:rsid w:val="000375F4"/>
    <w:rsid w:val="00037E05"/>
    <w:rsid w:val="00040B05"/>
    <w:rsid w:val="00040D10"/>
    <w:rsid w:val="00040D2A"/>
    <w:rsid w:val="00041291"/>
    <w:rsid w:val="000412BD"/>
    <w:rsid w:val="000416F1"/>
    <w:rsid w:val="00041CA5"/>
    <w:rsid w:val="0004216E"/>
    <w:rsid w:val="000421D1"/>
    <w:rsid w:val="0004274C"/>
    <w:rsid w:val="00042E5B"/>
    <w:rsid w:val="0004316F"/>
    <w:rsid w:val="0004330C"/>
    <w:rsid w:val="000435A4"/>
    <w:rsid w:val="00043B0A"/>
    <w:rsid w:val="00044075"/>
    <w:rsid w:val="0004496D"/>
    <w:rsid w:val="00044A92"/>
    <w:rsid w:val="00044C20"/>
    <w:rsid w:val="0004542A"/>
    <w:rsid w:val="000462A7"/>
    <w:rsid w:val="00046A19"/>
    <w:rsid w:val="00046EFE"/>
    <w:rsid w:val="00047235"/>
    <w:rsid w:val="0004750F"/>
    <w:rsid w:val="00050628"/>
    <w:rsid w:val="00050F46"/>
    <w:rsid w:val="00051137"/>
    <w:rsid w:val="000515EC"/>
    <w:rsid w:val="0005170C"/>
    <w:rsid w:val="00051BBF"/>
    <w:rsid w:val="0005209E"/>
    <w:rsid w:val="000524C0"/>
    <w:rsid w:val="00052A8B"/>
    <w:rsid w:val="000530B2"/>
    <w:rsid w:val="00054ACE"/>
    <w:rsid w:val="00054C9A"/>
    <w:rsid w:val="00054CDF"/>
    <w:rsid w:val="00055360"/>
    <w:rsid w:val="00055465"/>
    <w:rsid w:val="00055D7B"/>
    <w:rsid w:val="00055E7C"/>
    <w:rsid w:val="00056270"/>
    <w:rsid w:val="000565F9"/>
    <w:rsid w:val="0005699B"/>
    <w:rsid w:val="00056D7E"/>
    <w:rsid w:val="00056E16"/>
    <w:rsid w:val="00056F0A"/>
    <w:rsid w:val="0005764B"/>
    <w:rsid w:val="00057C8F"/>
    <w:rsid w:val="000601E6"/>
    <w:rsid w:val="000603C9"/>
    <w:rsid w:val="00060B0D"/>
    <w:rsid w:val="00060D7C"/>
    <w:rsid w:val="000625E3"/>
    <w:rsid w:val="000626AE"/>
    <w:rsid w:val="00062A4D"/>
    <w:rsid w:val="00062D3A"/>
    <w:rsid w:val="00063B9C"/>
    <w:rsid w:val="00063F08"/>
    <w:rsid w:val="00064492"/>
    <w:rsid w:val="000646BC"/>
    <w:rsid w:val="000651F3"/>
    <w:rsid w:val="00065821"/>
    <w:rsid w:val="000658A8"/>
    <w:rsid w:val="00065CA8"/>
    <w:rsid w:val="00066A9C"/>
    <w:rsid w:val="00066BF5"/>
    <w:rsid w:val="00067397"/>
    <w:rsid w:val="000677AB"/>
    <w:rsid w:val="00067BC0"/>
    <w:rsid w:val="00067C45"/>
    <w:rsid w:val="00070587"/>
    <w:rsid w:val="00070C54"/>
    <w:rsid w:val="000710E2"/>
    <w:rsid w:val="00071A56"/>
    <w:rsid w:val="00071D51"/>
    <w:rsid w:val="000723FD"/>
    <w:rsid w:val="00072B19"/>
    <w:rsid w:val="00073100"/>
    <w:rsid w:val="00073334"/>
    <w:rsid w:val="00073789"/>
    <w:rsid w:val="00073973"/>
    <w:rsid w:val="00073A77"/>
    <w:rsid w:val="00073B35"/>
    <w:rsid w:val="00074D67"/>
    <w:rsid w:val="00074EDC"/>
    <w:rsid w:val="000755C4"/>
    <w:rsid w:val="00075720"/>
    <w:rsid w:val="00075C3A"/>
    <w:rsid w:val="00075CB4"/>
    <w:rsid w:val="00076540"/>
    <w:rsid w:val="00077197"/>
    <w:rsid w:val="000774B0"/>
    <w:rsid w:val="000779E7"/>
    <w:rsid w:val="00077A37"/>
    <w:rsid w:val="00077C48"/>
    <w:rsid w:val="00077E42"/>
    <w:rsid w:val="0008023D"/>
    <w:rsid w:val="00080CDD"/>
    <w:rsid w:val="00080F0A"/>
    <w:rsid w:val="000810D3"/>
    <w:rsid w:val="00082C52"/>
    <w:rsid w:val="00082F04"/>
    <w:rsid w:val="00083356"/>
    <w:rsid w:val="000837FB"/>
    <w:rsid w:val="00084798"/>
    <w:rsid w:val="000855CA"/>
    <w:rsid w:val="00085ED7"/>
    <w:rsid w:val="00086337"/>
    <w:rsid w:val="000874FB"/>
    <w:rsid w:val="000904A8"/>
    <w:rsid w:val="00090FA9"/>
    <w:rsid w:val="0009141C"/>
    <w:rsid w:val="00091B9D"/>
    <w:rsid w:val="00092F82"/>
    <w:rsid w:val="000932E0"/>
    <w:rsid w:val="000936CC"/>
    <w:rsid w:val="000939A7"/>
    <w:rsid w:val="00095825"/>
    <w:rsid w:val="000965BE"/>
    <w:rsid w:val="00097A31"/>
    <w:rsid w:val="00097F26"/>
    <w:rsid w:val="000A0A41"/>
    <w:rsid w:val="000A0EDD"/>
    <w:rsid w:val="000A1064"/>
    <w:rsid w:val="000A1220"/>
    <w:rsid w:val="000A1B67"/>
    <w:rsid w:val="000A231C"/>
    <w:rsid w:val="000A3882"/>
    <w:rsid w:val="000A41C5"/>
    <w:rsid w:val="000A45D8"/>
    <w:rsid w:val="000A49A3"/>
    <w:rsid w:val="000A5111"/>
    <w:rsid w:val="000A516E"/>
    <w:rsid w:val="000A52CF"/>
    <w:rsid w:val="000A60B3"/>
    <w:rsid w:val="000A621B"/>
    <w:rsid w:val="000A6D1E"/>
    <w:rsid w:val="000A6E35"/>
    <w:rsid w:val="000A708B"/>
    <w:rsid w:val="000A72A1"/>
    <w:rsid w:val="000A74A0"/>
    <w:rsid w:val="000A782C"/>
    <w:rsid w:val="000A7D64"/>
    <w:rsid w:val="000B10A2"/>
    <w:rsid w:val="000B18A8"/>
    <w:rsid w:val="000B22CE"/>
    <w:rsid w:val="000B23B4"/>
    <w:rsid w:val="000B28A1"/>
    <w:rsid w:val="000B3011"/>
    <w:rsid w:val="000B33B7"/>
    <w:rsid w:val="000B3AC5"/>
    <w:rsid w:val="000B41DE"/>
    <w:rsid w:val="000B4586"/>
    <w:rsid w:val="000B46F2"/>
    <w:rsid w:val="000B4DC2"/>
    <w:rsid w:val="000B5793"/>
    <w:rsid w:val="000B5BE2"/>
    <w:rsid w:val="000B68AE"/>
    <w:rsid w:val="000B6E07"/>
    <w:rsid w:val="000B7549"/>
    <w:rsid w:val="000B754A"/>
    <w:rsid w:val="000B78AC"/>
    <w:rsid w:val="000B7C33"/>
    <w:rsid w:val="000B7F25"/>
    <w:rsid w:val="000C02DA"/>
    <w:rsid w:val="000C0366"/>
    <w:rsid w:val="000C0AB9"/>
    <w:rsid w:val="000C0B63"/>
    <w:rsid w:val="000C14C2"/>
    <w:rsid w:val="000C178E"/>
    <w:rsid w:val="000C180D"/>
    <w:rsid w:val="000C18CE"/>
    <w:rsid w:val="000C20A3"/>
    <w:rsid w:val="000C2968"/>
    <w:rsid w:val="000C383E"/>
    <w:rsid w:val="000C3AAD"/>
    <w:rsid w:val="000C3E7A"/>
    <w:rsid w:val="000C460A"/>
    <w:rsid w:val="000C4956"/>
    <w:rsid w:val="000C4DE7"/>
    <w:rsid w:val="000C4EE5"/>
    <w:rsid w:val="000C50BC"/>
    <w:rsid w:val="000C5487"/>
    <w:rsid w:val="000C55EB"/>
    <w:rsid w:val="000C566C"/>
    <w:rsid w:val="000C5882"/>
    <w:rsid w:val="000C5D17"/>
    <w:rsid w:val="000C61FF"/>
    <w:rsid w:val="000C63FE"/>
    <w:rsid w:val="000C64C4"/>
    <w:rsid w:val="000C6766"/>
    <w:rsid w:val="000C6A34"/>
    <w:rsid w:val="000C6A6D"/>
    <w:rsid w:val="000C794F"/>
    <w:rsid w:val="000C799C"/>
    <w:rsid w:val="000C7DDE"/>
    <w:rsid w:val="000C7EA2"/>
    <w:rsid w:val="000D11F5"/>
    <w:rsid w:val="000D1306"/>
    <w:rsid w:val="000D1C15"/>
    <w:rsid w:val="000D25BA"/>
    <w:rsid w:val="000D2605"/>
    <w:rsid w:val="000D2A47"/>
    <w:rsid w:val="000D3170"/>
    <w:rsid w:val="000D3419"/>
    <w:rsid w:val="000D36F2"/>
    <w:rsid w:val="000D3A5D"/>
    <w:rsid w:val="000D3BD3"/>
    <w:rsid w:val="000D3F51"/>
    <w:rsid w:val="000D4B54"/>
    <w:rsid w:val="000D54FE"/>
    <w:rsid w:val="000D5E18"/>
    <w:rsid w:val="000D5E73"/>
    <w:rsid w:val="000D6130"/>
    <w:rsid w:val="000D646D"/>
    <w:rsid w:val="000D64D4"/>
    <w:rsid w:val="000E0086"/>
    <w:rsid w:val="000E0706"/>
    <w:rsid w:val="000E0B56"/>
    <w:rsid w:val="000E1849"/>
    <w:rsid w:val="000E1AFE"/>
    <w:rsid w:val="000E2366"/>
    <w:rsid w:val="000E294C"/>
    <w:rsid w:val="000E30E1"/>
    <w:rsid w:val="000E36C6"/>
    <w:rsid w:val="000E405F"/>
    <w:rsid w:val="000E48C7"/>
    <w:rsid w:val="000E4963"/>
    <w:rsid w:val="000E51BE"/>
    <w:rsid w:val="000E57C9"/>
    <w:rsid w:val="000E5AC1"/>
    <w:rsid w:val="000E5B1C"/>
    <w:rsid w:val="000E5F92"/>
    <w:rsid w:val="000E649A"/>
    <w:rsid w:val="000E6C3B"/>
    <w:rsid w:val="000E79F0"/>
    <w:rsid w:val="000F06BC"/>
    <w:rsid w:val="000F243F"/>
    <w:rsid w:val="000F3261"/>
    <w:rsid w:val="000F32FA"/>
    <w:rsid w:val="000F3CEF"/>
    <w:rsid w:val="000F3DF5"/>
    <w:rsid w:val="000F4149"/>
    <w:rsid w:val="000F4431"/>
    <w:rsid w:val="000F443B"/>
    <w:rsid w:val="000F46E5"/>
    <w:rsid w:val="000F4C37"/>
    <w:rsid w:val="000F4F49"/>
    <w:rsid w:val="000F4FF2"/>
    <w:rsid w:val="000F56D5"/>
    <w:rsid w:val="000F5CCF"/>
    <w:rsid w:val="000F6614"/>
    <w:rsid w:val="000F6ADC"/>
    <w:rsid w:val="0010029A"/>
    <w:rsid w:val="00100367"/>
    <w:rsid w:val="0010056E"/>
    <w:rsid w:val="00100826"/>
    <w:rsid w:val="00100ADE"/>
    <w:rsid w:val="00100B00"/>
    <w:rsid w:val="00101799"/>
    <w:rsid w:val="0010195F"/>
    <w:rsid w:val="00101EF3"/>
    <w:rsid w:val="001023BD"/>
    <w:rsid w:val="00102CB9"/>
    <w:rsid w:val="00102D73"/>
    <w:rsid w:val="0010300C"/>
    <w:rsid w:val="00103BC0"/>
    <w:rsid w:val="001047DA"/>
    <w:rsid w:val="00104C87"/>
    <w:rsid w:val="00104CF3"/>
    <w:rsid w:val="00105C6B"/>
    <w:rsid w:val="00105E36"/>
    <w:rsid w:val="00106621"/>
    <w:rsid w:val="00107AFB"/>
    <w:rsid w:val="00110424"/>
    <w:rsid w:val="0011042A"/>
    <w:rsid w:val="0011078E"/>
    <w:rsid w:val="00110A81"/>
    <w:rsid w:val="00110BD3"/>
    <w:rsid w:val="0011151A"/>
    <w:rsid w:val="0011207F"/>
    <w:rsid w:val="001124BF"/>
    <w:rsid w:val="00113D21"/>
    <w:rsid w:val="00114DC8"/>
    <w:rsid w:val="001157FE"/>
    <w:rsid w:val="00115FAE"/>
    <w:rsid w:val="0011616E"/>
    <w:rsid w:val="001161FF"/>
    <w:rsid w:val="001164F5"/>
    <w:rsid w:val="001165BA"/>
    <w:rsid w:val="001167DF"/>
    <w:rsid w:val="001167F6"/>
    <w:rsid w:val="0011690D"/>
    <w:rsid w:val="001174FE"/>
    <w:rsid w:val="0011776D"/>
    <w:rsid w:val="00117776"/>
    <w:rsid w:val="00117BEF"/>
    <w:rsid w:val="00117E7B"/>
    <w:rsid w:val="00120222"/>
    <w:rsid w:val="00120D22"/>
    <w:rsid w:val="001213AF"/>
    <w:rsid w:val="0012157D"/>
    <w:rsid w:val="001216CB"/>
    <w:rsid w:val="00121BE9"/>
    <w:rsid w:val="00121DFF"/>
    <w:rsid w:val="001220D9"/>
    <w:rsid w:val="00122DBC"/>
    <w:rsid w:val="00123078"/>
    <w:rsid w:val="0012430D"/>
    <w:rsid w:val="00125046"/>
    <w:rsid w:val="001250FD"/>
    <w:rsid w:val="00126904"/>
    <w:rsid w:val="00126DFE"/>
    <w:rsid w:val="001303F0"/>
    <w:rsid w:val="0013074A"/>
    <w:rsid w:val="00130B44"/>
    <w:rsid w:val="00130F3F"/>
    <w:rsid w:val="00131003"/>
    <w:rsid w:val="00132036"/>
    <w:rsid w:val="00132E22"/>
    <w:rsid w:val="001331C4"/>
    <w:rsid w:val="00133D2F"/>
    <w:rsid w:val="00134275"/>
    <w:rsid w:val="00134475"/>
    <w:rsid w:val="00134EC8"/>
    <w:rsid w:val="00135D06"/>
    <w:rsid w:val="00135F01"/>
    <w:rsid w:val="00135F36"/>
    <w:rsid w:val="001360F6"/>
    <w:rsid w:val="0013746F"/>
    <w:rsid w:val="001377EA"/>
    <w:rsid w:val="00137FC2"/>
    <w:rsid w:val="001407D4"/>
    <w:rsid w:val="00141071"/>
    <w:rsid w:val="001419C2"/>
    <w:rsid w:val="00141AA9"/>
    <w:rsid w:val="0014237D"/>
    <w:rsid w:val="00142ACA"/>
    <w:rsid w:val="001439B6"/>
    <w:rsid w:val="00143FC9"/>
    <w:rsid w:val="00144255"/>
    <w:rsid w:val="0014519E"/>
    <w:rsid w:val="00145CA0"/>
    <w:rsid w:val="00146961"/>
    <w:rsid w:val="00147805"/>
    <w:rsid w:val="001513A2"/>
    <w:rsid w:val="00151DE5"/>
    <w:rsid w:val="001535F3"/>
    <w:rsid w:val="00153DC4"/>
    <w:rsid w:val="00153EC4"/>
    <w:rsid w:val="00154448"/>
    <w:rsid w:val="00154520"/>
    <w:rsid w:val="0015487B"/>
    <w:rsid w:val="001552FD"/>
    <w:rsid w:val="001557F6"/>
    <w:rsid w:val="00155BBC"/>
    <w:rsid w:val="00156255"/>
    <w:rsid w:val="00157592"/>
    <w:rsid w:val="001576A9"/>
    <w:rsid w:val="00157E9D"/>
    <w:rsid w:val="0016058C"/>
    <w:rsid w:val="00161307"/>
    <w:rsid w:val="00161349"/>
    <w:rsid w:val="001617B6"/>
    <w:rsid w:val="00161A2F"/>
    <w:rsid w:val="001621D6"/>
    <w:rsid w:val="00162DA1"/>
    <w:rsid w:val="001635CA"/>
    <w:rsid w:val="00163790"/>
    <w:rsid w:val="001637B7"/>
    <w:rsid w:val="0016426C"/>
    <w:rsid w:val="00164340"/>
    <w:rsid w:val="0016442D"/>
    <w:rsid w:val="001647E9"/>
    <w:rsid w:val="001650AF"/>
    <w:rsid w:val="0016531E"/>
    <w:rsid w:val="0016549E"/>
    <w:rsid w:val="00165655"/>
    <w:rsid w:val="00165864"/>
    <w:rsid w:val="00166A7D"/>
    <w:rsid w:val="00167B3D"/>
    <w:rsid w:val="00170DDF"/>
    <w:rsid w:val="00171A8A"/>
    <w:rsid w:val="00171EEF"/>
    <w:rsid w:val="0017221F"/>
    <w:rsid w:val="0017269B"/>
    <w:rsid w:val="001727F4"/>
    <w:rsid w:val="00172F95"/>
    <w:rsid w:val="0017300E"/>
    <w:rsid w:val="0017360E"/>
    <w:rsid w:val="001748ED"/>
    <w:rsid w:val="00175313"/>
    <w:rsid w:val="001755E5"/>
    <w:rsid w:val="001758BB"/>
    <w:rsid w:val="001759BE"/>
    <w:rsid w:val="00175AE4"/>
    <w:rsid w:val="00175D84"/>
    <w:rsid w:val="0017641D"/>
    <w:rsid w:val="00176865"/>
    <w:rsid w:val="00176BE6"/>
    <w:rsid w:val="00176E37"/>
    <w:rsid w:val="00176F23"/>
    <w:rsid w:val="00176FB1"/>
    <w:rsid w:val="001775D5"/>
    <w:rsid w:val="00177FCC"/>
    <w:rsid w:val="00180024"/>
    <w:rsid w:val="00180265"/>
    <w:rsid w:val="00180469"/>
    <w:rsid w:val="00180DA6"/>
    <w:rsid w:val="001815E0"/>
    <w:rsid w:val="001823ED"/>
    <w:rsid w:val="00182852"/>
    <w:rsid w:val="001838A5"/>
    <w:rsid w:val="00183A80"/>
    <w:rsid w:val="001842CC"/>
    <w:rsid w:val="00184F3E"/>
    <w:rsid w:val="00186648"/>
    <w:rsid w:val="00187443"/>
    <w:rsid w:val="00187528"/>
    <w:rsid w:val="0019007C"/>
    <w:rsid w:val="001904CA"/>
    <w:rsid w:val="00190DFD"/>
    <w:rsid w:val="00191306"/>
    <w:rsid w:val="0019139E"/>
    <w:rsid w:val="00191432"/>
    <w:rsid w:val="001917C6"/>
    <w:rsid w:val="00191A81"/>
    <w:rsid w:val="00191C85"/>
    <w:rsid w:val="0019254E"/>
    <w:rsid w:val="00192818"/>
    <w:rsid w:val="001934C4"/>
    <w:rsid w:val="00193FC2"/>
    <w:rsid w:val="00194727"/>
    <w:rsid w:val="00195A9F"/>
    <w:rsid w:val="00195C43"/>
    <w:rsid w:val="001966FE"/>
    <w:rsid w:val="0019741E"/>
    <w:rsid w:val="00197917"/>
    <w:rsid w:val="001A006A"/>
    <w:rsid w:val="001A04A3"/>
    <w:rsid w:val="001A09E9"/>
    <w:rsid w:val="001A0ADA"/>
    <w:rsid w:val="001A109F"/>
    <w:rsid w:val="001A18D6"/>
    <w:rsid w:val="001A1982"/>
    <w:rsid w:val="001A1E77"/>
    <w:rsid w:val="001A1E7C"/>
    <w:rsid w:val="001A2601"/>
    <w:rsid w:val="001A2923"/>
    <w:rsid w:val="001A2924"/>
    <w:rsid w:val="001A2D86"/>
    <w:rsid w:val="001A2F3A"/>
    <w:rsid w:val="001A3166"/>
    <w:rsid w:val="001A35FB"/>
    <w:rsid w:val="001A46EE"/>
    <w:rsid w:val="001A4E79"/>
    <w:rsid w:val="001A52EA"/>
    <w:rsid w:val="001A5AB2"/>
    <w:rsid w:val="001A5B0F"/>
    <w:rsid w:val="001A5EDA"/>
    <w:rsid w:val="001A62B5"/>
    <w:rsid w:val="001A64F5"/>
    <w:rsid w:val="001A698F"/>
    <w:rsid w:val="001A6B13"/>
    <w:rsid w:val="001A70C5"/>
    <w:rsid w:val="001A72E2"/>
    <w:rsid w:val="001A74D4"/>
    <w:rsid w:val="001A7774"/>
    <w:rsid w:val="001A7D62"/>
    <w:rsid w:val="001B09EA"/>
    <w:rsid w:val="001B10E8"/>
    <w:rsid w:val="001B1339"/>
    <w:rsid w:val="001B13F7"/>
    <w:rsid w:val="001B15B2"/>
    <w:rsid w:val="001B16C9"/>
    <w:rsid w:val="001B1B52"/>
    <w:rsid w:val="001B2515"/>
    <w:rsid w:val="001B2823"/>
    <w:rsid w:val="001B298A"/>
    <w:rsid w:val="001B2AEA"/>
    <w:rsid w:val="001B2BAD"/>
    <w:rsid w:val="001B343F"/>
    <w:rsid w:val="001B390A"/>
    <w:rsid w:val="001B3D56"/>
    <w:rsid w:val="001B3F7A"/>
    <w:rsid w:val="001B49AA"/>
    <w:rsid w:val="001B4CB4"/>
    <w:rsid w:val="001B4CBE"/>
    <w:rsid w:val="001B5184"/>
    <w:rsid w:val="001B5770"/>
    <w:rsid w:val="001B59C2"/>
    <w:rsid w:val="001B5FF3"/>
    <w:rsid w:val="001B6210"/>
    <w:rsid w:val="001B6658"/>
    <w:rsid w:val="001B6CA2"/>
    <w:rsid w:val="001B6E05"/>
    <w:rsid w:val="001B733E"/>
    <w:rsid w:val="001B75A8"/>
    <w:rsid w:val="001B782B"/>
    <w:rsid w:val="001B7FBC"/>
    <w:rsid w:val="001C015B"/>
    <w:rsid w:val="001C08E7"/>
    <w:rsid w:val="001C0F68"/>
    <w:rsid w:val="001C1065"/>
    <w:rsid w:val="001C1403"/>
    <w:rsid w:val="001C1982"/>
    <w:rsid w:val="001C1C24"/>
    <w:rsid w:val="001C22D8"/>
    <w:rsid w:val="001C2599"/>
    <w:rsid w:val="001C2D77"/>
    <w:rsid w:val="001C3856"/>
    <w:rsid w:val="001C3D22"/>
    <w:rsid w:val="001C3ED7"/>
    <w:rsid w:val="001C3EFF"/>
    <w:rsid w:val="001C4CB9"/>
    <w:rsid w:val="001C57BD"/>
    <w:rsid w:val="001C5969"/>
    <w:rsid w:val="001C5A47"/>
    <w:rsid w:val="001C5BA8"/>
    <w:rsid w:val="001C5BB9"/>
    <w:rsid w:val="001C6370"/>
    <w:rsid w:val="001C6945"/>
    <w:rsid w:val="001C6C95"/>
    <w:rsid w:val="001C6E6A"/>
    <w:rsid w:val="001D0124"/>
    <w:rsid w:val="001D13D2"/>
    <w:rsid w:val="001D1403"/>
    <w:rsid w:val="001D1527"/>
    <w:rsid w:val="001D2916"/>
    <w:rsid w:val="001D2924"/>
    <w:rsid w:val="001D2F1A"/>
    <w:rsid w:val="001D3469"/>
    <w:rsid w:val="001D375A"/>
    <w:rsid w:val="001D3E9C"/>
    <w:rsid w:val="001D3EFC"/>
    <w:rsid w:val="001D3FDD"/>
    <w:rsid w:val="001D45BC"/>
    <w:rsid w:val="001D4F82"/>
    <w:rsid w:val="001D526B"/>
    <w:rsid w:val="001D5A1B"/>
    <w:rsid w:val="001D640A"/>
    <w:rsid w:val="001D640F"/>
    <w:rsid w:val="001D69E5"/>
    <w:rsid w:val="001D73AC"/>
    <w:rsid w:val="001D7848"/>
    <w:rsid w:val="001D7A88"/>
    <w:rsid w:val="001E0783"/>
    <w:rsid w:val="001E087C"/>
    <w:rsid w:val="001E0E13"/>
    <w:rsid w:val="001E1604"/>
    <w:rsid w:val="001E1EB4"/>
    <w:rsid w:val="001E3A29"/>
    <w:rsid w:val="001E42E3"/>
    <w:rsid w:val="001E43F4"/>
    <w:rsid w:val="001E4623"/>
    <w:rsid w:val="001E47CA"/>
    <w:rsid w:val="001E4A9A"/>
    <w:rsid w:val="001E4D75"/>
    <w:rsid w:val="001E581E"/>
    <w:rsid w:val="001E5825"/>
    <w:rsid w:val="001E5D2B"/>
    <w:rsid w:val="001E5EB6"/>
    <w:rsid w:val="001E6EDC"/>
    <w:rsid w:val="001E766B"/>
    <w:rsid w:val="001F08AC"/>
    <w:rsid w:val="001F0FE2"/>
    <w:rsid w:val="001F13C9"/>
    <w:rsid w:val="001F1826"/>
    <w:rsid w:val="001F1E5B"/>
    <w:rsid w:val="001F1E79"/>
    <w:rsid w:val="001F24AB"/>
    <w:rsid w:val="001F2DC0"/>
    <w:rsid w:val="001F2EA4"/>
    <w:rsid w:val="001F3067"/>
    <w:rsid w:val="001F325F"/>
    <w:rsid w:val="001F33BC"/>
    <w:rsid w:val="001F3FAD"/>
    <w:rsid w:val="001F49D5"/>
    <w:rsid w:val="001F4C02"/>
    <w:rsid w:val="001F4D87"/>
    <w:rsid w:val="001F56D8"/>
    <w:rsid w:val="001F5DEE"/>
    <w:rsid w:val="001F65E8"/>
    <w:rsid w:val="001F6C2B"/>
    <w:rsid w:val="001F6E0D"/>
    <w:rsid w:val="001F6E45"/>
    <w:rsid w:val="001F701D"/>
    <w:rsid w:val="001F7031"/>
    <w:rsid w:val="001F7122"/>
    <w:rsid w:val="001F78CB"/>
    <w:rsid w:val="001F7E28"/>
    <w:rsid w:val="00200AA6"/>
    <w:rsid w:val="00200DDA"/>
    <w:rsid w:val="00201634"/>
    <w:rsid w:val="00202339"/>
    <w:rsid w:val="00202764"/>
    <w:rsid w:val="0020298A"/>
    <w:rsid w:val="002029F0"/>
    <w:rsid w:val="002029F6"/>
    <w:rsid w:val="00202B39"/>
    <w:rsid w:val="002035E4"/>
    <w:rsid w:val="00203832"/>
    <w:rsid w:val="00203CED"/>
    <w:rsid w:val="00204259"/>
    <w:rsid w:val="00204279"/>
    <w:rsid w:val="0020485F"/>
    <w:rsid w:val="002053E0"/>
    <w:rsid w:val="002055D4"/>
    <w:rsid w:val="0020614E"/>
    <w:rsid w:val="00206D03"/>
    <w:rsid w:val="00206DB5"/>
    <w:rsid w:val="00207C71"/>
    <w:rsid w:val="00207D04"/>
    <w:rsid w:val="00211410"/>
    <w:rsid w:val="002116A5"/>
    <w:rsid w:val="00211B60"/>
    <w:rsid w:val="002121BF"/>
    <w:rsid w:val="002124CB"/>
    <w:rsid w:val="00214581"/>
    <w:rsid w:val="00214875"/>
    <w:rsid w:val="002154F5"/>
    <w:rsid w:val="00215768"/>
    <w:rsid w:val="00215F60"/>
    <w:rsid w:val="00215FE8"/>
    <w:rsid w:val="00216EF0"/>
    <w:rsid w:val="002175B1"/>
    <w:rsid w:val="002176B2"/>
    <w:rsid w:val="002177A7"/>
    <w:rsid w:val="00217C06"/>
    <w:rsid w:val="00217CD3"/>
    <w:rsid w:val="00217D35"/>
    <w:rsid w:val="00220263"/>
    <w:rsid w:val="00221182"/>
    <w:rsid w:val="0022197D"/>
    <w:rsid w:val="00222800"/>
    <w:rsid w:val="00223000"/>
    <w:rsid w:val="002233E5"/>
    <w:rsid w:val="002244CB"/>
    <w:rsid w:val="00224A19"/>
    <w:rsid w:val="00224D48"/>
    <w:rsid w:val="00225960"/>
    <w:rsid w:val="00225BE7"/>
    <w:rsid w:val="0022632E"/>
    <w:rsid w:val="0022657C"/>
    <w:rsid w:val="002268E6"/>
    <w:rsid w:val="00230A2B"/>
    <w:rsid w:val="0023105D"/>
    <w:rsid w:val="00231198"/>
    <w:rsid w:val="00232445"/>
    <w:rsid w:val="002327BF"/>
    <w:rsid w:val="00232F36"/>
    <w:rsid w:val="00233D92"/>
    <w:rsid w:val="00233F44"/>
    <w:rsid w:val="002343B5"/>
    <w:rsid w:val="00234B95"/>
    <w:rsid w:val="00235907"/>
    <w:rsid w:val="002374A8"/>
    <w:rsid w:val="0023758A"/>
    <w:rsid w:val="0024038E"/>
    <w:rsid w:val="002405C8"/>
    <w:rsid w:val="00240651"/>
    <w:rsid w:val="002414B9"/>
    <w:rsid w:val="00241591"/>
    <w:rsid w:val="00241A1F"/>
    <w:rsid w:val="00241B75"/>
    <w:rsid w:val="0024227D"/>
    <w:rsid w:val="002427D5"/>
    <w:rsid w:val="002429D8"/>
    <w:rsid w:val="00243450"/>
    <w:rsid w:val="002434D4"/>
    <w:rsid w:val="002437F7"/>
    <w:rsid w:val="002439DA"/>
    <w:rsid w:val="00244066"/>
    <w:rsid w:val="00244AFA"/>
    <w:rsid w:val="00244BA5"/>
    <w:rsid w:val="00245F15"/>
    <w:rsid w:val="00245FFF"/>
    <w:rsid w:val="00246667"/>
    <w:rsid w:val="002467C4"/>
    <w:rsid w:val="00246A0B"/>
    <w:rsid w:val="00246E26"/>
    <w:rsid w:val="002473F6"/>
    <w:rsid w:val="00250BCE"/>
    <w:rsid w:val="00251073"/>
    <w:rsid w:val="002512B9"/>
    <w:rsid w:val="00251474"/>
    <w:rsid w:val="002514FB"/>
    <w:rsid w:val="002516A1"/>
    <w:rsid w:val="002517D5"/>
    <w:rsid w:val="00252F22"/>
    <w:rsid w:val="00253991"/>
    <w:rsid w:val="00253C42"/>
    <w:rsid w:val="00253D1E"/>
    <w:rsid w:val="00254D31"/>
    <w:rsid w:val="00254EF5"/>
    <w:rsid w:val="002561F9"/>
    <w:rsid w:val="0025656C"/>
    <w:rsid w:val="0025686E"/>
    <w:rsid w:val="00256A15"/>
    <w:rsid w:val="00256CAE"/>
    <w:rsid w:val="00256E50"/>
    <w:rsid w:val="00257754"/>
    <w:rsid w:val="00257C9E"/>
    <w:rsid w:val="00257D7D"/>
    <w:rsid w:val="00257DD3"/>
    <w:rsid w:val="002606E2"/>
    <w:rsid w:val="00261259"/>
    <w:rsid w:val="00262745"/>
    <w:rsid w:val="00263838"/>
    <w:rsid w:val="0026417A"/>
    <w:rsid w:val="00264668"/>
    <w:rsid w:val="00264703"/>
    <w:rsid w:val="002647BD"/>
    <w:rsid w:val="00264980"/>
    <w:rsid w:val="00266055"/>
    <w:rsid w:val="0026619D"/>
    <w:rsid w:val="00266204"/>
    <w:rsid w:val="00266354"/>
    <w:rsid w:val="00266445"/>
    <w:rsid w:val="00266507"/>
    <w:rsid w:val="002669D9"/>
    <w:rsid w:val="00267122"/>
    <w:rsid w:val="0026716E"/>
    <w:rsid w:val="0026787C"/>
    <w:rsid w:val="00267A26"/>
    <w:rsid w:val="00270072"/>
    <w:rsid w:val="0027026F"/>
    <w:rsid w:val="00270646"/>
    <w:rsid w:val="00270C3F"/>
    <w:rsid w:val="00270D64"/>
    <w:rsid w:val="00271671"/>
    <w:rsid w:val="00271CA7"/>
    <w:rsid w:val="00271DD6"/>
    <w:rsid w:val="00271E4D"/>
    <w:rsid w:val="002720E7"/>
    <w:rsid w:val="002721A9"/>
    <w:rsid w:val="002725C7"/>
    <w:rsid w:val="0027295B"/>
    <w:rsid w:val="00272B7C"/>
    <w:rsid w:val="002748A4"/>
    <w:rsid w:val="0027495D"/>
    <w:rsid w:val="00274D53"/>
    <w:rsid w:val="00274F46"/>
    <w:rsid w:val="00274FA6"/>
    <w:rsid w:val="00277300"/>
    <w:rsid w:val="0028017F"/>
    <w:rsid w:val="002801EC"/>
    <w:rsid w:val="0028118E"/>
    <w:rsid w:val="00281F92"/>
    <w:rsid w:val="00281FBA"/>
    <w:rsid w:val="002826AC"/>
    <w:rsid w:val="00282EEA"/>
    <w:rsid w:val="002832D8"/>
    <w:rsid w:val="00283AA8"/>
    <w:rsid w:val="00283D24"/>
    <w:rsid w:val="0028402C"/>
    <w:rsid w:val="0028467B"/>
    <w:rsid w:val="00284819"/>
    <w:rsid w:val="002849FA"/>
    <w:rsid w:val="002851A0"/>
    <w:rsid w:val="00285AF2"/>
    <w:rsid w:val="00285B9B"/>
    <w:rsid w:val="00286C2E"/>
    <w:rsid w:val="002872A3"/>
    <w:rsid w:val="00290862"/>
    <w:rsid w:val="00291587"/>
    <w:rsid w:val="00291717"/>
    <w:rsid w:val="00291955"/>
    <w:rsid w:val="00291E71"/>
    <w:rsid w:val="00292961"/>
    <w:rsid w:val="00293A68"/>
    <w:rsid w:val="00293DDA"/>
    <w:rsid w:val="002943FE"/>
    <w:rsid w:val="00294431"/>
    <w:rsid w:val="00294ABB"/>
    <w:rsid w:val="00294BF3"/>
    <w:rsid w:val="00294FEF"/>
    <w:rsid w:val="00296CAB"/>
    <w:rsid w:val="00296FEC"/>
    <w:rsid w:val="00297610"/>
    <w:rsid w:val="002977D1"/>
    <w:rsid w:val="00297848"/>
    <w:rsid w:val="00297F34"/>
    <w:rsid w:val="002A026C"/>
    <w:rsid w:val="002A0533"/>
    <w:rsid w:val="002A1BFE"/>
    <w:rsid w:val="002A2627"/>
    <w:rsid w:val="002A2FBF"/>
    <w:rsid w:val="002A37F7"/>
    <w:rsid w:val="002A3F3F"/>
    <w:rsid w:val="002A4015"/>
    <w:rsid w:val="002A47AA"/>
    <w:rsid w:val="002A4A56"/>
    <w:rsid w:val="002A5087"/>
    <w:rsid w:val="002A5F6E"/>
    <w:rsid w:val="002A5FA6"/>
    <w:rsid w:val="002A7E39"/>
    <w:rsid w:val="002B0481"/>
    <w:rsid w:val="002B0C2C"/>
    <w:rsid w:val="002B19FE"/>
    <w:rsid w:val="002B1E68"/>
    <w:rsid w:val="002B20D9"/>
    <w:rsid w:val="002B25BE"/>
    <w:rsid w:val="002B2655"/>
    <w:rsid w:val="002B280C"/>
    <w:rsid w:val="002B29F7"/>
    <w:rsid w:val="002B2A50"/>
    <w:rsid w:val="002B306D"/>
    <w:rsid w:val="002B35D1"/>
    <w:rsid w:val="002B3BD3"/>
    <w:rsid w:val="002B4831"/>
    <w:rsid w:val="002B54B6"/>
    <w:rsid w:val="002B5CD3"/>
    <w:rsid w:val="002B72F9"/>
    <w:rsid w:val="002B73B4"/>
    <w:rsid w:val="002B77BB"/>
    <w:rsid w:val="002B786F"/>
    <w:rsid w:val="002B7BD3"/>
    <w:rsid w:val="002C00B2"/>
    <w:rsid w:val="002C16A4"/>
    <w:rsid w:val="002C16B6"/>
    <w:rsid w:val="002C18ED"/>
    <w:rsid w:val="002C19FE"/>
    <w:rsid w:val="002C1C39"/>
    <w:rsid w:val="002C1D28"/>
    <w:rsid w:val="002C1E40"/>
    <w:rsid w:val="002C1EFA"/>
    <w:rsid w:val="002C2994"/>
    <w:rsid w:val="002C374A"/>
    <w:rsid w:val="002C3AC2"/>
    <w:rsid w:val="002C3FDD"/>
    <w:rsid w:val="002C4753"/>
    <w:rsid w:val="002C4A45"/>
    <w:rsid w:val="002C4D22"/>
    <w:rsid w:val="002C5B20"/>
    <w:rsid w:val="002C6377"/>
    <w:rsid w:val="002C63E3"/>
    <w:rsid w:val="002C6418"/>
    <w:rsid w:val="002C6AD2"/>
    <w:rsid w:val="002C7425"/>
    <w:rsid w:val="002C77C8"/>
    <w:rsid w:val="002C7D88"/>
    <w:rsid w:val="002C7DAF"/>
    <w:rsid w:val="002D049B"/>
    <w:rsid w:val="002D0907"/>
    <w:rsid w:val="002D09BE"/>
    <w:rsid w:val="002D0B31"/>
    <w:rsid w:val="002D161A"/>
    <w:rsid w:val="002D1780"/>
    <w:rsid w:val="002D181F"/>
    <w:rsid w:val="002D1868"/>
    <w:rsid w:val="002D2784"/>
    <w:rsid w:val="002D27EE"/>
    <w:rsid w:val="002D3257"/>
    <w:rsid w:val="002D3B63"/>
    <w:rsid w:val="002D4430"/>
    <w:rsid w:val="002D523A"/>
    <w:rsid w:val="002D56A6"/>
    <w:rsid w:val="002D59D6"/>
    <w:rsid w:val="002D5A0A"/>
    <w:rsid w:val="002D5CFD"/>
    <w:rsid w:val="002D7985"/>
    <w:rsid w:val="002D7A03"/>
    <w:rsid w:val="002E023D"/>
    <w:rsid w:val="002E03D4"/>
    <w:rsid w:val="002E06A9"/>
    <w:rsid w:val="002E0ADD"/>
    <w:rsid w:val="002E0EFF"/>
    <w:rsid w:val="002E1022"/>
    <w:rsid w:val="002E135D"/>
    <w:rsid w:val="002E19F4"/>
    <w:rsid w:val="002E2DE8"/>
    <w:rsid w:val="002E39A9"/>
    <w:rsid w:val="002E3D76"/>
    <w:rsid w:val="002E4B7E"/>
    <w:rsid w:val="002E4D14"/>
    <w:rsid w:val="002E501F"/>
    <w:rsid w:val="002E50E1"/>
    <w:rsid w:val="002E56F0"/>
    <w:rsid w:val="002E5855"/>
    <w:rsid w:val="002E5AEC"/>
    <w:rsid w:val="002E60AF"/>
    <w:rsid w:val="002E61F0"/>
    <w:rsid w:val="002E6786"/>
    <w:rsid w:val="002E6949"/>
    <w:rsid w:val="002E6C0B"/>
    <w:rsid w:val="002E6D80"/>
    <w:rsid w:val="002E6F18"/>
    <w:rsid w:val="002E7D86"/>
    <w:rsid w:val="002F013F"/>
    <w:rsid w:val="002F04DB"/>
    <w:rsid w:val="002F052A"/>
    <w:rsid w:val="002F0989"/>
    <w:rsid w:val="002F0B17"/>
    <w:rsid w:val="002F116A"/>
    <w:rsid w:val="002F1704"/>
    <w:rsid w:val="002F22CC"/>
    <w:rsid w:val="002F2333"/>
    <w:rsid w:val="002F2B20"/>
    <w:rsid w:val="002F2F28"/>
    <w:rsid w:val="002F36E4"/>
    <w:rsid w:val="002F381A"/>
    <w:rsid w:val="002F3D2D"/>
    <w:rsid w:val="002F3E88"/>
    <w:rsid w:val="002F3FBC"/>
    <w:rsid w:val="002F4BFC"/>
    <w:rsid w:val="002F4CA3"/>
    <w:rsid w:val="002F4E98"/>
    <w:rsid w:val="002F51EB"/>
    <w:rsid w:val="002F5B55"/>
    <w:rsid w:val="002F5E34"/>
    <w:rsid w:val="002F6128"/>
    <w:rsid w:val="002F6541"/>
    <w:rsid w:val="002F68BE"/>
    <w:rsid w:val="002F6A03"/>
    <w:rsid w:val="002F6B14"/>
    <w:rsid w:val="002F6EA0"/>
    <w:rsid w:val="002F6EA5"/>
    <w:rsid w:val="002F7413"/>
    <w:rsid w:val="002F7D40"/>
    <w:rsid w:val="002F7EDA"/>
    <w:rsid w:val="002F7F34"/>
    <w:rsid w:val="00300000"/>
    <w:rsid w:val="003001BD"/>
    <w:rsid w:val="00300749"/>
    <w:rsid w:val="00300C38"/>
    <w:rsid w:val="00300CDF"/>
    <w:rsid w:val="00301033"/>
    <w:rsid w:val="00301506"/>
    <w:rsid w:val="0030198A"/>
    <w:rsid w:val="00301C97"/>
    <w:rsid w:val="00301E52"/>
    <w:rsid w:val="0030225F"/>
    <w:rsid w:val="003022BA"/>
    <w:rsid w:val="00302BD3"/>
    <w:rsid w:val="00302F47"/>
    <w:rsid w:val="00303067"/>
    <w:rsid w:val="00303E77"/>
    <w:rsid w:val="00303EB5"/>
    <w:rsid w:val="00303F6D"/>
    <w:rsid w:val="003045EE"/>
    <w:rsid w:val="00304EA6"/>
    <w:rsid w:val="00304FB1"/>
    <w:rsid w:val="00305088"/>
    <w:rsid w:val="00305290"/>
    <w:rsid w:val="00305CF6"/>
    <w:rsid w:val="00305E76"/>
    <w:rsid w:val="0030669D"/>
    <w:rsid w:val="00306FDD"/>
    <w:rsid w:val="00307181"/>
    <w:rsid w:val="00307406"/>
    <w:rsid w:val="003076AB"/>
    <w:rsid w:val="00307ACF"/>
    <w:rsid w:val="00307C29"/>
    <w:rsid w:val="00310D46"/>
    <w:rsid w:val="00311AE3"/>
    <w:rsid w:val="00311ED9"/>
    <w:rsid w:val="00311F07"/>
    <w:rsid w:val="003125CE"/>
    <w:rsid w:val="00312AEA"/>
    <w:rsid w:val="00312F98"/>
    <w:rsid w:val="00313285"/>
    <w:rsid w:val="003133C5"/>
    <w:rsid w:val="00313BD8"/>
    <w:rsid w:val="00313CFF"/>
    <w:rsid w:val="003140DE"/>
    <w:rsid w:val="003148E8"/>
    <w:rsid w:val="00314A55"/>
    <w:rsid w:val="00314F2C"/>
    <w:rsid w:val="003153C5"/>
    <w:rsid w:val="00315FFB"/>
    <w:rsid w:val="003167B2"/>
    <w:rsid w:val="0031681C"/>
    <w:rsid w:val="00316B4B"/>
    <w:rsid w:val="00317B98"/>
    <w:rsid w:val="00317C0B"/>
    <w:rsid w:val="003202AE"/>
    <w:rsid w:val="0032056D"/>
    <w:rsid w:val="003209BD"/>
    <w:rsid w:val="00320B33"/>
    <w:rsid w:val="0032102A"/>
    <w:rsid w:val="003210CB"/>
    <w:rsid w:val="003214FA"/>
    <w:rsid w:val="0032168B"/>
    <w:rsid w:val="0032268A"/>
    <w:rsid w:val="00322786"/>
    <w:rsid w:val="00322BFC"/>
    <w:rsid w:val="00323B8C"/>
    <w:rsid w:val="00323CBF"/>
    <w:rsid w:val="00323E13"/>
    <w:rsid w:val="00324A7E"/>
    <w:rsid w:val="00324B97"/>
    <w:rsid w:val="003250DD"/>
    <w:rsid w:val="003255E3"/>
    <w:rsid w:val="00325683"/>
    <w:rsid w:val="00325A44"/>
    <w:rsid w:val="00326C4F"/>
    <w:rsid w:val="00327AF7"/>
    <w:rsid w:val="00327B4D"/>
    <w:rsid w:val="00327E96"/>
    <w:rsid w:val="00330CD9"/>
    <w:rsid w:val="00330D0D"/>
    <w:rsid w:val="00330D81"/>
    <w:rsid w:val="0033109C"/>
    <w:rsid w:val="003315A9"/>
    <w:rsid w:val="00331834"/>
    <w:rsid w:val="00331A63"/>
    <w:rsid w:val="003328CB"/>
    <w:rsid w:val="00332AE7"/>
    <w:rsid w:val="00332D05"/>
    <w:rsid w:val="00333335"/>
    <w:rsid w:val="0033397E"/>
    <w:rsid w:val="00333C52"/>
    <w:rsid w:val="0033426C"/>
    <w:rsid w:val="0033438E"/>
    <w:rsid w:val="00334CA8"/>
    <w:rsid w:val="00334D80"/>
    <w:rsid w:val="00334EDD"/>
    <w:rsid w:val="00335725"/>
    <w:rsid w:val="00335C71"/>
    <w:rsid w:val="00336920"/>
    <w:rsid w:val="00340320"/>
    <w:rsid w:val="0034053B"/>
    <w:rsid w:val="0034153E"/>
    <w:rsid w:val="0034168A"/>
    <w:rsid w:val="00342412"/>
    <w:rsid w:val="00342954"/>
    <w:rsid w:val="00342B3B"/>
    <w:rsid w:val="00342C21"/>
    <w:rsid w:val="00342ECD"/>
    <w:rsid w:val="00342FBC"/>
    <w:rsid w:val="003431E1"/>
    <w:rsid w:val="003434EE"/>
    <w:rsid w:val="00343A3B"/>
    <w:rsid w:val="003440ED"/>
    <w:rsid w:val="003446CB"/>
    <w:rsid w:val="00345151"/>
    <w:rsid w:val="003451F0"/>
    <w:rsid w:val="00345BDA"/>
    <w:rsid w:val="00345BF4"/>
    <w:rsid w:val="00345C00"/>
    <w:rsid w:val="003464C3"/>
    <w:rsid w:val="003464DE"/>
    <w:rsid w:val="003467BB"/>
    <w:rsid w:val="003467EA"/>
    <w:rsid w:val="003470E4"/>
    <w:rsid w:val="00347500"/>
    <w:rsid w:val="00347923"/>
    <w:rsid w:val="00347C21"/>
    <w:rsid w:val="003500D1"/>
    <w:rsid w:val="00350199"/>
    <w:rsid w:val="0035021B"/>
    <w:rsid w:val="00350399"/>
    <w:rsid w:val="00350721"/>
    <w:rsid w:val="00350FCB"/>
    <w:rsid w:val="00351083"/>
    <w:rsid w:val="0035122A"/>
    <w:rsid w:val="003516B8"/>
    <w:rsid w:val="00351F58"/>
    <w:rsid w:val="00351FE6"/>
    <w:rsid w:val="00352828"/>
    <w:rsid w:val="00353227"/>
    <w:rsid w:val="00353391"/>
    <w:rsid w:val="00353D7D"/>
    <w:rsid w:val="00353E5D"/>
    <w:rsid w:val="00354083"/>
    <w:rsid w:val="003541FF"/>
    <w:rsid w:val="003548C0"/>
    <w:rsid w:val="003548FB"/>
    <w:rsid w:val="0035493D"/>
    <w:rsid w:val="00355449"/>
    <w:rsid w:val="00356111"/>
    <w:rsid w:val="003563F9"/>
    <w:rsid w:val="00356810"/>
    <w:rsid w:val="00357377"/>
    <w:rsid w:val="003573F3"/>
    <w:rsid w:val="003576A9"/>
    <w:rsid w:val="003579C6"/>
    <w:rsid w:val="00357C97"/>
    <w:rsid w:val="00357CCA"/>
    <w:rsid w:val="00360421"/>
    <w:rsid w:val="0036063B"/>
    <w:rsid w:val="00360A3F"/>
    <w:rsid w:val="00360B1E"/>
    <w:rsid w:val="00360E96"/>
    <w:rsid w:val="003612F1"/>
    <w:rsid w:val="003617E5"/>
    <w:rsid w:val="003618B3"/>
    <w:rsid w:val="003619F2"/>
    <w:rsid w:val="00361C2B"/>
    <w:rsid w:val="00361DA0"/>
    <w:rsid w:val="00362C92"/>
    <w:rsid w:val="003632C4"/>
    <w:rsid w:val="003634B4"/>
    <w:rsid w:val="0036409C"/>
    <w:rsid w:val="00364348"/>
    <w:rsid w:val="003649C1"/>
    <w:rsid w:val="00364CFF"/>
    <w:rsid w:val="00364D1A"/>
    <w:rsid w:val="003655F9"/>
    <w:rsid w:val="00365A77"/>
    <w:rsid w:val="00365E5A"/>
    <w:rsid w:val="00366863"/>
    <w:rsid w:val="00366F94"/>
    <w:rsid w:val="0036731C"/>
    <w:rsid w:val="003703D6"/>
    <w:rsid w:val="003703EA"/>
    <w:rsid w:val="003709B4"/>
    <w:rsid w:val="00371035"/>
    <w:rsid w:val="00371183"/>
    <w:rsid w:val="003713FB"/>
    <w:rsid w:val="00371425"/>
    <w:rsid w:val="00371514"/>
    <w:rsid w:val="0037179D"/>
    <w:rsid w:val="00371867"/>
    <w:rsid w:val="00372018"/>
    <w:rsid w:val="0037257E"/>
    <w:rsid w:val="00372868"/>
    <w:rsid w:val="00372DE4"/>
    <w:rsid w:val="0037308E"/>
    <w:rsid w:val="003732A1"/>
    <w:rsid w:val="00373D9D"/>
    <w:rsid w:val="00373FD9"/>
    <w:rsid w:val="00374109"/>
    <w:rsid w:val="003745F8"/>
    <w:rsid w:val="00375ECB"/>
    <w:rsid w:val="003765B5"/>
    <w:rsid w:val="00377075"/>
    <w:rsid w:val="00377BAB"/>
    <w:rsid w:val="00377DCD"/>
    <w:rsid w:val="00377F78"/>
    <w:rsid w:val="0038026B"/>
    <w:rsid w:val="0038064E"/>
    <w:rsid w:val="00380C3B"/>
    <w:rsid w:val="0038122A"/>
    <w:rsid w:val="0038210F"/>
    <w:rsid w:val="003823D5"/>
    <w:rsid w:val="00382DCB"/>
    <w:rsid w:val="003834EB"/>
    <w:rsid w:val="0038364B"/>
    <w:rsid w:val="003837CB"/>
    <w:rsid w:val="00383919"/>
    <w:rsid w:val="00383D26"/>
    <w:rsid w:val="003845C4"/>
    <w:rsid w:val="00385251"/>
    <w:rsid w:val="003854C9"/>
    <w:rsid w:val="00385AC1"/>
    <w:rsid w:val="0038614D"/>
    <w:rsid w:val="00386544"/>
    <w:rsid w:val="00386F7E"/>
    <w:rsid w:val="00387623"/>
    <w:rsid w:val="00387B7E"/>
    <w:rsid w:val="00387CCA"/>
    <w:rsid w:val="00390609"/>
    <w:rsid w:val="00390E3E"/>
    <w:rsid w:val="003913AA"/>
    <w:rsid w:val="00391ACD"/>
    <w:rsid w:val="00393273"/>
    <w:rsid w:val="00393FCD"/>
    <w:rsid w:val="00394559"/>
    <w:rsid w:val="0039477A"/>
    <w:rsid w:val="00394EE9"/>
    <w:rsid w:val="00395097"/>
    <w:rsid w:val="0039528C"/>
    <w:rsid w:val="0039569B"/>
    <w:rsid w:val="00395CE0"/>
    <w:rsid w:val="00395E21"/>
    <w:rsid w:val="00396173"/>
    <w:rsid w:val="00396EDF"/>
    <w:rsid w:val="00396FE7"/>
    <w:rsid w:val="00397719"/>
    <w:rsid w:val="0039780A"/>
    <w:rsid w:val="0039784C"/>
    <w:rsid w:val="00397D3F"/>
    <w:rsid w:val="00397DCB"/>
    <w:rsid w:val="003A0319"/>
    <w:rsid w:val="003A04A2"/>
    <w:rsid w:val="003A0832"/>
    <w:rsid w:val="003A097D"/>
    <w:rsid w:val="003A17A2"/>
    <w:rsid w:val="003A372B"/>
    <w:rsid w:val="003A3EBD"/>
    <w:rsid w:val="003A3F76"/>
    <w:rsid w:val="003A3FA6"/>
    <w:rsid w:val="003A4164"/>
    <w:rsid w:val="003A43DE"/>
    <w:rsid w:val="003A4BA7"/>
    <w:rsid w:val="003A4C2B"/>
    <w:rsid w:val="003A511A"/>
    <w:rsid w:val="003A54E9"/>
    <w:rsid w:val="003A58E5"/>
    <w:rsid w:val="003A5A62"/>
    <w:rsid w:val="003A6733"/>
    <w:rsid w:val="003A6947"/>
    <w:rsid w:val="003B01C3"/>
    <w:rsid w:val="003B0386"/>
    <w:rsid w:val="003B0C01"/>
    <w:rsid w:val="003B0FD4"/>
    <w:rsid w:val="003B1679"/>
    <w:rsid w:val="003B1942"/>
    <w:rsid w:val="003B1E31"/>
    <w:rsid w:val="003B1FAD"/>
    <w:rsid w:val="003B226F"/>
    <w:rsid w:val="003B25D3"/>
    <w:rsid w:val="003B2FCE"/>
    <w:rsid w:val="003B3218"/>
    <w:rsid w:val="003B3397"/>
    <w:rsid w:val="003B3815"/>
    <w:rsid w:val="003B4444"/>
    <w:rsid w:val="003B4481"/>
    <w:rsid w:val="003B4D49"/>
    <w:rsid w:val="003B4D74"/>
    <w:rsid w:val="003B512A"/>
    <w:rsid w:val="003B54E2"/>
    <w:rsid w:val="003B5595"/>
    <w:rsid w:val="003B66A5"/>
    <w:rsid w:val="003B6CE3"/>
    <w:rsid w:val="003B6DBA"/>
    <w:rsid w:val="003B6FB7"/>
    <w:rsid w:val="003B6FC2"/>
    <w:rsid w:val="003B72E5"/>
    <w:rsid w:val="003B7B6D"/>
    <w:rsid w:val="003C00D3"/>
    <w:rsid w:val="003C059C"/>
    <w:rsid w:val="003C0857"/>
    <w:rsid w:val="003C0F17"/>
    <w:rsid w:val="003C1B10"/>
    <w:rsid w:val="003C20FA"/>
    <w:rsid w:val="003C3634"/>
    <w:rsid w:val="003C3B97"/>
    <w:rsid w:val="003C3FB8"/>
    <w:rsid w:val="003C5DC5"/>
    <w:rsid w:val="003C6B87"/>
    <w:rsid w:val="003C7524"/>
    <w:rsid w:val="003C7614"/>
    <w:rsid w:val="003C7818"/>
    <w:rsid w:val="003D0239"/>
    <w:rsid w:val="003D07E9"/>
    <w:rsid w:val="003D0A28"/>
    <w:rsid w:val="003D0F7B"/>
    <w:rsid w:val="003D104C"/>
    <w:rsid w:val="003D1095"/>
    <w:rsid w:val="003D13A9"/>
    <w:rsid w:val="003D1939"/>
    <w:rsid w:val="003D2451"/>
    <w:rsid w:val="003D2E95"/>
    <w:rsid w:val="003D2F8C"/>
    <w:rsid w:val="003D33B5"/>
    <w:rsid w:val="003D3866"/>
    <w:rsid w:val="003D3A44"/>
    <w:rsid w:val="003D3C76"/>
    <w:rsid w:val="003D3CDB"/>
    <w:rsid w:val="003D44C4"/>
    <w:rsid w:val="003D4566"/>
    <w:rsid w:val="003D45E5"/>
    <w:rsid w:val="003D4B16"/>
    <w:rsid w:val="003D5361"/>
    <w:rsid w:val="003D595B"/>
    <w:rsid w:val="003D5A49"/>
    <w:rsid w:val="003D5B31"/>
    <w:rsid w:val="003D5D32"/>
    <w:rsid w:val="003D6185"/>
    <w:rsid w:val="003D675C"/>
    <w:rsid w:val="003D6EA5"/>
    <w:rsid w:val="003D71E5"/>
    <w:rsid w:val="003E0C77"/>
    <w:rsid w:val="003E14CA"/>
    <w:rsid w:val="003E1FBF"/>
    <w:rsid w:val="003E264D"/>
    <w:rsid w:val="003E3165"/>
    <w:rsid w:val="003E3168"/>
    <w:rsid w:val="003E4067"/>
    <w:rsid w:val="003E4144"/>
    <w:rsid w:val="003E4297"/>
    <w:rsid w:val="003E435D"/>
    <w:rsid w:val="003E492F"/>
    <w:rsid w:val="003E6120"/>
    <w:rsid w:val="003E617D"/>
    <w:rsid w:val="003E64B4"/>
    <w:rsid w:val="003E6A16"/>
    <w:rsid w:val="003E76D3"/>
    <w:rsid w:val="003F01F0"/>
    <w:rsid w:val="003F110F"/>
    <w:rsid w:val="003F1463"/>
    <w:rsid w:val="003F1810"/>
    <w:rsid w:val="003F1BE9"/>
    <w:rsid w:val="003F2B0D"/>
    <w:rsid w:val="003F311B"/>
    <w:rsid w:val="003F31E7"/>
    <w:rsid w:val="003F42EA"/>
    <w:rsid w:val="003F462E"/>
    <w:rsid w:val="003F5807"/>
    <w:rsid w:val="003F5C1F"/>
    <w:rsid w:val="003F750D"/>
    <w:rsid w:val="004001B3"/>
    <w:rsid w:val="004002BF"/>
    <w:rsid w:val="00400335"/>
    <w:rsid w:val="00400B15"/>
    <w:rsid w:val="00400B82"/>
    <w:rsid w:val="00400EC8"/>
    <w:rsid w:val="0040102E"/>
    <w:rsid w:val="004012C2"/>
    <w:rsid w:val="00401483"/>
    <w:rsid w:val="004018D2"/>
    <w:rsid w:val="00401AEB"/>
    <w:rsid w:val="00402C97"/>
    <w:rsid w:val="00402D6A"/>
    <w:rsid w:val="00403444"/>
    <w:rsid w:val="00403CB4"/>
    <w:rsid w:val="00404CAC"/>
    <w:rsid w:val="00404F60"/>
    <w:rsid w:val="00406654"/>
    <w:rsid w:val="004066AC"/>
    <w:rsid w:val="00406793"/>
    <w:rsid w:val="004067BC"/>
    <w:rsid w:val="0040764D"/>
    <w:rsid w:val="00407971"/>
    <w:rsid w:val="00407EA6"/>
    <w:rsid w:val="0041051B"/>
    <w:rsid w:val="004105B1"/>
    <w:rsid w:val="00410A92"/>
    <w:rsid w:val="00410A95"/>
    <w:rsid w:val="00410ED3"/>
    <w:rsid w:val="0041105A"/>
    <w:rsid w:val="00411561"/>
    <w:rsid w:val="00411B40"/>
    <w:rsid w:val="00411CD0"/>
    <w:rsid w:val="004120E3"/>
    <w:rsid w:val="00412112"/>
    <w:rsid w:val="004121F7"/>
    <w:rsid w:val="004128B3"/>
    <w:rsid w:val="004128BC"/>
    <w:rsid w:val="00412AD2"/>
    <w:rsid w:val="00412FC8"/>
    <w:rsid w:val="0041313D"/>
    <w:rsid w:val="00413476"/>
    <w:rsid w:val="004138E2"/>
    <w:rsid w:val="00413F16"/>
    <w:rsid w:val="00414862"/>
    <w:rsid w:val="00414B85"/>
    <w:rsid w:val="00414DD5"/>
    <w:rsid w:val="0041515F"/>
    <w:rsid w:val="00415182"/>
    <w:rsid w:val="004154FE"/>
    <w:rsid w:val="00415696"/>
    <w:rsid w:val="0041572D"/>
    <w:rsid w:val="004166D2"/>
    <w:rsid w:val="0041672E"/>
    <w:rsid w:val="00416B27"/>
    <w:rsid w:val="0041702A"/>
    <w:rsid w:val="00417826"/>
    <w:rsid w:val="00417A9A"/>
    <w:rsid w:val="00417D3C"/>
    <w:rsid w:val="0042087D"/>
    <w:rsid w:val="0042093D"/>
    <w:rsid w:val="00421FC8"/>
    <w:rsid w:val="00422527"/>
    <w:rsid w:val="00422BE1"/>
    <w:rsid w:val="00422E03"/>
    <w:rsid w:val="00423170"/>
    <w:rsid w:val="004234ED"/>
    <w:rsid w:val="00423881"/>
    <w:rsid w:val="0042492F"/>
    <w:rsid w:val="00424AEA"/>
    <w:rsid w:val="00424E8B"/>
    <w:rsid w:val="0042588D"/>
    <w:rsid w:val="004269CE"/>
    <w:rsid w:val="00426D00"/>
    <w:rsid w:val="00427422"/>
    <w:rsid w:val="00427B1E"/>
    <w:rsid w:val="004307EF"/>
    <w:rsid w:val="00430895"/>
    <w:rsid w:val="00430C3B"/>
    <w:rsid w:val="00430CF6"/>
    <w:rsid w:val="00431084"/>
    <w:rsid w:val="004319E2"/>
    <w:rsid w:val="00431E04"/>
    <w:rsid w:val="004320B0"/>
    <w:rsid w:val="00432AC3"/>
    <w:rsid w:val="00432B0D"/>
    <w:rsid w:val="0043378F"/>
    <w:rsid w:val="00433A60"/>
    <w:rsid w:val="00433B97"/>
    <w:rsid w:val="00434C6C"/>
    <w:rsid w:val="00434DA8"/>
    <w:rsid w:val="00434FEF"/>
    <w:rsid w:val="00435B7E"/>
    <w:rsid w:val="00436075"/>
    <w:rsid w:val="004361A9"/>
    <w:rsid w:val="00436580"/>
    <w:rsid w:val="00436DC7"/>
    <w:rsid w:val="00437201"/>
    <w:rsid w:val="00437386"/>
    <w:rsid w:val="004374AE"/>
    <w:rsid w:val="004406F6"/>
    <w:rsid w:val="00440C3E"/>
    <w:rsid w:val="00441566"/>
    <w:rsid w:val="0044194C"/>
    <w:rsid w:val="00442E4E"/>
    <w:rsid w:val="00442FD7"/>
    <w:rsid w:val="00443788"/>
    <w:rsid w:val="00444090"/>
    <w:rsid w:val="004441CC"/>
    <w:rsid w:val="004442E0"/>
    <w:rsid w:val="00444627"/>
    <w:rsid w:val="00444F52"/>
    <w:rsid w:val="004451F2"/>
    <w:rsid w:val="00445D8C"/>
    <w:rsid w:val="00446012"/>
    <w:rsid w:val="00446B38"/>
    <w:rsid w:val="00447AF2"/>
    <w:rsid w:val="00447E3E"/>
    <w:rsid w:val="00447F7A"/>
    <w:rsid w:val="00447FFD"/>
    <w:rsid w:val="0045031B"/>
    <w:rsid w:val="0045069A"/>
    <w:rsid w:val="00450A06"/>
    <w:rsid w:val="00450DE4"/>
    <w:rsid w:val="00451AE7"/>
    <w:rsid w:val="00451B18"/>
    <w:rsid w:val="00451D29"/>
    <w:rsid w:val="004523CC"/>
    <w:rsid w:val="0045263B"/>
    <w:rsid w:val="004534E3"/>
    <w:rsid w:val="004540F2"/>
    <w:rsid w:val="00454CE9"/>
    <w:rsid w:val="00455223"/>
    <w:rsid w:val="0045527D"/>
    <w:rsid w:val="00455E28"/>
    <w:rsid w:val="004563EE"/>
    <w:rsid w:val="0045656C"/>
    <w:rsid w:val="0045694F"/>
    <w:rsid w:val="00456FCB"/>
    <w:rsid w:val="004576E3"/>
    <w:rsid w:val="004578D5"/>
    <w:rsid w:val="00457A04"/>
    <w:rsid w:val="00457DDC"/>
    <w:rsid w:val="00457DF7"/>
    <w:rsid w:val="0046024B"/>
    <w:rsid w:val="00460486"/>
    <w:rsid w:val="00460898"/>
    <w:rsid w:val="00460DA4"/>
    <w:rsid w:val="004611C3"/>
    <w:rsid w:val="00461EF2"/>
    <w:rsid w:val="00462807"/>
    <w:rsid w:val="00462E2D"/>
    <w:rsid w:val="004640A2"/>
    <w:rsid w:val="0046427F"/>
    <w:rsid w:val="00464F84"/>
    <w:rsid w:val="004650B4"/>
    <w:rsid w:val="0046512F"/>
    <w:rsid w:val="00465214"/>
    <w:rsid w:val="00465247"/>
    <w:rsid w:val="00465381"/>
    <w:rsid w:val="004655CC"/>
    <w:rsid w:val="0046567D"/>
    <w:rsid w:val="00465708"/>
    <w:rsid w:val="00466076"/>
    <w:rsid w:val="00466657"/>
    <w:rsid w:val="004667F8"/>
    <w:rsid w:val="00466CD5"/>
    <w:rsid w:val="00466D56"/>
    <w:rsid w:val="00466E6A"/>
    <w:rsid w:val="00466FE2"/>
    <w:rsid w:val="00467367"/>
    <w:rsid w:val="004679E0"/>
    <w:rsid w:val="00467BC4"/>
    <w:rsid w:val="0047011D"/>
    <w:rsid w:val="0047028E"/>
    <w:rsid w:val="00470B8E"/>
    <w:rsid w:val="00471B93"/>
    <w:rsid w:val="00471FD8"/>
    <w:rsid w:val="0047256F"/>
    <w:rsid w:val="00472B4F"/>
    <w:rsid w:val="00473D9D"/>
    <w:rsid w:val="0047544C"/>
    <w:rsid w:val="004755EA"/>
    <w:rsid w:val="00475937"/>
    <w:rsid w:val="00475A6E"/>
    <w:rsid w:val="00475EF9"/>
    <w:rsid w:val="00476231"/>
    <w:rsid w:val="004766CF"/>
    <w:rsid w:val="00476790"/>
    <w:rsid w:val="00476C5E"/>
    <w:rsid w:val="00477221"/>
    <w:rsid w:val="00477474"/>
    <w:rsid w:val="0047754F"/>
    <w:rsid w:val="00477C83"/>
    <w:rsid w:val="00480427"/>
    <w:rsid w:val="00480BA1"/>
    <w:rsid w:val="00481B92"/>
    <w:rsid w:val="00482210"/>
    <w:rsid w:val="00482252"/>
    <w:rsid w:val="00483008"/>
    <w:rsid w:val="00483B05"/>
    <w:rsid w:val="00483CDB"/>
    <w:rsid w:val="004840EC"/>
    <w:rsid w:val="004841FF"/>
    <w:rsid w:val="0048433E"/>
    <w:rsid w:val="0048466D"/>
    <w:rsid w:val="00484B2F"/>
    <w:rsid w:val="0048512D"/>
    <w:rsid w:val="004851F7"/>
    <w:rsid w:val="00485858"/>
    <w:rsid w:val="00485C8A"/>
    <w:rsid w:val="00485C90"/>
    <w:rsid w:val="00486539"/>
    <w:rsid w:val="0048708B"/>
    <w:rsid w:val="004875B7"/>
    <w:rsid w:val="00487C94"/>
    <w:rsid w:val="00487CDE"/>
    <w:rsid w:val="00490752"/>
    <w:rsid w:val="00490AD5"/>
    <w:rsid w:val="00490F35"/>
    <w:rsid w:val="0049183F"/>
    <w:rsid w:val="0049190E"/>
    <w:rsid w:val="0049214D"/>
    <w:rsid w:val="004921D1"/>
    <w:rsid w:val="00493709"/>
    <w:rsid w:val="00493781"/>
    <w:rsid w:val="00493FE4"/>
    <w:rsid w:val="004941DF"/>
    <w:rsid w:val="00494FD9"/>
    <w:rsid w:val="004958D7"/>
    <w:rsid w:val="004959DF"/>
    <w:rsid w:val="00495A2A"/>
    <w:rsid w:val="00495D69"/>
    <w:rsid w:val="00495E2F"/>
    <w:rsid w:val="00496405"/>
    <w:rsid w:val="00496458"/>
    <w:rsid w:val="00496CF5"/>
    <w:rsid w:val="00496E6E"/>
    <w:rsid w:val="0049788E"/>
    <w:rsid w:val="004A057F"/>
    <w:rsid w:val="004A1DAA"/>
    <w:rsid w:val="004A245D"/>
    <w:rsid w:val="004A2C66"/>
    <w:rsid w:val="004A2F5A"/>
    <w:rsid w:val="004A3A0A"/>
    <w:rsid w:val="004A4874"/>
    <w:rsid w:val="004A6227"/>
    <w:rsid w:val="004A6B2D"/>
    <w:rsid w:val="004A6D6D"/>
    <w:rsid w:val="004A6FB1"/>
    <w:rsid w:val="004A7599"/>
    <w:rsid w:val="004A7629"/>
    <w:rsid w:val="004A767E"/>
    <w:rsid w:val="004A7EBB"/>
    <w:rsid w:val="004B022A"/>
    <w:rsid w:val="004B02D1"/>
    <w:rsid w:val="004B03B8"/>
    <w:rsid w:val="004B08CB"/>
    <w:rsid w:val="004B0C14"/>
    <w:rsid w:val="004B0CEB"/>
    <w:rsid w:val="004B1C8A"/>
    <w:rsid w:val="004B20B0"/>
    <w:rsid w:val="004B2D01"/>
    <w:rsid w:val="004B30B7"/>
    <w:rsid w:val="004B33FB"/>
    <w:rsid w:val="004B3D6E"/>
    <w:rsid w:val="004B4007"/>
    <w:rsid w:val="004B407A"/>
    <w:rsid w:val="004B47CD"/>
    <w:rsid w:val="004B5092"/>
    <w:rsid w:val="004B57F1"/>
    <w:rsid w:val="004B5E3D"/>
    <w:rsid w:val="004B67EE"/>
    <w:rsid w:val="004B6813"/>
    <w:rsid w:val="004B7418"/>
    <w:rsid w:val="004B7FAC"/>
    <w:rsid w:val="004C04AF"/>
    <w:rsid w:val="004C1430"/>
    <w:rsid w:val="004C1507"/>
    <w:rsid w:val="004C160D"/>
    <w:rsid w:val="004C1681"/>
    <w:rsid w:val="004C172C"/>
    <w:rsid w:val="004C1784"/>
    <w:rsid w:val="004C1AAD"/>
    <w:rsid w:val="004C214B"/>
    <w:rsid w:val="004C27E9"/>
    <w:rsid w:val="004C2EB1"/>
    <w:rsid w:val="004C30B0"/>
    <w:rsid w:val="004C39B9"/>
    <w:rsid w:val="004C3BD6"/>
    <w:rsid w:val="004C3DE8"/>
    <w:rsid w:val="004C40F3"/>
    <w:rsid w:val="004C467F"/>
    <w:rsid w:val="004C4B37"/>
    <w:rsid w:val="004C4E54"/>
    <w:rsid w:val="004C5261"/>
    <w:rsid w:val="004C57FD"/>
    <w:rsid w:val="004C5A43"/>
    <w:rsid w:val="004C5B79"/>
    <w:rsid w:val="004C67B4"/>
    <w:rsid w:val="004C7200"/>
    <w:rsid w:val="004C736D"/>
    <w:rsid w:val="004C77B3"/>
    <w:rsid w:val="004D02DC"/>
    <w:rsid w:val="004D04D0"/>
    <w:rsid w:val="004D0598"/>
    <w:rsid w:val="004D0B92"/>
    <w:rsid w:val="004D14E0"/>
    <w:rsid w:val="004D27D3"/>
    <w:rsid w:val="004D2A10"/>
    <w:rsid w:val="004D2B54"/>
    <w:rsid w:val="004D2C32"/>
    <w:rsid w:val="004D2C3D"/>
    <w:rsid w:val="004D3C1A"/>
    <w:rsid w:val="004D3DE3"/>
    <w:rsid w:val="004D3FF2"/>
    <w:rsid w:val="004D468F"/>
    <w:rsid w:val="004D48E0"/>
    <w:rsid w:val="004D4DF4"/>
    <w:rsid w:val="004D5750"/>
    <w:rsid w:val="004D5BC8"/>
    <w:rsid w:val="004D625A"/>
    <w:rsid w:val="004D7850"/>
    <w:rsid w:val="004D7B31"/>
    <w:rsid w:val="004E052D"/>
    <w:rsid w:val="004E088D"/>
    <w:rsid w:val="004E0FA5"/>
    <w:rsid w:val="004E235F"/>
    <w:rsid w:val="004E2F5F"/>
    <w:rsid w:val="004E3E3B"/>
    <w:rsid w:val="004E42AB"/>
    <w:rsid w:val="004E42B1"/>
    <w:rsid w:val="004E4B36"/>
    <w:rsid w:val="004E4C59"/>
    <w:rsid w:val="004E4F6A"/>
    <w:rsid w:val="004E5535"/>
    <w:rsid w:val="004E617B"/>
    <w:rsid w:val="004E6758"/>
    <w:rsid w:val="004E6A4B"/>
    <w:rsid w:val="004E6CE1"/>
    <w:rsid w:val="004E7B0B"/>
    <w:rsid w:val="004E7BA4"/>
    <w:rsid w:val="004E7EDA"/>
    <w:rsid w:val="004E7EFC"/>
    <w:rsid w:val="004F0324"/>
    <w:rsid w:val="004F1396"/>
    <w:rsid w:val="004F17BB"/>
    <w:rsid w:val="004F230C"/>
    <w:rsid w:val="004F2428"/>
    <w:rsid w:val="004F3203"/>
    <w:rsid w:val="004F328A"/>
    <w:rsid w:val="004F377D"/>
    <w:rsid w:val="004F3A1B"/>
    <w:rsid w:val="004F3A98"/>
    <w:rsid w:val="004F3AF8"/>
    <w:rsid w:val="004F42E5"/>
    <w:rsid w:val="004F4410"/>
    <w:rsid w:val="004F47BB"/>
    <w:rsid w:val="004F4D75"/>
    <w:rsid w:val="004F5DB4"/>
    <w:rsid w:val="004F60E9"/>
    <w:rsid w:val="004F645A"/>
    <w:rsid w:val="004F6668"/>
    <w:rsid w:val="004F6D84"/>
    <w:rsid w:val="004F7861"/>
    <w:rsid w:val="004F78E8"/>
    <w:rsid w:val="004F7EBE"/>
    <w:rsid w:val="00500054"/>
    <w:rsid w:val="00500686"/>
    <w:rsid w:val="00500E36"/>
    <w:rsid w:val="005013C3"/>
    <w:rsid w:val="00501489"/>
    <w:rsid w:val="005019FE"/>
    <w:rsid w:val="005029A0"/>
    <w:rsid w:val="00503306"/>
    <w:rsid w:val="0050337B"/>
    <w:rsid w:val="00503D72"/>
    <w:rsid w:val="00504285"/>
    <w:rsid w:val="005044C9"/>
    <w:rsid w:val="0050517D"/>
    <w:rsid w:val="00505507"/>
    <w:rsid w:val="0050567D"/>
    <w:rsid w:val="00505706"/>
    <w:rsid w:val="0050574A"/>
    <w:rsid w:val="005058E7"/>
    <w:rsid w:val="00505B99"/>
    <w:rsid w:val="00505BA0"/>
    <w:rsid w:val="00505E3D"/>
    <w:rsid w:val="0050671F"/>
    <w:rsid w:val="00506875"/>
    <w:rsid w:val="00506A75"/>
    <w:rsid w:val="00507201"/>
    <w:rsid w:val="00507B83"/>
    <w:rsid w:val="00507E09"/>
    <w:rsid w:val="0051025D"/>
    <w:rsid w:val="005110E3"/>
    <w:rsid w:val="005113EC"/>
    <w:rsid w:val="00511676"/>
    <w:rsid w:val="005117BB"/>
    <w:rsid w:val="00511C66"/>
    <w:rsid w:val="00511D91"/>
    <w:rsid w:val="00512018"/>
    <w:rsid w:val="0051322E"/>
    <w:rsid w:val="00513465"/>
    <w:rsid w:val="005136CB"/>
    <w:rsid w:val="0051452C"/>
    <w:rsid w:val="00514911"/>
    <w:rsid w:val="005149CA"/>
    <w:rsid w:val="00514FFB"/>
    <w:rsid w:val="005158DB"/>
    <w:rsid w:val="00515A6A"/>
    <w:rsid w:val="00515AC6"/>
    <w:rsid w:val="00516594"/>
    <w:rsid w:val="005168C6"/>
    <w:rsid w:val="00516F83"/>
    <w:rsid w:val="005170D5"/>
    <w:rsid w:val="0051783F"/>
    <w:rsid w:val="00520210"/>
    <w:rsid w:val="00520580"/>
    <w:rsid w:val="005219F8"/>
    <w:rsid w:val="00521B9C"/>
    <w:rsid w:val="0052334E"/>
    <w:rsid w:val="005236F3"/>
    <w:rsid w:val="00523BC5"/>
    <w:rsid w:val="00523C3C"/>
    <w:rsid w:val="00523DF9"/>
    <w:rsid w:val="005241E4"/>
    <w:rsid w:val="00524287"/>
    <w:rsid w:val="005248BE"/>
    <w:rsid w:val="00524B64"/>
    <w:rsid w:val="0052524D"/>
    <w:rsid w:val="0052530C"/>
    <w:rsid w:val="00525ADD"/>
    <w:rsid w:val="00526009"/>
    <w:rsid w:val="00526294"/>
    <w:rsid w:val="00527425"/>
    <w:rsid w:val="005278EE"/>
    <w:rsid w:val="00527C2C"/>
    <w:rsid w:val="00527F68"/>
    <w:rsid w:val="00527FDE"/>
    <w:rsid w:val="00530396"/>
    <w:rsid w:val="0053043C"/>
    <w:rsid w:val="00530619"/>
    <w:rsid w:val="00531460"/>
    <w:rsid w:val="00531910"/>
    <w:rsid w:val="005319E6"/>
    <w:rsid w:val="00531D94"/>
    <w:rsid w:val="005329A6"/>
    <w:rsid w:val="00532B8D"/>
    <w:rsid w:val="00533CA7"/>
    <w:rsid w:val="00533CC8"/>
    <w:rsid w:val="0053494E"/>
    <w:rsid w:val="00534C3C"/>
    <w:rsid w:val="00534CA5"/>
    <w:rsid w:val="00534D89"/>
    <w:rsid w:val="0053513D"/>
    <w:rsid w:val="00535364"/>
    <w:rsid w:val="00536AAF"/>
    <w:rsid w:val="005377DA"/>
    <w:rsid w:val="0054014D"/>
    <w:rsid w:val="00540610"/>
    <w:rsid w:val="00541326"/>
    <w:rsid w:val="005416A0"/>
    <w:rsid w:val="00541905"/>
    <w:rsid w:val="005419F8"/>
    <w:rsid w:val="005431F2"/>
    <w:rsid w:val="0054338A"/>
    <w:rsid w:val="005436DB"/>
    <w:rsid w:val="005437BD"/>
    <w:rsid w:val="0054413D"/>
    <w:rsid w:val="0054438E"/>
    <w:rsid w:val="00544487"/>
    <w:rsid w:val="00544F9E"/>
    <w:rsid w:val="00545D55"/>
    <w:rsid w:val="005465A6"/>
    <w:rsid w:val="00546EE1"/>
    <w:rsid w:val="0054725A"/>
    <w:rsid w:val="0054751F"/>
    <w:rsid w:val="005479EF"/>
    <w:rsid w:val="005502D8"/>
    <w:rsid w:val="00550F60"/>
    <w:rsid w:val="005525A9"/>
    <w:rsid w:val="00552C13"/>
    <w:rsid w:val="00552D28"/>
    <w:rsid w:val="0055370A"/>
    <w:rsid w:val="00553CBC"/>
    <w:rsid w:val="00554346"/>
    <w:rsid w:val="005544CD"/>
    <w:rsid w:val="00554ACA"/>
    <w:rsid w:val="00554AFA"/>
    <w:rsid w:val="00555419"/>
    <w:rsid w:val="00555734"/>
    <w:rsid w:val="00555E4E"/>
    <w:rsid w:val="00555EE1"/>
    <w:rsid w:val="005573EB"/>
    <w:rsid w:val="00557FD8"/>
    <w:rsid w:val="0056045D"/>
    <w:rsid w:val="0056093D"/>
    <w:rsid w:val="0056143D"/>
    <w:rsid w:val="00561A09"/>
    <w:rsid w:val="00561FF7"/>
    <w:rsid w:val="0056282E"/>
    <w:rsid w:val="00562D3D"/>
    <w:rsid w:val="005630A4"/>
    <w:rsid w:val="00563834"/>
    <w:rsid w:val="0056486A"/>
    <w:rsid w:val="005666C8"/>
    <w:rsid w:val="00566780"/>
    <w:rsid w:val="00567383"/>
    <w:rsid w:val="00567618"/>
    <w:rsid w:val="00567772"/>
    <w:rsid w:val="005677F9"/>
    <w:rsid w:val="00567E37"/>
    <w:rsid w:val="005701EE"/>
    <w:rsid w:val="00570B0B"/>
    <w:rsid w:val="00570C10"/>
    <w:rsid w:val="00570C3E"/>
    <w:rsid w:val="00571292"/>
    <w:rsid w:val="00571581"/>
    <w:rsid w:val="00571916"/>
    <w:rsid w:val="00572991"/>
    <w:rsid w:val="00573438"/>
    <w:rsid w:val="0057405D"/>
    <w:rsid w:val="00574326"/>
    <w:rsid w:val="005746B6"/>
    <w:rsid w:val="0057487B"/>
    <w:rsid w:val="00575029"/>
    <w:rsid w:val="00575706"/>
    <w:rsid w:val="00575DDA"/>
    <w:rsid w:val="00576243"/>
    <w:rsid w:val="0057625D"/>
    <w:rsid w:val="0057629B"/>
    <w:rsid w:val="00576A2C"/>
    <w:rsid w:val="0057786C"/>
    <w:rsid w:val="00577EA1"/>
    <w:rsid w:val="005804F7"/>
    <w:rsid w:val="005807FE"/>
    <w:rsid w:val="00580BE2"/>
    <w:rsid w:val="00581401"/>
    <w:rsid w:val="005816C1"/>
    <w:rsid w:val="00581835"/>
    <w:rsid w:val="00582406"/>
    <w:rsid w:val="00582438"/>
    <w:rsid w:val="005827B6"/>
    <w:rsid w:val="005830D6"/>
    <w:rsid w:val="005832A0"/>
    <w:rsid w:val="0058333B"/>
    <w:rsid w:val="00583401"/>
    <w:rsid w:val="00583B2F"/>
    <w:rsid w:val="00583F12"/>
    <w:rsid w:val="00584057"/>
    <w:rsid w:val="005842F3"/>
    <w:rsid w:val="00584C3B"/>
    <w:rsid w:val="00586FF2"/>
    <w:rsid w:val="00587410"/>
    <w:rsid w:val="00587D59"/>
    <w:rsid w:val="00591615"/>
    <w:rsid w:val="005918F0"/>
    <w:rsid w:val="00591C04"/>
    <w:rsid w:val="00592FA0"/>
    <w:rsid w:val="00593BA7"/>
    <w:rsid w:val="00593E75"/>
    <w:rsid w:val="0059476E"/>
    <w:rsid w:val="0059490A"/>
    <w:rsid w:val="00595B50"/>
    <w:rsid w:val="00595F04"/>
    <w:rsid w:val="00596507"/>
    <w:rsid w:val="0059676E"/>
    <w:rsid w:val="00596FFC"/>
    <w:rsid w:val="0059728A"/>
    <w:rsid w:val="0059734F"/>
    <w:rsid w:val="00597580"/>
    <w:rsid w:val="00597721"/>
    <w:rsid w:val="00597E1A"/>
    <w:rsid w:val="005A05AE"/>
    <w:rsid w:val="005A07A3"/>
    <w:rsid w:val="005A1712"/>
    <w:rsid w:val="005A17F7"/>
    <w:rsid w:val="005A1CEE"/>
    <w:rsid w:val="005A1FAD"/>
    <w:rsid w:val="005A2F4A"/>
    <w:rsid w:val="005A3057"/>
    <w:rsid w:val="005A35BA"/>
    <w:rsid w:val="005A364F"/>
    <w:rsid w:val="005A3C45"/>
    <w:rsid w:val="005A4049"/>
    <w:rsid w:val="005A4903"/>
    <w:rsid w:val="005A4D0F"/>
    <w:rsid w:val="005A507A"/>
    <w:rsid w:val="005A5326"/>
    <w:rsid w:val="005A54B6"/>
    <w:rsid w:val="005A5C97"/>
    <w:rsid w:val="005A77C6"/>
    <w:rsid w:val="005B07A0"/>
    <w:rsid w:val="005B0AE7"/>
    <w:rsid w:val="005B0CDC"/>
    <w:rsid w:val="005B1353"/>
    <w:rsid w:val="005B159B"/>
    <w:rsid w:val="005B16F7"/>
    <w:rsid w:val="005B1A17"/>
    <w:rsid w:val="005B1D05"/>
    <w:rsid w:val="005B1FFB"/>
    <w:rsid w:val="005B2703"/>
    <w:rsid w:val="005B3946"/>
    <w:rsid w:val="005B4319"/>
    <w:rsid w:val="005B5055"/>
    <w:rsid w:val="005B52F3"/>
    <w:rsid w:val="005B5EC6"/>
    <w:rsid w:val="005B6195"/>
    <w:rsid w:val="005B65DF"/>
    <w:rsid w:val="005B72A3"/>
    <w:rsid w:val="005B77F3"/>
    <w:rsid w:val="005B7A9E"/>
    <w:rsid w:val="005C0033"/>
    <w:rsid w:val="005C0404"/>
    <w:rsid w:val="005C0FA0"/>
    <w:rsid w:val="005C126E"/>
    <w:rsid w:val="005C128C"/>
    <w:rsid w:val="005C13AB"/>
    <w:rsid w:val="005C17CD"/>
    <w:rsid w:val="005C1BE5"/>
    <w:rsid w:val="005C1D39"/>
    <w:rsid w:val="005C1D4A"/>
    <w:rsid w:val="005C29FA"/>
    <w:rsid w:val="005C2FA8"/>
    <w:rsid w:val="005C3747"/>
    <w:rsid w:val="005C3A9E"/>
    <w:rsid w:val="005C3AF7"/>
    <w:rsid w:val="005C3C65"/>
    <w:rsid w:val="005C3D08"/>
    <w:rsid w:val="005C4717"/>
    <w:rsid w:val="005C4DEA"/>
    <w:rsid w:val="005C5A2F"/>
    <w:rsid w:val="005C5C40"/>
    <w:rsid w:val="005C610B"/>
    <w:rsid w:val="005C66EB"/>
    <w:rsid w:val="005C66ED"/>
    <w:rsid w:val="005C689C"/>
    <w:rsid w:val="005C6AA3"/>
    <w:rsid w:val="005C6AA8"/>
    <w:rsid w:val="005C6B54"/>
    <w:rsid w:val="005C6D64"/>
    <w:rsid w:val="005C6DB2"/>
    <w:rsid w:val="005C6F49"/>
    <w:rsid w:val="005C7019"/>
    <w:rsid w:val="005C7EAD"/>
    <w:rsid w:val="005D01BF"/>
    <w:rsid w:val="005D027A"/>
    <w:rsid w:val="005D0544"/>
    <w:rsid w:val="005D0AE6"/>
    <w:rsid w:val="005D1009"/>
    <w:rsid w:val="005D16DD"/>
    <w:rsid w:val="005D1706"/>
    <w:rsid w:val="005D1940"/>
    <w:rsid w:val="005D1D6E"/>
    <w:rsid w:val="005D2380"/>
    <w:rsid w:val="005D3AA4"/>
    <w:rsid w:val="005D3B44"/>
    <w:rsid w:val="005D3DB3"/>
    <w:rsid w:val="005D3E3D"/>
    <w:rsid w:val="005D3EE0"/>
    <w:rsid w:val="005D425D"/>
    <w:rsid w:val="005D46D0"/>
    <w:rsid w:val="005D488E"/>
    <w:rsid w:val="005D49A9"/>
    <w:rsid w:val="005D4B2B"/>
    <w:rsid w:val="005D5DBA"/>
    <w:rsid w:val="005D5E7E"/>
    <w:rsid w:val="005D60F4"/>
    <w:rsid w:val="005D6569"/>
    <w:rsid w:val="005D721B"/>
    <w:rsid w:val="005E00B0"/>
    <w:rsid w:val="005E06B0"/>
    <w:rsid w:val="005E0F1A"/>
    <w:rsid w:val="005E1600"/>
    <w:rsid w:val="005E164D"/>
    <w:rsid w:val="005E1A03"/>
    <w:rsid w:val="005E1FF0"/>
    <w:rsid w:val="005E2090"/>
    <w:rsid w:val="005E213B"/>
    <w:rsid w:val="005E35A7"/>
    <w:rsid w:val="005E42BC"/>
    <w:rsid w:val="005E5C58"/>
    <w:rsid w:val="005E6623"/>
    <w:rsid w:val="005E6763"/>
    <w:rsid w:val="005E77E3"/>
    <w:rsid w:val="005F080E"/>
    <w:rsid w:val="005F0CCF"/>
    <w:rsid w:val="005F17E9"/>
    <w:rsid w:val="005F2B3D"/>
    <w:rsid w:val="005F35CD"/>
    <w:rsid w:val="005F35EF"/>
    <w:rsid w:val="005F4D98"/>
    <w:rsid w:val="005F5ED4"/>
    <w:rsid w:val="005F62FB"/>
    <w:rsid w:val="005F6644"/>
    <w:rsid w:val="005F6CD5"/>
    <w:rsid w:val="005F6DD5"/>
    <w:rsid w:val="005F7510"/>
    <w:rsid w:val="005F7DA1"/>
    <w:rsid w:val="005F7F36"/>
    <w:rsid w:val="006005B3"/>
    <w:rsid w:val="00600A90"/>
    <w:rsid w:val="00600D58"/>
    <w:rsid w:val="00600E7A"/>
    <w:rsid w:val="006015FA"/>
    <w:rsid w:val="00601E80"/>
    <w:rsid w:val="006023B6"/>
    <w:rsid w:val="0060283C"/>
    <w:rsid w:val="00603417"/>
    <w:rsid w:val="00603449"/>
    <w:rsid w:val="00603844"/>
    <w:rsid w:val="00603D70"/>
    <w:rsid w:val="00603E29"/>
    <w:rsid w:val="006047F1"/>
    <w:rsid w:val="00605CDB"/>
    <w:rsid w:val="00606099"/>
    <w:rsid w:val="006068EE"/>
    <w:rsid w:val="00606A2D"/>
    <w:rsid w:val="00606D70"/>
    <w:rsid w:val="00606DAD"/>
    <w:rsid w:val="00607255"/>
    <w:rsid w:val="006072F3"/>
    <w:rsid w:val="0060768E"/>
    <w:rsid w:val="00607A29"/>
    <w:rsid w:val="00607EFD"/>
    <w:rsid w:val="006101FB"/>
    <w:rsid w:val="00610205"/>
    <w:rsid w:val="0061107F"/>
    <w:rsid w:val="00611E59"/>
    <w:rsid w:val="00612195"/>
    <w:rsid w:val="0061258D"/>
    <w:rsid w:val="00613429"/>
    <w:rsid w:val="0061360A"/>
    <w:rsid w:val="00613641"/>
    <w:rsid w:val="0061370E"/>
    <w:rsid w:val="00614405"/>
    <w:rsid w:val="006144C7"/>
    <w:rsid w:val="0061477F"/>
    <w:rsid w:val="006153D0"/>
    <w:rsid w:val="006157D0"/>
    <w:rsid w:val="00615979"/>
    <w:rsid w:val="00615E9F"/>
    <w:rsid w:val="0061604F"/>
    <w:rsid w:val="0061648C"/>
    <w:rsid w:val="00616753"/>
    <w:rsid w:val="00616DF4"/>
    <w:rsid w:val="00616EC9"/>
    <w:rsid w:val="006170A6"/>
    <w:rsid w:val="00617A39"/>
    <w:rsid w:val="00617C0D"/>
    <w:rsid w:val="00620539"/>
    <w:rsid w:val="00620D7D"/>
    <w:rsid w:val="00620FFB"/>
    <w:rsid w:val="006212F3"/>
    <w:rsid w:val="0062168E"/>
    <w:rsid w:val="00621709"/>
    <w:rsid w:val="0062179A"/>
    <w:rsid w:val="0062189C"/>
    <w:rsid w:val="00621A71"/>
    <w:rsid w:val="006226FC"/>
    <w:rsid w:val="00622881"/>
    <w:rsid w:val="00622EA2"/>
    <w:rsid w:val="00622EDD"/>
    <w:rsid w:val="00624224"/>
    <w:rsid w:val="0062456E"/>
    <w:rsid w:val="0062556E"/>
    <w:rsid w:val="006258F9"/>
    <w:rsid w:val="006260EE"/>
    <w:rsid w:val="0062684B"/>
    <w:rsid w:val="00626ABF"/>
    <w:rsid w:val="00626BD2"/>
    <w:rsid w:val="00626D6E"/>
    <w:rsid w:val="00627599"/>
    <w:rsid w:val="00627FD1"/>
    <w:rsid w:val="00630209"/>
    <w:rsid w:val="00630646"/>
    <w:rsid w:val="0063107E"/>
    <w:rsid w:val="0063182D"/>
    <w:rsid w:val="00631DA9"/>
    <w:rsid w:val="00631DED"/>
    <w:rsid w:val="006320AA"/>
    <w:rsid w:val="006322B7"/>
    <w:rsid w:val="006324EA"/>
    <w:rsid w:val="0063287C"/>
    <w:rsid w:val="00632D21"/>
    <w:rsid w:val="0063350E"/>
    <w:rsid w:val="0063355C"/>
    <w:rsid w:val="00634099"/>
    <w:rsid w:val="00634B84"/>
    <w:rsid w:val="006350B8"/>
    <w:rsid w:val="00635D92"/>
    <w:rsid w:val="006361DB"/>
    <w:rsid w:val="006363EC"/>
    <w:rsid w:val="006364A9"/>
    <w:rsid w:val="0063699F"/>
    <w:rsid w:val="00636BBA"/>
    <w:rsid w:val="00637798"/>
    <w:rsid w:val="006377B1"/>
    <w:rsid w:val="0063791C"/>
    <w:rsid w:val="006401CE"/>
    <w:rsid w:val="00640248"/>
    <w:rsid w:val="00640483"/>
    <w:rsid w:val="00640A21"/>
    <w:rsid w:val="00640C78"/>
    <w:rsid w:val="00640E31"/>
    <w:rsid w:val="006412B6"/>
    <w:rsid w:val="0064152F"/>
    <w:rsid w:val="00641BEE"/>
    <w:rsid w:val="006427FE"/>
    <w:rsid w:val="00643B08"/>
    <w:rsid w:val="00643C3E"/>
    <w:rsid w:val="00645464"/>
    <w:rsid w:val="006455DC"/>
    <w:rsid w:val="006458F3"/>
    <w:rsid w:val="00645B05"/>
    <w:rsid w:val="00645E1E"/>
    <w:rsid w:val="0064614B"/>
    <w:rsid w:val="00646A0C"/>
    <w:rsid w:val="00646E36"/>
    <w:rsid w:val="00650ACC"/>
    <w:rsid w:val="00650AF4"/>
    <w:rsid w:val="0065111C"/>
    <w:rsid w:val="00651C90"/>
    <w:rsid w:val="00652433"/>
    <w:rsid w:val="006525E6"/>
    <w:rsid w:val="00653E3F"/>
    <w:rsid w:val="0065448A"/>
    <w:rsid w:val="00654A6D"/>
    <w:rsid w:val="0065511C"/>
    <w:rsid w:val="0065548F"/>
    <w:rsid w:val="00657483"/>
    <w:rsid w:val="0066125C"/>
    <w:rsid w:val="00661793"/>
    <w:rsid w:val="00661880"/>
    <w:rsid w:val="00662340"/>
    <w:rsid w:val="00662513"/>
    <w:rsid w:val="006635FE"/>
    <w:rsid w:val="00663AC3"/>
    <w:rsid w:val="00663DB0"/>
    <w:rsid w:val="0066489D"/>
    <w:rsid w:val="00664BF1"/>
    <w:rsid w:val="00664D32"/>
    <w:rsid w:val="00664E68"/>
    <w:rsid w:val="006655BD"/>
    <w:rsid w:val="00665656"/>
    <w:rsid w:val="00665DFB"/>
    <w:rsid w:val="0066688A"/>
    <w:rsid w:val="006668F3"/>
    <w:rsid w:val="00666DE8"/>
    <w:rsid w:val="0066789E"/>
    <w:rsid w:val="00667BAB"/>
    <w:rsid w:val="00667C88"/>
    <w:rsid w:val="00667D71"/>
    <w:rsid w:val="00667FEA"/>
    <w:rsid w:val="006701FB"/>
    <w:rsid w:val="0067057B"/>
    <w:rsid w:val="00670689"/>
    <w:rsid w:val="0067093C"/>
    <w:rsid w:val="0067138E"/>
    <w:rsid w:val="00671EC8"/>
    <w:rsid w:val="0067277D"/>
    <w:rsid w:val="00672D70"/>
    <w:rsid w:val="00673886"/>
    <w:rsid w:val="006745D9"/>
    <w:rsid w:val="006753DC"/>
    <w:rsid w:val="00675539"/>
    <w:rsid w:val="00675658"/>
    <w:rsid w:val="006763BF"/>
    <w:rsid w:val="00676653"/>
    <w:rsid w:val="00677327"/>
    <w:rsid w:val="00677430"/>
    <w:rsid w:val="0068016A"/>
    <w:rsid w:val="006806E2"/>
    <w:rsid w:val="00681560"/>
    <w:rsid w:val="0068158B"/>
    <w:rsid w:val="00681648"/>
    <w:rsid w:val="00681A58"/>
    <w:rsid w:val="0068206E"/>
    <w:rsid w:val="006822C8"/>
    <w:rsid w:val="00682E7C"/>
    <w:rsid w:val="00682EBC"/>
    <w:rsid w:val="00683172"/>
    <w:rsid w:val="00683A3E"/>
    <w:rsid w:val="00684055"/>
    <w:rsid w:val="006846AB"/>
    <w:rsid w:val="006860AC"/>
    <w:rsid w:val="00686D0C"/>
    <w:rsid w:val="00686DCF"/>
    <w:rsid w:val="0068707F"/>
    <w:rsid w:val="00687110"/>
    <w:rsid w:val="0068729D"/>
    <w:rsid w:val="00687D6D"/>
    <w:rsid w:val="00687E1C"/>
    <w:rsid w:val="0069073D"/>
    <w:rsid w:val="006908E5"/>
    <w:rsid w:val="00691263"/>
    <w:rsid w:val="006916A1"/>
    <w:rsid w:val="0069195A"/>
    <w:rsid w:val="00691B24"/>
    <w:rsid w:val="00691E88"/>
    <w:rsid w:val="00692043"/>
    <w:rsid w:val="00692432"/>
    <w:rsid w:val="00692519"/>
    <w:rsid w:val="00692971"/>
    <w:rsid w:val="0069299D"/>
    <w:rsid w:val="0069304F"/>
    <w:rsid w:val="00693086"/>
    <w:rsid w:val="0069371F"/>
    <w:rsid w:val="0069428B"/>
    <w:rsid w:val="0069467E"/>
    <w:rsid w:val="00694A30"/>
    <w:rsid w:val="00694B90"/>
    <w:rsid w:val="0069556F"/>
    <w:rsid w:val="00696728"/>
    <w:rsid w:val="006968EB"/>
    <w:rsid w:val="00697456"/>
    <w:rsid w:val="00697F8A"/>
    <w:rsid w:val="006A0B51"/>
    <w:rsid w:val="006A0F3F"/>
    <w:rsid w:val="006A2191"/>
    <w:rsid w:val="006A25C2"/>
    <w:rsid w:val="006A35E9"/>
    <w:rsid w:val="006A4198"/>
    <w:rsid w:val="006A4348"/>
    <w:rsid w:val="006A43C2"/>
    <w:rsid w:val="006A484A"/>
    <w:rsid w:val="006A4BE5"/>
    <w:rsid w:val="006A4D01"/>
    <w:rsid w:val="006A63FB"/>
    <w:rsid w:val="006A6A1E"/>
    <w:rsid w:val="006A6A38"/>
    <w:rsid w:val="006A6F0F"/>
    <w:rsid w:val="006A7367"/>
    <w:rsid w:val="006A7890"/>
    <w:rsid w:val="006A78C3"/>
    <w:rsid w:val="006B01A1"/>
    <w:rsid w:val="006B02BB"/>
    <w:rsid w:val="006B0510"/>
    <w:rsid w:val="006B05B7"/>
    <w:rsid w:val="006B090C"/>
    <w:rsid w:val="006B1195"/>
    <w:rsid w:val="006B12FF"/>
    <w:rsid w:val="006B130E"/>
    <w:rsid w:val="006B1628"/>
    <w:rsid w:val="006B1D89"/>
    <w:rsid w:val="006B1E44"/>
    <w:rsid w:val="006B205B"/>
    <w:rsid w:val="006B2E19"/>
    <w:rsid w:val="006B31A2"/>
    <w:rsid w:val="006B35F6"/>
    <w:rsid w:val="006B3CAD"/>
    <w:rsid w:val="006B3D61"/>
    <w:rsid w:val="006B4057"/>
    <w:rsid w:val="006B4D84"/>
    <w:rsid w:val="006B4E9E"/>
    <w:rsid w:val="006B4FD0"/>
    <w:rsid w:val="006B587A"/>
    <w:rsid w:val="006B6278"/>
    <w:rsid w:val="006B65C2"/>
    <w:rsid w:val="006B78FE"/>
    <w:rsid w:val="006B7BA1"/>
    <w:rsid w:val="006C0372"/>
    <w:rsid w:val="006C0492"/>
    <w:rsid w:val="006C09B0"/>
    <w:rsid w:val="006C12F0"/>
    <w:rsid w:val="006C15B0"/>
    <w:rsid w:val="006C164E"/>
    <w:rsid w:val="006C1E10"/>
    <w:rsid w:val="006C2278"/>
    <w:rsid w:val="006C2595"/>
    <w:rsid w:val="006C29D7"/>
    <w:rsid w:val="006C2D58"/>
    <w:rsid w:val="006C3456"/>
    <w:rsid w:val="006C3B53"/>
    <w:rsid w:val="006C3ED3"/>
    <w:rsid w:val="006C3FCC"/>
    <w:rsid w:val="006C3FE0"/>
    <w:rsid w:val="006C483D"/>
    <w:rsid w:val="006C4968"/>
    <w:rsid w:val="006C4F7B"/>
    <w:rsid w:val="006C5041"/>
    <w:rsid w:val="006C56CF"/>
    <w:rsid w:val="006C5A92"/>
    <w:rsid w:val="006C6569"/>
    <w:rsid w:val="006C69C9"/>
    <w:rsid w:val="006C6D40"/>
    <w:rsid w:val="006C7243"/>
    <w:rsid w:val="006C79AB"/>
    <w:rsid w:val="006C7AC5"/>
    <w:rsid w:val="006C7F43"/>
    <w:rsid w:val="006D01DD"/>
    <w:rsid w:val="006D04BA"/>
    <w:rsid w:val="006D1AFA"/>
    <w:rsid w:val="006D1B10"/>
    <w:rsid w:val="006D317C"/>
    <w:rsid w:val="006D3251"/>
    <w:rsid w:val="006D35BF"/>
    <w:rsid w:val="006D3BD4"/>
    <w:rsid w:val="006D4685"/>
    <w:rsid w:val="006D4D2E"/>
    <w:rsid w:val="006D6774"/>
    <w:rsid w:val="006D7616"/>
    <w:rsid w:val="006D7861"/>
    <w:rsid w:val="006D7D1C"/>
    <w:rsid w:val="006E00BC"/>
    <w:rsid w:val="006E0EAE"/>
    <w:rsid w:val="006E0F38"/>
    <w:rsid w:val="006E10A2"/>
    <w:rsid w:val="006E1D89"/>
    <w:rsid w:val="006E214A"/>
    <w:rsid w:val="006E22A8"/>
    <w:rsid w:val="006E2B32"/>
    <w:rsid w:val="006E2DE1"/>
    <w:rsid w:val="006E3780"/>
    <w:rsid w:val="006E4686"/>
    <w:rsid w:val="006E475A"/>
    <w:rsid w:val="006E4ADF"/>
    <w:rsid w:val="006E4E86"/>
    <w:rsid w:val="006E5304"/>
    <w:rsid w:val="006E5872"/>
    <w:rsid w:val="006E6F3C"/>
    <w:rsid w:val="006E7BC9"/>
    <w:rsid w:val="006E7D98"/>
    <w:rsid w:val="006F0A63"/>
    <w:rsid w:val="006F0B5D"/>
    <w:rsid w:val="006F146F"/>
    <w:rsid w:val="006F2056"/>
    <w:rsid w:val="006F25C2"/>
    <w:rsid w:val="006F2C42"/>
    <w:rsid w:val="006F3044"/>
    <w:rsid w:val="006F3140"/>
    <w:rsid w:val="006F34A0"/>
    <w:rsid w:val="006F3E0C"/>
    <w:rsid w:val="006F4D85"/>
    <w:rsid w:val="006F4E0F"/>
    <w:rsid w:val="006F4E38"/>
    <w:rsid w:val="006F5846"/>
    <w:rsid w:val="006F5AA9"/>
    <w:rsid w:val="006F64B4"/>
    <w:rsid w:val="006F6677"/>
    <w:rsid w:val="006F6A4B"/>
    <w:rsid w:val="006F6A4F"/>
    <w:rsid w:val="006F73CD"/>
    <w:rsid w:val="006F7FC1"/>
    <w:rsid w:val="007000FB"/>
    <w:rsid w:val="0070044C"/>
    <w:rsid w:val="007008A0"/>
    <w:rsid w:val="00700E19"/>
    <w:rsid w:val="00700FC6"/>
    <w:rsid w:val="007011EF"/>
    <w:rsid w:val="00701240"/>
    <w:rsid w:val="0070196D"/>
    <w:rsid w:val="00701A76"/>
    <w:rsid w:val="00701B3D"/>
    <w:rsid w:val="00701BF7"/>
    <w:rsid w:val="00701FF8"/>
    <w:rsid w:val="00702682"/>
    <w:rsid w:val="0070356E"/>
    <w:rsid w:val="00703B26"/>
    <w:rsid w:val="00703DAC"/>
    <w:rsid w:val="00703F55"/>
    <w:rsid w:val="007044D5"/>
    <w:rsid w:val="00704B94"/>
    <w:rsid w:val="00706146"/>
    <w:rsid w:val="00706586"/>
    <w:rsid w:val="0070695E"/>
    <w:rsid w:val="007074DC"/>
    <w:rsid w:val="0070765D"/>
    <w:rsid w:val="007077F8"/>
    <w:rsid w:val="00707F07"/>
    <w:rsid w:val="0071010E"/>
    <w:rsid w:val="00710271"/>
    <w:rsid w:val="00710544"/>
    <w:rsid w:val="0071155B"/>
    <w:rsid w:val="00711C31"/>
    <w:rsid w:val="0071249A"/>
    <w:rsid w:val="00712740"/>
    <w:rsid w:val="0071279C"/>
    <w:rsid w:val="00713070"/>
    <w:rsid w:val="007137C5"/>
    <w:rsid w:val="00715243"/>
    <w:rsid w:val="00716323"/>
    <w:rsid w:val="00716654"/>
    <w:rsid w:val="007167A1"/>
    <w:rsid w:val="00716F17"/>
    <w:rsid w:val="007174D7"/>
    <w:rsid w:val="007179F6"/>
    <w:rsid w:val="00717EAD"/>
    <w:rsid w:val="007206AF"/>
    <w:rsid w:val="00721125"/>
    <w:rsid w:val="00721AE0"/>
    <w:rsid w:val="007220AE"/>
    <w:rsid w:val="00722370"/>
    <w:rsid w:val="00722815"/>
    <w:rsid w:val="00722D9B"/>
    <w:rsid w:val="00723449"/>
    <w:rsid w:val="0072363A"/>
    <w:rsid w:val="00723E0C"/>
    <w:rsid w:val="0072442B"/>
    <w:rsid w:val="00724536"/>
    <w:rsid w:val="0072453A"/>
    <w:rsid w:val="00724AF7"/>
    <w:rsid w:val="00724C8E"/>
    <w:rsid w:val="00724FFC"/>
    <w:rsid w:val="00725718"/>
    <w:rsid w:val="00725E96"/>
    <w:rsid w:val="007261B8"/>
    <w:rsid w:val="007268AF"/>
    <w:rsid w:val="007270AC"/>
    <w:rsid w:val="00727148"/>
    <w:rsid w:val="00727178"/>
    <w:rsid w:val="007272EE"/>
    <w:rsid w:val="00727592"/>
    <w:rsid w:val="0073088E"/>
    <w:rsid w:val="00730D40"/>
    <w:rsid w:val="00731152"/>
    <w:rsid w:val="007313EC"/>
    <w:rsid w:val="0073180E"/>
    <w:rsid w:val="00731ED9"/>
    <w:rsid w:val="0073269A"/>
    <w:rsid w:val="00732D2E"/>
    <w:rsid w:val="00732F31"/>
    <w:rsid w:val="00733147"/>
    <w:rsid w:val="007331C3"/>
    <w:rsid w:val="007338A7"/>
    <w:rsid w:val="00733E92"/>
    <w:rsid w:val="00734030"/>
    <w:rsid w:val="0073441D"/>
    <w:rsid w:val="0073476D"/>
    <w:rsid w:val="007348AE"/>
    <w:rsid w:val="007348B4"/>
    <w:rsid w:val="00734928"/>
    <w:rsid w:val="0073526E"/>
    <w:rsid w:val="00735D6A"/>
    <w:rsid w:val="00735F61"/>
    <w:rsid w:val="007362A7"/>
    <w:rsid w:val="00736538"/>
    <w:rsid w:val="00736E58"/>
    <w:rsid w:val="007371E2"/>
    <w:rsid w:val="00737FFE"/>
    <w:rsid w:val="00740C79"/>
    <w:rsid w:val="007413C1"/>
    <w:rsid w:val="007418C5"/>
    <w:rsid w:val="00742F2F"/>
    <w:rsid w:val="00743959"/>
    <w:rsid w:val="00744259"/>
    <w:rsid w:val="00744626"/>
    <w:rsid w:val="007450D0"/>
    <w:rsid w:val="007451AD"/>
    <w:rsid w:val="0074564C"/>
    <w:rsid w:val="007456BB"/>
    <w:rsid w:val="00745734"/>
    <w:rsid w:val="00745970"/>
    <w:rsid w:val="00745B7B"/>
    <w:rsid w:val="00746989"/>
    <w:rsid w:val="00746F9A"/>
    <w:rsid w:val="00746FCB"/>
    <w:rsid w:val="00747322"/>
    <w:rsid w:val="007475F8"/>
    <w:rsid w:val="00747697"/>
    <w:rsid w:val="00747AEF"/>
    <w:rsid w:val="0075085A"/>
    <w:rsid w:val="00750CCD"/>
    <w:rsid w:val="00751A8F"/>
    <w:rsid w:val="00751CCF"/>
    <w:rsid w:val="007525E2"/>
    <w:rsid w:val="007527A5"/>
    <w:rsid w:val="00752CCB"/>
    <w:rsid w:val="00752FD5"/>
    <w:rsid w:val="0075338A"/>
    <w:rsid w:val="0075444A"/>
    <w:rsid w:val="00754A39"/>
    <w:rsid w:val="00754B37"/>
    <w:rsid w:val="00754F7E"/>
    <w:rsid w:val="00754FA5"/>
    <w:rsid w:val="0075501C"/>
    <w:rsid w:val="007550D8"/>
    <w:rsid w:val="0075521A"/>
    <w:rsid w:val="00755B7E"/>
    <w:rsid w:val="00756639"/>
    <w:rsid w:val="007566A8"/>
    <w:rsid w:val="00756734"/>
    <w:rsid w:val="00756916"/>
    <w:rsid w:val="00756A39"/>
    <w:rsid w:val="007578C2"/>
    <w:rsid w:val="00757F8F"/>
    <w:rsid w:val="00760643"/>
    <w:rsid w:val="00760946"/>
    <w:rsid w:val="00760C3D"/>
    <w:rsid w:val="0076104A"/>
    <w:rsid w:val="00762DB2"/>
    <w:rsid w:val="007634CF"/>
    <w:rsid w:val="00764AF6"/>
    <w:rsid w:val="00764C60"/>
    <w:rsid w:val="00764CEA"/>
    <w:rsid w:val="00764ED9"/>
    <w:rsid w:val="00765E83"/>
    <w:rsid w:val="00766E3A"/>
    <w:rsid w:val="00766F93"/>
    <w:rsid w:val="00767138"/>
    <w:rsid w:val="00767888"/>
    <w:rsid w:val="00767979"/>
    <w:rsid w:val="00767D6B"/>
    <w:rsid w:val="007702DE"/>
    <w:rsid w:val="00770535"/>
    <w:rsid w:val="00770AAF"/>
    <w:rsid w:val="0077159D"/>
    <w:rsid w:val="007718B9"/>
    <w:rsid w:val="00772283"/>
    <w:rsid w:val="0077375D"/>
    <w:rsid w:val="00773E9E"/>
    <w:rsid w:val="00773EA7"/>
    <w:rsid w:val="007744C5"/>
    <w:rsid w:val="00774860"/>
    <w:rsid w:val="00774896"/>
    <w:rsid w:val="00774B99"/>
    <w:rsid w:val="00775B9E"/>
    <w:rsid w:val="00776440"/>
    <w:rsid w:val="00776758"/>
    <w:rsid w:val="00776836"/>
    <w:rsid w:val="00776AD5"/>
    <w:rsid w:val="007800E2"/>
    <w:rsid w:val="007802EF"/>
    <w:rsid w:val="00781059"/>
    <w:rsid w:val="00781157"/>
    <w:rsid w:val="00781B0E"/>
    <w:rsid w:val="00781E13"/>
    <w:rsid w:val="00781E48"/>
    <w:rsid w:val="0078259F"/>
    <w:rsid w:val="00782C8B"/>
    <w:rsid w:val="00782CE7"/>
    <w:rsid w:val="00782D62"/>
    <w:rsid w:val="007830FB"/>
    <w:rsid w:val="0078359C"/>
    <w:rsid w:val="0078389F"/>
    <w:rsid w:val="00783F02"/>
    <w:rsid w:val="0078452A"/>
    <w:rsid w:val="007853B7"/>
    <w:rsid w:val="00785E5A"/>
    <w:rsid w:val="00786082"/>
    <w:rsid w:val="007862B2"/>
    <w:rsid w:val="00786509"/>
    <w:rsid w:val="00786D69"/>
    <w:rsid w:val="00787562"/>
    <w:rsid w:val="00790B30"/>
    <w:rsid w:val="007910E6"/>
    <w:rsid w:val="0079163C"/>
    <w:rsid w:val="00792C0B"/>
    <w:rsid w:val="00793A5F"/>
    <w:rsid w:val="00793ACD"/>
    <w:rsid w:val="00793E6F"/>
    <w:rsid w:val="007948F4"/>
    <w:rsid w:val="007953EC"/>
    <w:rsid w:val="0079576A"/>
    <w:rsid w:val="007957AF"/>
    <w:rsid w:val="00795829"/>
    <w:rsid w:val="00796487"/>
    <w:rsid w:val="007967B3"/>
    <w:rsid w:val="00796879"/>
    <w:rsid w:val="00796ABA"/>
    <w:rsid w:val="007976E6"/>
    <w:rsid w:val="007A01B3"/>
    <w:rsid w:val="007A01D4"/>
    <w:rsid w:val="007A061E"/>
    <w:rsid w:val="007A073C"/>
    <w:rsid w:val="007A086E"/>
    <w:rsid w:val="007A09E6"/>
    <w:rsid w:val="007A18BE"/>
    <w:rsid w:val="007A196E"/>
    <w:rsid w:val="007A1CF8"/>
    <w:rsid w:val="007A2415"/>
    <w:rsid w:val="007A2535"/>
    <w:rsid w:val="007A2777"/>
    <w:rsid w:val="007A28CA"/>
    <w:rsid w:val="007A2B91"/>
    <w:rsid w:val="007A2C57"/>
    <w:rsid w:val="007A4225"/>
    <w:rsid w:val="007A43D5"/>
    <w:rsid w:val="007A4469"/>
    <w:rsid w:val="007A4625"/>
    <w:rsid w:val="007A566F"/>
    <w:rsid w:val="007A5F03"/>
    <w:rsid w:val="007A6821"/>
    <w:rsid w:val="007A7A51"/>
    <w:rsid w:val="007A7DD3"/>
    <w:rsid w:val="007B1285"/>
    <w:rsid w:val="007B1904"/>
    <w:rsid w:val="007B1A4B"/>
    <w:rsid w:val="007B2840"/>
    <w:rsid w:val="007B2B30"/>
    <w:rsid w:val="007B2BC9"/>
    <w:rsid w:val="007B2E25"/>
    <w:rsid w:val="007B2F75"/>
    <w:rsid w:val="007B375D"/>
    <w:rsid w:val="007B3A07"/>
    <w:rsid w:val="007B3C9F"/>
    <w:rsid w:val="007B42A6"/>
    <w:rsid w:val="007B44D6"/>
    <w:rsid w:val="007B56F1"/>
    <w:rsid w:val="007B5A8E"/>
    <w:rsid w:val="007B670D"/>
    <w:rsid w:val="007B6C1F"/>
    <w:rsid w:val="007B6CD2"/>
    <w:rsid w:val="007B6D20"/>
    <w:rsid w:val="007B6EE1"/>
    <w:rsid w:val="007B6F7D"/>
    <w:rsid w:val="007B70B5"/>
    <w:rsid w:val="007B76BA"/>
    <w:rsid w:val="007B79D5"/>
    <w:rsid w:val="007B7A44"/>
    <w:rsid w:val="007B7E2A"/>
    <w:rsid w:val="007B7FAB"/>
    <w:rsid w:val="007C0008"/>
    <w:rsid w:val="007C0B86"/>
    <w:rsid w:val="007C0D66"/>
    <w:rsid w:val="007C0F1C"/>
    <w:rsid w:val="007C1108"/>
    <w:rsid w:val="007C12F8"/>
    <w:rsid w:val="007C1698"/>
    <w:rsid w:val="007C1723"/>
    <w:rsid w:val="007C1B92"/>
    <w:rsid w:val="007C1C89"/>
    <w:rsid w:val="007C20BF"/>
    <w:rsid w:val="007C279D"/>
    <w:rsid w:val="007C2A37"/>
    <w:rsid w:val="007C2B77"/>
    <w:rsid w:val="007C2D69"/>
    <w:rsid w:val="007C2F6B"/>
    <w:rsid w:val="007C37C0"/>
    <w:rsid w:val="007C39CD"/>
    <w:rsid w:val="007C3C32"/>
    <w:rsid w:val="007C550E"/>
    <w:rsid w:val="007C5710"/>
    <w:rsid w:val="007C6C40"/>
    <w:rsid w:val="007C7814"/>
    <w:rsid w:val="007C793F"/>
    <w:rsid w:val="007C797E"/>
    <w:rsid w:val="007C7BD0"/>
    <w:rsid w:val="007D02E2"/>
    <w:rsid w:val="007D03C2"/>
    <w:rsid w:val="007D0DE9"/>
    <w:rsid w:val="007D15AB"/>
    <w:rsid w:val="007D1A6D"/>
    <w:rsid w:val="007D23A5"/>
    <w:rsid w:val="007D23CE"/>
    <w:rsid w:val="007D25CD"/>
    <w:rsid w:val="007D4D72"/>
    <w:rsid w:val="007D591E"/>
    <w:rsid w:val="007D6363"/>
    <w:rsid w:val="007D6A0A"/>
    <w:rsid w:val="007D72B0"/>
    <w:rsid w:val="007D732D"/>
    <w:rsid w:val="007D7928"/>
    <w:rsid w:val="007E0160"/>
    <w:rsid w:val="007E055A"/>
    <w:rsid w:val="007E095F"/>
    <w:rsid w:val="007E1943"/>
    <w:rsid w:val="007E1DB9"/>
    <w:rsid w:val="007E249B"/>
    <w:rsid w:val="007E29CF"/>
    <w:rsid w:val="007E3435"/>
    <w:rsid w:val="007E3983"/>
    <w:rsid w:val="007E438C"/>
    <w:rsid w:val="007E49E0"/>
    <w:rsid w:val="007E523A"/>
    <w:rsid w:val="007E5525"/>
    <w:rsid w:val="007E5FCB"/>
    <w:rsid w:val="007E677E"/>
    <w:rsid w:val="007E7130"/>
    <w:rsid w:val="007E7974"/>
    <w:rsid w:val="007E7BE4"/>
    <w:rsid w:val="007E7C0D"/>
    <w:rsid w:val="007E7C56"/>
    <w:rsid w:val="007F10BE"/>
    <w:rsid w:val="007F1599"/>
    <w:rsid w:val="007F162A"/>
    <w:rsid w:val="007F17BB"/>
    <w:rsid w:val="007F1979"/>
    <w:rsid w:val="007F2C7D"/>
    <w:rsid w:val="007F3661"/>
    <w:rsid w:val="007F36ED"/>
    <w:rsid w:val="007F3A4B"/>
    <w:rsid w:val="007F4225"/>
    <w:rsid w:val="007F472D"/>
    <w:rsid w:val="007F4AF0"/>
    <w:rsid w:val="007F57A8"/>
    <w:rsid w:val="007F58D8"/>
    <w:rsid w:val="007F5D8C"/>
    <w:rsid w:val="007F5D93"/>
    <w:rsid w:val="007F5F8E"/>
    <w:rsid w:val="007F6C32"/>
    <w:rsid w:val="007F6DB3"/>
    <w:rsid w:val="007F726E"/>
    <w:rsid w:val="007F728C"/>
    <w:rsid w:val="00800AD3"/>
    <w:rsid w:val="00801788"/>
    <w:rsid w:val="00801ACC"/>
    <w:rsid w:val="00802033"/>
    <w:rsid w:val="00802291"/>
    <w:rsid w:val="00802CD5"/>
    <w:rsid w:val="00803358"/>
    <w:rsid w:val="008035A5"/>
    <w:rsid w:val="008039D8"/>
    <w:rsid w:val="008042E3"/>
    <w:rsid w:val="00805A96"/>
    <w:rsid w:val="00805AB5"/>
    <w:rsid w:val="00806575"/>
    <w:rsid w:val="00806619"/>
    <w:rsid w:val="0080775D"/>
    <w:rsid w:val="00807825"/>
    <w:rsid w:val="008107FA"/>
    <w:rsid w:val="00810E31"/>
    <w:rsid w:val="008110DA"/>
    <w:rsid w:val="008111BE"/>
    <w:rsid w:val="008112D2"/>
    <w:rsid w:val="0081147F"/>
    <w:rsid w:val="00811E50"/>
    <w:rsid w:val="00812A44"/>
    <w:rsid w:val="00813EEE"/>
    <w:rsid w:val="008142CF"/>
    <w:rsid w:val="008143AD"/>
    <w:rsid w:val="00814A12"/>
    <w:rsid w:val="008154B4"/>
    <w:rsid w:val="008156C0"/>
    <w:rsid w:val="00815B23"/>
    <w:rsid w:val="0081715A"/>
    <w:rsid w:val="00817254"/>
    <w:rsid w:val="0081767F"/>
    <w:rsid w:val="00817885"/>
    <w:rsid w:val="00821A22"/>
    <w:rsid w:val="00821CA9"/>
    <w:rsid w:val="00821CCA"/>
    <w:rsid w:val="00821F94"/>
    <w:rsid w:val="0082207A"/>
    <w:rsid w:val="008224C5"/>
    <w:rsid w:val="008229CB"/>
    <w:rsid w:val="00822E96"/>
    <w:rsid w:val="008230A6"/>
    <w:rsid w:val="00823604"/>
    <w:rsid w:val="00824679"/>
    <w:rsid w:val="00825289"/>
    <w:rsid w:val="008252CC"/>
    <w:rsid w:val="00825432"/>
    <w:rsid w:val="008258B1"/>
    <w:rsid w:val="00825BD4"/>
    <w:rsid w:val="00825BE4"/>
    <w:rsid w:val="0082633C"/>
    <w:rsid w:val="00826388"/>
    <w:rsid w:val="00826810"/>
    <w:rsid w:val="00826BC2"/>
    <w:rsid w:val="00826E34"/>
    <w:rsid w:val="0082726D"/>
    <w:rsid w:val="008272B1"/>
    <w:rsid w:val="0082737C"/>
    <w:rsid w:val="0082755A"/>
    <w:rsid w:val="00827636"/>
    <w:rsid w:val="00827A0E"/>
    <w:rsid w:val="00830C43"/>
    <w:rsid w:val="00830EB4"/>
    <w:rsid w:val="00831F55"/>
    <w:rsid w:val="0083308E"/>
    <w:rsid w:val="00833101"/>
    <w:rsid w:val="0083314E"/>
    <w:rsid w:val="0083331E"/>
    <w:rsid w:val="00833C4C"/>
    <w:rsid w:val="00833C69"/>
    <w:rsid w:val="0083429E"/>
    <w:rsid w:val="0083431F"/>
    <w:rsid w:val="00834EF2"/>
    <w:rsid w:val="00835143"/>
    <w:rsid w:val="00837051"/>
    <w:rsid w:val="008371D6"/>
    <w:rsid w:val="008371EC"/>
    <w:rsid w:val="0083745F"/>
    <w:rsid w:val="0084020D"/>
    <w:rsid w:val="0084036C"/>
    <w:rsid w:val="008408C9"/>
    <w:rsid w:val="00840912"/>
    <w:rsid w:val="008415DB"/>
    <w:rsid w:val="008417F5"/>
    <w:rsid w:val="00842176"/>
    <w:rsid w:val="008425C3"/>
    <w:rsid w:val="00842716"/>
    <w:rsid w:val="00842996"/>
    <w:rsid w:val="00843302"/>
    <w:rsid w:val="008433FC"/>
    <w:rsid w:val="008438EF"/>
    <w:rsid w:val="0084440C"/>
    <w:rsid w:val="00844986"/>
    <w:rsid w:val="00844A56"/>
    <w:rsid w:val="0084537F"/>
    <w:rsid w:val="00845C80"/>
    <w:rsid w:val="00845D5C"/>
    <w:rsid w:val="00846502"/>
    <w:rsid w:val="00846906"/>
    <w:rsid w:val="00846CFC"/>
    <w:rsid w:val="00846E7B"/>
    <w:rsid w:val="008472C4"/>
    <w:rsid w:val="0084741F"/>
    <w:rsid w:val="00847936"/>
    <w:rsid w:val="00847D6C"/>
    <w:rsid w:val="00847DB8"/>
    <w:rsid w:val="008504DD"/>
    <w:rsid w:val="00850505"/>
    <w:rsid w:val="00851555"/>
    <w:rsid w:val="0085198C"/>
    <w:rsid w:val="00851F45"/>
    <w:rsid w:val="00852324"/>
    <w:rsid w:val="008529C5"/>
    <w:rsid w:val="00852E9C"/>
    <w:rsid w:val="008530A4"/>
    <w:rsid w:val="0085325F"/>
    <w:rsid w:val="00853FE6"/>
    <w:rsid w:val="008549A6"/>
    <w:rsid w:val="00854D8A"/>
    <w:rsid w:val="00854DA3"/>
    <w:rsid w:val="00854F46"/>
    <w:rsid w:val="00855434"/>
    <w:rsid w:val="008557A2"/>
    <w:rsid w:val="00855CC4"/>
    <w:rsid w:val="00855EAC"/>
    <w:rsid w:val="00855FDB"/>
    <w:rsid w:val="0085652F"/>
    <w:rsid w:val="00856C75"/>
    <w:rsid w:val="00856DF2"/>
    <w:rsid w:val="00857224"/>
    <w:rsid w:val="00857401"/>
    <w:rsid w:val="00857B5E"/>
    <w:rsid w:val="0086037B"/>
    <w:rsid w:val="0086076E"/>
    <w:rsid w:val="0086095F"/>
    <w:rsid w:val="00861172"/>
    <w:rsid w:val="0086172F"/>
    <w:rsid w:val="0086207B"/>
    <w:rsid w:val="00862729"/>
    <w:rsid w:val="00862A34"/>
    <w:rsid w:val="00862E8B"/>
    <w:rsid w:val="0086339E"/>
    <w:rsid w:val="00863C97"/>
    <w:rsid w:val="00863F4A"/>
    <w:rsid w:val="00865582"/>
    <w:rsid w:val="00865837"/>
    <w:rsid w:val="0086593A"/>
    <w:rsid w:val="00865A6E"/>
    <w:rsid w:val="008669D2"/>
    <w:rsid w:val="00866B5A"/>
    <w:rsid w:val="00866BAC"/>
    <w:rsid w:val="00866E51"/>
    <w:rsid w:val="00866F4A"/>
    <w:rsid w:val="00867167"/>
    <w:rsid w:val="00867B49"/>
    <w:rsid w:val="00870237"/>
    <w:rsid w:val="008704E0"/>
    <w:rsid w:val="00870883"/>
    <w:rsid w:val="00870EC7"/>
    <w:rsid w:val="00871328"/>
    <w:rsid w:val="008713C1"/>
    <w:rsid w:val="00871EE4"/>
    <w:rsid w:val="008724C4"/>
    <w:rsid w:val="0087261B"/>
    <w:rsid w:val="00873A6C"/>
    <w:rsid w:val="0087403A"/>
    <w:rsid w:val="008742B5"/>
    <w:rsid w:val="00874466"/>
    <w:rsid w:val="0087467D"/>
    <w:rsid w:val="0087486F"/>
    <w:rsid w:val="00874C05"/>
    <w:rsid w:val="00874E4E"/>
    <w:rsid w:val="008754E3"/>
    <w:rsid w:val="008759E3"/>
    <w:rsid w:val="00875BE3"/>
    <w:rsid w:val="00876507"/>
    <w:rsid w:val="008773FB"/>
    <w:rsid w:val="00877D39"/>
    <w:rsid w:val="008807F3"/>
    <w:rsid w:val="00880838"/>
    <w:rsid w:val="00880B06"/>
    <w:rsid w:val="00880CAE"/>
    <w:rsid w:val="00880F3C"/>
    <w:rsid w:val="008823BC"/>
    <w:rsid w:val="008828AB"/>
    <w:rsid w:val="00882E56"/>
    <w:rsid w:val="00883B79"/>
    <w:rsid w:val="00883CCD"/>
    <w:rsid w:val="00883DCF"/>
    <w:rsid w:val="00883DF4"/>
    <w:rsid w:val="008842E1"/>
    <w:rsid w:val="00884579"/>
    <w:rsid w:val="0088478C"/>
    <w:rsid w:val="00884960"/>
    <w:rsid w:val="00884962"/>
    <w:rsid w:val="008852A5"/>
    <w:rsid w:val="00885878"/>
    <w:rsid w:val="00885A8C"/>
    <w:rsid w:val="00886A84"/>
    <w:rsid w:val="00887393"/>
    <w:rsid w:val="00887839"/>
    <w:rsid w:val="00887FEE"/>
    <w:rsid w:val="00890905"/>
    <w:rsid w:val="0089101E"/>
    <w:rsid w:val="0089158C"/>
    <w:rsid w:val="00891786"/>
    <w:rsid w:val="008933E9"/>
    <w:rsid w:val="008934D4"/>
    <w:rsid w:val="008938E6"/>
    <w:rsid w:val="00894049"/>
    <w:rsid w:val="00894466"/>
    <w:rsid w:val="00894A88"/>
    <w:rsid w:val="00894AF1"/>
    <w:rsid w:val="00895421"/>
    <w:rsid w:val="00896861"/>
    <w:rsid w:val="00896DB1"/>
    <w:rsid w:val="00896F84"/>
    <w:rsid w:val="00896F95"/>
    <w:rsid w:val="00897073"/>
    <w:rsid w:val="008974AF"/>
    <w:rsid w:val="0089760A"/>
    <w:rsid w:val="00897710"/>
    <w:rsid w:val="00897E4D"/>
    <w:rsid w:val="008A0131"/>
    <w:rsid w:val="008A0B73"/>
    <w:rsid w:val="008A0C6B"/>
    <w:rsid w:val="008A0E88"/>
    <w:rsid w:val="008A0ECC"/>
    <w:rsid w:val="008A0FC7"/>
    <w:rsid w:val="008A142F"/>
    <w:rsid w:val="008A2DD9"/>
    <w:rsid w:val="008A35A4"/>
    <w:rsid w:val="008A3AF1"/>
    <w:rsid w:val="008A4526"/>
    <w:rsid w:val="008A5A1A"/>
    <w:rsid w:val="008A6105"/>
    <w:rsid w:val="008A6197"/>
    <w:rsid w:val="008A63FF"/>
    <w:rsid w:val="008A656F"/>
    <w:rsid w:val="008A65F3"/>
    <w:rsid w:val="008A6673"/>
    <w:rsid w:val="008A6C7A"/>
    <w:rsid w:val="008A704F"/>
    <w:rsid w:val="008A71F4"/>
    <w:rsid w:val="008A72CA"/>
    <w:rsid w:val="008A7311"/>
    <w:rsid w:val="008B03B6"/>
    <w:rsid w:val="008B05DE"/>
    <w:rsid w:val="008B08AF"/>
    <w:rsid w:val="008B0AD9"/>
    <w:rsid w:val="008B18A4"/>
    <w:rsid w:val="008B1FE0"/>
    <w:rsid w:val="008B228C"/>
    <w:rsid w:val="008B234A"/>
    <w:rsid w:val="008B244F"/>
    <w:rsid w:val="008B42D9"/>
    <w:rsid w:val="008B4F22"/>
    <w:rsid w:val="008B5CC3"/>
    <w:rsid w:val="008B60EB"/>
    <w:rsid w:val="008B636F"/>
    <w:rsid w:val="008B63EB"/>
    <w:rsid w:val="008B652D"/>
    <w:rsid w:val="008B6656"/>
    <w:rsid w:val="008B6EE5"/>
    <w:rsid w:val="008B6EF1"/>
    <w:rsid w:val="008B716A"/>
    <w:rsid w:val="008B74D6"/>
    <w:rsid w:val="008C0037"/>
    <w:rsid w:val="008C11CD"/>
    <w:rsid w:val="008C14D1"/>
    <w:rsid w:val="008C2071"/>
    <w:rsid w:val="008C283C"/>
    <w:rsid w:val="008C2A63"/>
    <w:rsid w:val="008C2DDF"/>
    <w:rsid w:val="008C32B9"/>
    <w:rsid w:val="008C3B6E"/>
    <w:rsid w:val="008C3BA9"/>
    <w:rsid w:val="008C3DA5"/>
    <w:rsid w:val="008C3EAB"/>
    <w:rsid w:val="008C3EFB"/>
    <w:rsid w:val="008C440F"/>
    <w:rsid w:val="008C48BA"/>
    <w:rsid w:val="008C49F5"/>
    <w:rsid w:val="008C4A8B"/>
    <w:rsid w:val="008C4D55"/>
    <w:rsid w:val="008C5412"/>
    <w:rsid w:val="008C5A97"/>
    <w:rsid w:val="008C5B8C"/>
    <w:rsid w:val="008C67D3"/>
    <w:rsid w:val="008C6955"/>
    <w:rsid w:val="008C6D37"/>
    <w:rsid w:val="008C7633"/>
    <w:rsid w:val="008D0061"/>
    <w:rsid w:val="008D0382"/>
    <w:rsid w:val="008D0456"/>
    <w:rsid w:val="008D0A39"/>
    <w:rsid w:val="008D14B4"/>
    <w:rsid w:val="008D27CD"/>
    <w:rsid w:val="008D2DEF"/>
    <w:rsid w:val="008D32D8"/>
    <w:rsid w:val="008D3C96"/>
    <w:rsid w:val="008D476A"/>
    <w:rsid w:val="008D4DF4"/>
    <w:rsid w:val="008D567E"/>
    <w:rsid w:val="008D5DDE"/>
    <w:rsid w:val="008D5E7D"/>
    <w:rsid w:val="008D6046"/>
    <w:rsid w:val="008D634B"/>
    <w:rsid w:val="008D64C1"/>
    <w:rsid w:val="008D65A4"/>
    <w:rsid w:val="008D6C65"/>
    <w:rsid w:val="008D74A5"/>
    <w:rsid w:val="008D79B7"/>
    <w:rsid w:val="008E01A9"/>
    <w:rsid w:val="008E0EBC"/>
    <w:rsid w:val="008E0EFC"/>
    <w:rsid w:val="008E146D"/>
    <w:rsid w:val="008E1EB1"/>
    <w:rsid w:val="008E2C67"/>
    <w:rsid w:val="008E2D48"/>
    <w:rsid w:val="008E32E9"/>
    <w:rsid w:val="008E333C"/>
    <w:rsid w:val="008E38F8"/>
    <w:rsid w:val="008E3967"/>
    <w:rsid w:val="008E46F4"/>
    <w:rsid w:val="008E47FA"/>
    <w:rsid w:val="008E62D0"/>
    <w:rsid w:val="008E6364"/>
    <w:rsid w:val="008E6660"/>
    <w:rsid w:val="008E7147"/>
    <w:rsid w:val="008E7F89"/>
    <w:rsid w:val="008F05C7"/>
    <w:rsid w:val="008F0FF3"/>
    <w:rsid w:val="008F1BE2"/>
    <w:rsid w:val="008F2DA0"/>
    <w:rsid w:val="008F3116"/>
    <w:rsid w:val="008F340D"/>
    <w:rsid w:val="008F364A"/>
    <w:rsid w:val="008F3C6E"/>
    <w:rsid w:val="008F3EAE"/>
    <w:rsid w:val="008F4078"/>
    <w:rsid w:val="008F4C72"/>
    <w:rsid w:val="008F535E"/>
    <w:rsid w:val="008F62ED"/>
    <w:rsid w:val="008F6961"/>
    <w:rsid w:val="008F6DD2"/>
    <w:rsid w:val="009001C0"/>
    <w:rsid w:val="00900BE9"/>
    <w:rsid w:val="00900EFE"/>
    <w:rsid w:val="00901197"/>
    <w:rsid w:val="00901CA9"/>
    <w:rsid w:val="00902A09"/>
    <w:rsid w:val="00903232"/>
    <w:rsid w:val="009032E4"/>
    <w:rsid w:val="009033B9"/>
    <w:rsid w:val="009045F7"/>
    <w:rsid w:val="00905038"/>
    <w:rsid w:val="009054E4"/>
    <w:rsid w:val="0090560F"/>
    <w:rsid w:val="0090589C"/>
    <w:rsid w:val="00906AA3"/>
    <w:rsid w:val="00907217"/>
    <w:rsid w:val="00907F1C"/>
    <w:rsid w:val="009101DD"/>
    <w:rsid w:val="00910238"/>
    <w:rsid w:val="0091087D"/>
    <w:rsid w:val="00910A33"/>
    <w:rsid w:val="00910BEF"/>
    <w:rsid w:val="00911BA5"/>
    <w:rsid w:val="00911C62"/>
    <w:rsid w:val="0091214C"/>
    <w:rsid w:val="00912BBA"/>
    <w:rsid w:val="00912E23"/>
    <w:rsid w:val="009130D2"/>
    <w:rsid w:val="009133EA"/>
    <w:rsid w:val="00913B1E"/>
    <w:rsid w:val="009140A5"/>
    <w:rsid w:val="00914494"/>
    <w:rsid w:val="0091480C"/>
    <w:rsid w:val="00914AE5"/>
    <w:rsid w:val="00915C98"/>
    <w:rsid w:val="0091603F"/>
    <w:rsid w:val="009161B8"/>
    <w:rsid w:val="009163E5"/>
    <w:rsid w:val="00916B18"/>
    <w:rsid w:val="00917781"/>
    <w:rsid w:val="00917857"/>
    <w:rsid w:val="00917DBB"/>
    <w:rsid w:val="00917FF7"/>
    <w:rsid w:val="0092018E"/>
    <w:rsid w:val="009203BD"/>
    <w:rsid w:val="009205E5"/>
    <w:rsid w:val="00920809"/>
    <w:rsid w:val="00920D14"/>
    <w:rsid w:val="009212F6"/>
    <w:rsid w:val="00921874"/>
    <w:rsid w:val="00922116"/>
    <w:rsid w:val="009222E5"/>
    <w:rsid w:val="009228FB"/>
    <w:rsid w:val="00922D90"/>
    <w:rsid w:val="00922F4C"/>
    <w:rsid w:val="009233BD"/>
    <w:rsid w:val="0092387A"/>
    <w:rsid w:val="00923ADF"/>
    <w:rsid w:val="00923C1A"/>
    <w:rsid w:val="009247D9"/>
    <w:rsid w:val="00924F35"/>
    <w:rsid w:val="009258AA"/>
    <w:rsid w:val="00925BB4"/>
    <w:rsid w:val="00925BD9"/>
    <w:rsid w:val="00927E06"/>
    <w:rsid w:val="009301A8"/>
    <w:rsid w:val="0093079B"/>
    <w:rsid w:val="00931185"/>
    <w:rsid w:val="00931AD0"/>
    <w:rsid w:val="00932421"/>
    <w:rsid w:val="00932EB3"/>
    <w:rsid w:val="00933039"/>
    <w:rsid w:val="00933869"/>
    <w:rsid w:val="00934111"/>
    <w:rsid w:val="00934850"/>
    <w:rsid w:val="009349C9"/>
    <w:rsid w:val="00934ABA"/>
    <w:rsid w:val="00934CFE"/>
    <w:rsid w:val="0093502C"/>
    <w:rsid w:val="00935311"/>
    <w:rsid w:val="00935365"/>
    <w:rsid w:val="0093580E"/>
    <w:rsid w:val="00935A93"/>
    <w:rsid w:val="00936060"/>
    <w:rsid w:val="00936E34"/>
    <w:rsid w:val="00936FF9"/>
    <w:rsid w:val="009371AD"/>
    <w:rsid w:val="009377F9"/>
    <w:rsid w:val="009379AA"/>
    <w:rsid w:val="00940976"/>
    <w:rsid w:val="00940B07"/>
    <w:rsid w:val="009412B3"/>
    <w:rsid w:val="0094131D"/>
    <w:rsid w:val="009416AC"/>
    <w:rsid w:val="00941905"/>
    <w:rsid w:val="0094190A"/>
    <w:rsid w:val="009419BD"/>
    <w:rsid w:val="00941D74"/>
    <w:rsid w:val="00942643"/>
    <w:rsid w:val="00942B39"/>
    <w:rsid w:val="00942CD8"/>
    <w:rsid w:val="00942D13"/>
    <w:rsid w:val="009430F1"/>
    <w:rsid w:val="0094311B"/>
    <w:rsid w:val="009433D2"/>
    <w:rsid w:val="009434E6"/>
    <w:rsid w:val="00944008"/>
    <w:rsid w:val="0094419B"/>
    <w:rsid w:val="00944BCA"/>
    <w:rsid w:val="00945414"/>
    <w:rsid w:val="00945D70"/>
    <w:rsid w:val="00946BE8"/>
    <w:rsid w:val="00946C11"/>
    <w:rsid w:val="00946EF2"/>
    <w:rsid w:val="00946F00"/>
    <w:rsid w:val="00946F47"/>
    <w:rsid w:val="00947074"/>
    <w:rsid w:val="0095027F"/>
    <w:rsid w:val="00950790"/>
    <w:rsid w:val="00950CB2"/>
    <w:rsid w:val="00951D69"/>
    <w:rsid w:val="00951EE6"/>
    <w:rsid w:val="009524D1"/>
    <w:rsid w:val="00952880"/>
    <w:rsid w:val="00952978"/>
    <w:rsid w:val="00952AC1"/>
    <w:rsid w:val="00952B08"/>
    <w:rsid w:val="00952F15"/>
    <w:rsid w:val="009544FC"/>
    <w:rsid w:val="00954A4B"/>
    <w:rsid w:val="00954AAD"/>
    <w:rsid w:val="00955D3C"/>
    <w:rsid w:val="00955DAF"/>
    <w:rsid w:val="00955F81"/>
    <w:rsid w:val="009562BE"/>
    <w:rsid w:val="00956364"/>
    <w:rsid w:val="00956460"/>
    <w:rsid w:val="00956887"/>
    <w:rsid w:val="00956B1D"/>
    <w:rsid w:val="00957292"/>
    <w:rsid w:val="009576C9"/>
    <w:rsid w:val="00957938"/>
    <w:rsid w:val="00957BB8"/>
    <w:rsid w:val="00957DD0"/>
    <w:rsid w:val="00957F5E"/>
    <w:rsid w:val="00960259"/>
    <w:rsid w:val="00960876"/>
    <w:rsid w:val="0096090F"/>
    <w:rsid w:val="009609A7"/>
    <w:rsid w:val="00960C4A"/>
    <w:rsid w:val="0096111B"/>
    <w:rsid w:val="00961141"/>
    <w:rsid w:val="00961211"/>
    <w:rsid w:val="00961DE3"/>
    <w:rsid w:val="0096209D"/>
    <w:rsid w:val="009622F0"/>
    <w:rsid w:val="009629FB"/>
    <w:rsid w:val="00963C2B"/>
    <w:rsid w:val="00964539"/>
    <w:rsid w:val="009647A2"/>
    <w:rsid w:val="0096512E"/>
    <w:rsid w:val="0096513B"/>
    <w:rsid w:val="009665A5"/>
    <w:rsid w:val="009669B5"/>
    <w:rsid w:val="00966E55"/>
    <w:rsid w:val="009670A3"/>
    <w:rsid w:val="009676F3"/>
    <w:rsid w:val="00970080"/>
    <w:rsid w:val="00970CAD"/>
    <w:rsid w:val="00970D13"/>
    <w:rsid w:val="00970D19"/>
    <w:rsid w:val="00971BB2"/>
    <w:rsid w:val="009730A6"/>
    <w:rsid w:val="009732A4"/>
    <w:rsid w:val="0097342D"/>
    <w:rsid w:val="00973654"/>
    <w:rsid w:val="009737EE"/>
    <w:rsid w:val="009745C7"/>
    <w:rsid w:val="00974998"/>
    <w:rsid w:val="00974A9C"/>
    <w:rsid w:val="0097521A"/>
    <w:rsid w:val="009753AB"/>
    <w:rsid w:val="00976CC9"/>
    <w:rsid w:val="009773DD"/>
    <w:rsid w:val="00977471"/>
    <w:rsid w:val="00977783"/>
    <w:rsid w:val="009808B1"/>
    <w:rsid w:val="00980E11"/>
    <w:rsid w:val="0098149A"/>
    <w:rsid w:val="0098162C"/>
    <w:rsid w:val="00982255"/>
    <w:rsid w:val="00982308"/>
    <w:rsid w:val="00982943"/>
    <w:rsid w:val="0098307D"/>
    <w:rsid w:val="00983F32"/>
    <w:rsid w:val="0098401B"/>
    <w:rsid w:val="009845BF"/>
    <w:rsid w:val="0098494E"/>
    <w:rsid w:val="00984BCC"/>
    <w:rsid w:val="00984E04"/>
    <w:rsid w:val="00985181"/>
    <w:rsid w:val="009855F1"/>
    <w:rsid w:val="00985A02"/>
    <w:rsid w:val="00985A13"/>
    <w:rsid w:val="00985B59"/>
    <w:rsid w:val="00986846"/>
    <w:rsid w:val="00986C6C"/>
    <w:rsid w:val="00987018"/>
    <w:rsid w:val="009876C5"/>
    <w:rsid w:val="009902D7"/>
    <w:rsid w:val="0099032F"/>
    <w:rsid w:val="00990D86"/>
    <w:rsid w:val="009916C0"/>
    <w:rsid w:val="00991756"/>
    <w:rsid w:val="00995260"/>
    <w:rsid w:val="009953C3"/>
    <w:rsid w:val="0099544C"/>
    <w:rsid w:val="00995F84"/>
    <w:rsid w:val="00996816"/>
    <w:rsid w:val="00996CE1"/>
    <w:rsid w:val="0099786C"/>
    <w:rsid w:val="009A05CB"/>
    <w:rsid w:val="009A0730"/>
    <w:rsid w:val="009A099C"/>
    <w:rsid w:val="009A0A8D"/>
    <w:rsid w:val="009A0D9E"/>
    <w:rsid w:val="009A0E66"/>
    <w:rsid w:val="009A1000"/>
    <w:rsid w:val="009A1B1E"/>
    <w:rsid w:val="009A1E57"/>
    <w:rsid w:val="009A254B"/>
    <w:rsid w:val="009A274D"/>
    <w:rsid w:val="009A36AC"/>
    <w:rsid w:val="009A385C"/>
    <w:rsid w:val="009A3922"/>
    <w:rsid w:val="009A3932"/>
    <w:rsid w:val="009A414E"/>
    <w:rsid w:val="009A45F1"/>
    <w:rsid w:val="009A4917"/>
    <w:rsid w:val="009A53E3"/>
    <w:rsid w:val="009A56FD"/>
    <w:rsid w:val="009A59E1"/>
    <w:rsid w:val="009A6777"/>
    <w:rsid w:val="009A695F"/>
    <w:rsid w:val="009A6A60"/>
    <w:rsid w:val="009A6AA9"/>
    <w:rsid w:val="009A6DAA"/>
    <w:rsid w:val="009A6E3C"/>
    <w:rsid w:val="009A72BF"/>
    <w:rsid w:val="009A7F5F"/>
    <w:rsid w:val="009B061D"/>
    <w:rsid w:val="009B086B"/>
    <w:rsid w:val="009B108C"/>
    <w:rsid w:val="009B11CB"/>
    <w:rsid w:val="009B12EB"/>
    <w:rsid w:val="009B1445"/>
    <w:rsid w:val="009B1520"/>
    <w:rsid w:val="009B185E"/>
    <w:rsid w:val="009B1DFD"/>
    <w:rsid w:val="009B2082"/>
    <w:rsid w:val="009B2209"/>
    <w:rsid w:val="009B232A"/>
    <w:rsid w:val="009B2BE1"/>
    <w:rsid w:val="009B35FE"/>
    <w:rsid w:val="009B3E45"/>
    <w:rsid w:val="009B3FCB"/>
    <w:rsid w:val="009B44CA"/>
    <w:rsid w:val="009B482E"/>
    <w:rsid w:val="009B5382"/>
    <w:rsid w:val="009B5A20"/>
    <w:rsid w:val="009B5C87"/>
    <w:rsid w:val="009B5D85"/>
    <w:rsid w:val="009B62CF"/>
    <w:rsid w:val="009B6397"/>
    <w:rsid w:val="009B6763"/>
    <w:rsid w:val="009B6A14"/>
    <w:rsid w:val="009B6B0A"/>
    <w:rsid w:val="009B6C4C"/>
    <w:rsid w:val="009B7636"/>
    <w:rsid w:val="009C191F"/>
    <w:rsid w:val="009C24B8"/>
    <w:rsid w:val="009C2583"/>
    <w:rsid w:val="009C328C"/>
    <w:rsid w:val="009C339D"/>
    <w:rsid w:val="009C340C"/>
    <w:rsid w:val="009C359E"/>
    <w:rsid w:val="009C45CB"/>
    <w:rsid w:val="009C4B68"/>
    <w:rsid w:val="009C4E73"/>
    <w:rsid w:val="009C4ED5"/>
    <w:rsid w:val="009C523E"/>
    <w:rsid w:val="009C76E3"/>
    <w:rsid w:val="009C7FF1"/>
    <w:rsid w:val="009D013D"/>
    <w:rsid w:val="009D0611"/>
    <w:rsid w:val="009D0B7C"/>
    <w:rsid w:val="009D0CFB"/>
    <w:rsid w:val="009D0FDF"/>
    <w:rsid w:val="009D1B0C"/>
    <w:rsid w:val="009D1B11"/>
    <w:rsid w:val="009D1CF7"/>
    <w:rsid w:val="009D21FD"/>
    <w:rsid w:val="009D34EA"/>
    <w:rsid w:val="009D3D59"/>
    <w:rsid w:val="009D3FF8"/>
    <w:rsid w:val="009D433B"/>
    <w:rsid w:val="009D490E"/>
    <w:rsid w:val="009D4C62"/>
    <w:rsid w:val="009D5244"/>
    <w:rsid w:val="009D61DC"/>
    <w:rsid w:val="009D74FD"/>
    <w:rsid w:val="009D7B84"/>
    <w:rsid w:val="009D7F56"/>
    <w:rsid w:val="009E0732"/>
    <w:rsid w:val="009E0AF5"/>
    <w:rsid w:val="009E1399"/>
    <w:rsid w:val="009E1DB9"/>
    <w:rsid w:val="009E2629"/>
    <w:rsid w:val="009E2683"/>
    <w:rsid w:val="009E37C4"/>
    <w:rsid w:val="009E37D1"/>
    <w:rsid w:val="009E3B01"/>
    <w:rsid w:val="009E3DD2"/>
    <w:rsid w:val="009E4597"/>
    <w:rsid w:val="009E45C7"/>
    <w:rsid w:val="009E4A58"/>
    <w:rsid w:val="009E4BD2"/>
    <w:rsid w:val="009E5266"/>
    <w:rsid w:val="009E5487"/>
    <w:rsid w:val="009E5A61"/>
    <w:rsid w:val="009E6A0E"/>
    <w:rsid w:val="009E77E0"/>
    <w:rsid w:val="009E77F7"/>
    <w:rsid w:val="009E78ED"/>
    <w:rsid w:val="009F0708"/>
    <w:rsid w:val="009F0E46"/>
    <w:rsid w:val="009F0E64"/>
    <w:rsid w:val="009F0F44"/>
    <w:rsid w:val="009F117F"/>
    <w:rsid w:val="009F1CE5"/>
    <w:rsid w:val="009F1DD4"/>
    <w:rsid w:val="009F1FC0"/>
    <w:rsid w:val="009F2677"/>
    <w:rsid w:val="009F30E6"/>
    <w:rsid w:val="009F3302"/>
    <w:rsid w:val="009F36DD"/>
    <w:rsid w:val="009F37E1"/>
    <w:rsid w:val="009F3FC5"/>
    <w:rsid w:val="009F4D44"/>
    <w:rsid w:val="009F7502"/>
    <w:rsid w:val="009F76E0"/>
    <w:rsid w:val="009F7885"/>
    <w:rsid w:val="009F7DBA"/>
    <w:rsid w:val="00A00070"/>
    <w:rsid w:val="00A000C2"/>
    <w:rsid w:val="00A005CF"/>
    <w:rsid w:val="00A00A90"/>
    <w:rsid w:val="00A00FF4"/>
    <w:rsid w:val="00A01299"/>
    <w:rsid w:val="00A01424"/>
    <w:rsid w:val="00A01B47"/>
    <w:rsid w:val="00A02754"/>
    <w:rsid w:val="00A02782"/>
    <w:rsid w:val="00A027CE"/>
    <w:rsid w:val="00A034AC"/>
    <w:rsid w:val="00A057D5"/>
    <w:rsid w:val="00A0581C"/>
    <w:rsid w:val="00A0604E"/>
    <w:rsid w:val="00A06786"/>
    <w:rsid w:val="00A070BC"/>
    <w:rsid w:val="00A073F2"/>
    <w:rsid w:val="00A07DC0"/>
    <w:rsid w:val="00A07E54"/>
    <w:rsid w:val="00A07E8F"/>
    <w:rsid w:val="00A1006A"/>
    <w:rsid w:val="00A10161"/>
    <w:rsid w:val="00A11306"/>
    <w:rsid w:val="00A113D6"/>
    <w:rsid w:val="00A11E85"/>
    <w:rsid w:val="00A127BB"/>
    <w:rsid w:val="00A12AB9"/>
    <w:rsid w:val="00A12D3D"/>
    <w:rsid w:val="00A12EFD"/>
    <w:rsid w:val="00A13256"/>
    <w:rsid w:val="00A1371D"/>
    <w:rsid w:val="00A145DE"/>
    <w:rsid w:val="00A15324"/>
    <w:rsid w:val="00A15AAA"/>
    <w:rsid w:val="00A1602F"/>
    <w:rsid w:val="00A16589"/>
    <w:rsid w:val="00A16910"/>
    <w:rsid w:val="00A169B9"/>
    <w:rsid w:val="00A16D51"/>
    <w:rsid w:val="00A16EB4"/>
    <w:rsid w:val="00A171E6"/>
    <w:rsid w:val="00A171F2"/>
    <w:rsid w:val="00A1763F"/>
    <w:rsid w:val="00A17A3B"/>
    <w:rsid w:val="00A17B64"/>
    <w:rsid w:val="00A20BEA"/>
    <w:rsid w:val="00A20CCB"/>
    <w:rsid w:val="00A21397"/>
    <w:rsid w:val="00A2165C"/>
    <w:rsid w:val="00A21DF6"/>
    <w:rsid w:val="00A22BB4"/>
    <w:rsid w:val="00A22CDA"/>
    <w:rsid w:val="00A233B6"/>
    <w:rsid w:val="00A24933"/>
    <w:rsid w:val="00A2495D"/>
    <w:rsid w:val="00A25473"/>
    <w:rsid w:val="00A2610D"/>
    <w:rsid w:val="00A26E90"/>
    <w:rsid w:val="00A27ECB"/>
    <w:rsid w:val="00A27F6D"/>
    <w:rsid w:val="00A3049A"/>
    <w:rsid w:val="00A30804"/>
    <w:rsid w:val="00A3115C"/>
    <w:rsid w:val="00A318A6"/>
    <w:rsid w:val="00A3194F"/>
    <w:rsid w:val="00A31C9E"/>
    <w:rsid w:val="00A32B9B"/>
    <w:rsid w:val="00A33A11"/>
    <w:rsid w:val="00A33D49"/>
    <w:rsid w:val="00A33E58"/>
    <w:rsid w:val="00A350CD"/>
    <w:rsid w:val="00A355E3"/>
    <w:rsid w:val="00A35722"/>
    <w:rsid w:val="00A35872"/>
    <w:rsid w:val="00A35F73"/>
    <w:rsid w:val="00A3766A"/>
    <w:rsid w:val="00A378BA"/>
    <w:rsid w:val="00A37AD6"/>
    <w:rsid w:val="00A37C67"/>
    <w:rsid w:val="00A37C7E"/>
    <w:rsid w:val="00A37FD3"/>
    <w:rsid w:val="00A41117"/>
    <w:rsid w:val="00A4184F"/>
    <w:rsid w:val="00A4282F"/>
    <w:rsid w:val="00A42ACE"/>
    <w:rsid w:val="00A431CE"/>
    <w:rsid w:val="00A4341F"/>
    <w:rsid w:val="00A43D3B"/>
    <w:rsid w:val="00A43E80"/>
    <w:rsid w:val="00A44104"/>
    <w:rsid w:val="00A4487C"/>
    <w:rsid w:val="00A458FC"/>
    <w:rsid w:val="00A45A00"/>
    <w:rsid w:val="00A45B56"/>
    <w:rsid w:val="00A464E3"/>
    <w:rsid w:val="00A46A09"/>
    <w:rsid w:val="00A46AEC"/>
    <w:rsid w:val="00A46D27"/>
    <w:rsid w:val="00A472CB"/>
    <w:rsid w:val="00A47335"/>
    <w:rsid w:val="00A47848"/>
    <w:rsid w:val="00A47D3B"/>
    <w:rsid w:val="00A5069B"/>
    <w:rsid w:val="00A5076E"/>
    <w:rsid w:val="00A50879"/>
    <w:rsid w:val="00A50A0C"/>
    <w:rsid w:val="00A51685"/>
    <w:rsid w:val="00A51A27"/>
    <w:rsid w:val="00A51DB1"/>
    <w:rsid w:val="00A523B9"/>
    <w:rsid w:val="00A52773"/>
    <w:rsid w:val="00A52E25"/>
    <w:rsid w:val="00A52E85"/>
    <w:rsid w:val="00A5314C"/>
    <w:rsid w:val="00A53D0E"/>
    <w:rsid w:val="00A53D13"/>
    <w:rsid w:val="00A54362"/>
    <w:rsid w:val="00A55B36"/>
    <w:rsid w:val="00A55F2E"/>
    <w:rsid w:val="00A56581"/>
    <w:rsid w:val="00A56AEE"/>
    <w:rsid w:val="00A56DA8"/>
    <w:rsid w:val="00A57B53"/>
    <w:rsid w:val="00A6011F"/>
    <w:rsid w:val="00A603BA"/>
    <w:rsid w:val="00A604E3"/>
    <w:rsid w:val="00A608CE"/>
    <w:rsid w:val="00A60B5A"/>
    <w:rsid w:val="00A60D42"/>
    <w:rsid w:val="00A61223"/>
    <w:rsid w:val="00A612A2"/>
    <w:rsid w:val="00A6136F"/>
    <w:rsid w:val="00A6188B"/>
    <w:rsid w:val="00A61BD2"/>
    <w:rsid w:val="00A62496"/>
    <w:rsid w:val="00A62645"/>
    <w:rsid w:val="00A62668"/>
    <w:rsid w:val="00A62C56"/>
    <w:rsid w:val="00A6301A"/>
    <w:rsid w:val="00A630E1"/>
    <w:rsid w:val="00A64F8C"/>
    <w:rsid w:val="00A66913"/>
    <w:rsid w:val="00A66D5B"/>
    <w:rsid w:val="00A66F0B"/>
    <w:rsid w:val="00A67500"/>
    <w:rsid w:val="00A6768F"/>
    <w:rsid w:val="00A67D78"/>
    <w:rsid w:val="00A67DB6"/>
    <w:rsid w:val="00A67FC0"/>
    <w:rsid w:val="00A714CF"/>
    <w:rsid w:val="00A718C2"/>
    <w:rsid w:val="00A719B6"/>
    <w:rsid w:val="00A71A9C"/>
    <w:rsid w:val="00A72126"/>
    <w:rsid w:val="00A72655"/>
    <w:rsid w:val="00A73788"/>
    <w:rsid w:val="00A7389F"/>
    <w:rsid w:val="00A739BD"/>
    <w:rsid w:val="00A73A12"/>
    <w:rsid w:val="00A740F0"/>
    <w:rsid w:val="00A7445F"/>
    <w:rsid w:val="00A75916"/>
    <w:rsid w:val="00A75C5A"/>
    <w:rsid w:val="00A75DAF"/>
    <w:rsid w:val="00A76105"/>
    <w:rsid w:val="00A76212"/>
    <w:rsid w:val="00A76332"/>
    <w:rsid w:val="00A76806"/>
    <w:rsid w:val="00A76D54"/>
    <w:rsid w:val="00A76F7C"/>
    <w:rsid w:val="00A77517"/>
    <w:rsid w:val="00A77ED5"/>
    <w:rsid w:val="00A80966"/>
    <w:rsid w:val="00A810CD"/>
    <w:rsid w:val="00A8167B"/>
    <w:rsid w:val="00A816A5"/>
    <w:rsid w:val="00A818B5"/>
    <w:rsid w:val="00A81CE3"/>
    <w:rsid w:val="00A82109"/>
    <w:rsid w:val="00A821D2"/>
    <w:rsid w:val="00A829CA"/>
    <w:rsid w:val="00A830D4"/>
    <w:rsid w:val="00A83597"/>
    <w:rsid w:val="00A83E75"/>
    <w:rsid w:val="00A83F26"/>
    <w:rsid w:val="00A8419D"/>
    <w:rsid w:val="00A84665"/>
    <w:rsid w:val="00A84CB8"/>
    <w:rsid w:val="00A862DB"/>
    <w:rsid w:val="00A86D0B"/>
    <w:rsid w:val="00A87DAD"/>
    <w:rsid w:val="00A905DA"/>
    <w:rsid w:val="00A90843"/>
    <w:rsid w:val="00A90DDB"/>
    <w:rsid w:val="00A942DC"/>
    <w:rsid w:val="00A94856"/>
    <w:rsid w:val="00A94A67"/>
    <w:rsid w:val="00A9504B"/>
    <w:rsid w:val="00A96D7D"/>
    <w:rsid w:val="00A97D52"/>
    <w:rsid w:val="00A97FC3"/>
    <w:rsid w:val="00AA01FC"/>
    <w:rsid w:val="00AA05C5"/>
    <w:rsid w:val="00AA0840"/>
    <w:rsid w:val="00AA0B0D"/>
    <w:rsid w:val="00AA0BC2"/>
    <w:rsid w:val="00AA0F32"/>
    <w:rsid w:val="00AA261F"/>
    <w:rsid w:val="00AA35F0"/>
    <w:rsid w:val="00AA36A4"/>
    <w:rsid w:val="00AA3792"/>
    <w:rsid w:val="00AA3A0F"/>
    <w:rsid w:val="00AA3CC2"/>
    <w:rsid w:val="00AA440B"/>
    <w:rsid w:val="00AA4F8D"/>
    <w:rsid w:val="00AA4FC2"/>
    <w:rsid w:val="00AA5242"/>
    <w:rsid w:val="00AA5455"/>
    <w:rsid w:val="00AA57BF"/>
    <w:rsid w:val="00AA5BF6"/>
    <w:rsid w:val="00AA5F6D"/>
    <w:rsid w:val="00AA6368"/>
    <w:rsid w:val="00AA65EF"/>
    <w:rsid w:val="00AA6EFB"/>
    <w:rsid w:val="00AA7238"/>
    <w:rsid w:val="00AA7359"/>
    <w:rsid w:val="00AA75A3"/>
    <w:rsid w:val="00AA7650"/>
    <w:rsid w:val="00AA76AB"/>
    <w:rsid w:val="00AB06D1"/>
    <w:rsid w:val="00AB11C0"/>
    <w:rsid w:val="00AB18D5"/>
    <w:rsid w:val="00AB1C1E"/>
    <w:rsid w:val="00AB1EB3"/>
    <w:rsid w:val="00AB2324"/>
    <w:rsid w:val="00AB2839"/>
    <w:rsid w:val="00AB303B"/>
    <w:rsid w:val="00AB3653"/>
    <w:rsid w:val="00AB3B9E"/>
    <w:rsid w:val="00AB4927"/>
    <w:rsid w:val="00AB4AE0"/>
    <w:rsid w:val="00AB52F7"/>
    <w:rsid w:val="00AB5316"/>
    <w:rsid w:val="00AB56EC"/>
    <w:rsid w:val="00AB59D7"/>
    <w:rsid w:val="00AB6A81"/>
    <w:rsid w:val="00AB6A8E"/>
    <w:rsid w:val="00AB6D14"/>
    <w:rsid w:val="00AB6E8F"/>
    <w:rsid w:val="00AB7DC1"/>
    <w:rsid w:val="00AC0A36"/>
    <w:rsid w:val="00AC0A71"/>
    <w:rsid w:val="00AC0D82"/>
    <w:rsid w:val="00AC0DF1"/>
    <w:rsid w:val="00AC16F0"/>
    <w:rsid w:val="00AC1953"/>
    <w:rsid w:val="00AC213C"/>
    <w:rsid w:val="00AC3346"/>
    <w:rsid w:val="00AC35BD"/>
    <w:rsid w:val="00AC43EC"/>
    <w:rsid w:val="00AC442A"/>
    <w:rsid w:val="00AC496A"/>
    <w:rsid w:val="00AC49E1"/>
    <w:rsid w:val="00AC5F5F"/>
    <w:rsid w:val="00AC6033"/>
    <w:rsid w:val="00AC61F9"/>
    <w:rsid w:val="00AC6602"/>
    <w:rsid w:val="00AC6EF1"/>
    <w:rsid w:val="00AC7F09"/>
    <w:rsid w:val="00AD00AC"/>
    <w:rsid w:val="00AD05B7"/>
    <w:rsid w:val="00AD06C5"/>
    <w:rsid w:val="00AD11FF"/>
    <w:rsid w:val="00AD1A35"/>
    <w:rsid w:val="00AD1CFA"/>
    <w:rsid w:val="00AD1E9B"/>
    <w:rsid w:val="00AD2506"/>
    <w:rsid w:val="00AD2CE9"/>
    <w:rsid w:val="00AD30E9"/>
    <w:rsid w:val="00AD3EB3"/>
    <w:rsid w:val="00AD46F0"/>
    <w:rsid w:val="00AD527A"/>
    <w:rsid w:val="00AD5CBE"/>
    <w:rsid w:val="00AD5F7F"/>
    <w:rsid w:val="00AD5FB9"/>
    <w:rsid w:val="00AD64FD"/>
    <w:rsid w:val="00AD65C7"/>
    <w:rsid w:val="00AD6A09"/>
    <w:rsid w:val="00AD6ECA"/>
    <w:rsid w:val="00AD74FD"/>
    <w:rsid w:val="00AD7543"/>
    <w:rsid w:val="00AE0185"/>
    <w:rsid w:val="00AE0BC8"/>
    <w:rsid w:val="00AE0FAF"/>
    <w:rsid w:val="00AE1868"/>
    <w:rsid w:val="00AE1D10"/>
    <w:rsid w:val="00AE291C"/>
    <w:rsid w:val="00AE2962"/>
    <w:rsid w:val="00AE2BA7"/>
    <w:rsid w:val="00AE2BCF"/>
    <w:rsid w:val="00AE2C41"/>
    <w:rsid w:val="00AE3AC3"/>
    <w:rsid w:val="00AE42EF"/>
    <w:rsid w:val="00AE45F4"/>
    <w:rsid w:val="00AE491F"/>
    <w:rsid w:val="00AE4CA8"/>
    <w:rsid w:val="00AE56A0"/>
    <w:rsid w:val="00AE5D73"/>
    <w:rsid w:val="00AE62CA"/>
    <w:rsid w:val="00AE67FC"/>
    <w:rsid w:val="00AE7305"/>
    <w:rsid w:val="00AE7376"/>
    <w:rsid w:val="00AE7DA3"/>
    <w:rsid w:val="00AF020A"/>
    <w:rsid w:val="00AF06CF"/>
    <w:rsid w:val="00AF1033"/>
    <w:rsid w:val="00AF1102"/>
    <w:rsid w:val="00AF1183"/>
    <w:rsid w:val="00AF13E2"/>
    <w:rsid w:val="00AF181C"/>
    <w:rsid w:val="00AF1BF0"/>
    <w:rsid w:val="00AF1E6E"/>
    <w:rsid w:val="00AF1F59"/>
    <w:rsid w:val="00AF2904"/>
    <w:rsid w:val="00AF2B88"/>
    <w:rsid w:val="00AF31D4"/>
    <w:rsid w:val="00AF33C5"/>
    <w:rsid w:val="00AF3517"/>
    <w:rsid w:val="00AF38BD"/>
    <w:rsid w:val="00AF3CD5"/>
    <w:rsid w:val="00AF44FD"/>
    <w:rsid w:val="00AF4AA9"/>
    <w:rsid w:val="00AF4B42"/>
    <w:rsid w:val="00AF4BA1"/>
    <w:rsid w:val="00AF5852"/>
    <w:rsid w:val="00AF62E7"/>
    <w:rsid w:val="00AF691C"/>
    <w:rsid w:val="00AF696F"/>
    <w:rsid w:val="00AF6AEF"/>
    <w:rsid w:val="00AF6E1A"/>
    <w:rsid w:val="00AF7296"/>
    <w:rsid w:val="00AF783C"/>
    <w:rsid w:val="00AF7843"/>
    <w:rsid w:val="00AF7DA4"/>
    <w:rsid w:val="00AF7DCA"/>
    <w:rsid w:val="00B004E1"/>
    <w:rsid w:val="00B015F1"/>
    <w:rsid w:val="00B01744"/>
    <w:rsid w:val="00B018D9"/>
    <w:rsid w:val="00B01DAA"/>
    <w:rsid w:val="00B01E9D"/>
    <w:rsid w:val="00B02127"/>
    <w:rsid w:val="00B02720"/>
    <w:rsid w:val="00B02A2E"/>
    <w:rsid w:val="00B02F75"/>
    <w:rsid w:val="00B035E8"/>
    <w:rsid w:val="00B0489D"/>
    <w:rsid w:val="00B053A9"/>
    <w:rsid w:val="00B05527"/>
    <w:rsid w:val="00B057D4"/>
    <w:rsid w:val="00B059C4"/>
    <w:rsid w:val="00B05E1A"/>
    <w:rsid w:val="00B06A81"/>
    <w:rsid w:val="00B076B0"/>
    <w:rsid w:val="00B10015"/>
    <w:rsid w:val="00B10359"/>
    <w:rsid w:val="00B111C6"/>
    <w:rsid w:val="00B1140E"/>
    <w:rsid w:val="00B114A9"/>
    <w:rsid w:val="00B11503"/>
    <w:rsid w:val="00B115C2"/>
    <w:rsid w:val="00B117A5"/>
    <w:rsid w:val="00B13281"/>
    <w:rsid w:val="00B13BAC"/>
    <w:rsid w:val="00B13DEE"/>
    <w:rsid w:val="00B1493A"/>
    <w:rsid w:val="00B15134"/>
    <w:rsid w:val="00B154A6"/>
    <w:rsid w:val="00B15552"/>
    <w:rsid w:val="00B15A01"/>
    <w:rsid w:val="00B164CB"/>
    <w:rsid w:val="00B16737"/>
    <w:rsid w:val="00B16963"/>
    <w:rsid w:val="00B16B6B"/>
    <w:rsid w:val="00B17792"/>
    <w:rsid w:val="00B17C9F"/>
    <w:rsid w:val="00B17D86"/>
    <w:rsid w:val="00B20796"/>
    <w:rsid w:val="00B20BFB"/>
    <w:rsid w:val="00B21104"/>
    <w:rsid w:val="00B21124"/>
    <w:rsid w:val="00B22544"/>
    <w:rsid w:val="00B22654"/>
    <w:rsid w:val="00B22A82"/>
    <w:rsid w:val="00B2337B"/>
    <w:rsid w:val="00B23A77"/>
    <w:rsid w:val="00B23C71"/>
    <w:rsid w:val="00B23CA3"/>
    <w:rsid w:val="00B23F5F"/>
    <w:rsid w:val="00B240B4"/>
    <w:rsid w:val="00B247A1"/>
    <w:rsid w:val="00B24E46"/>
    <w:rsid w:val="00B252EA"/>
    <w:rsid w:val="00B25F03"/>
    <w:rsid w:val="00B26691"/>
    <w:rsid w:val="00B267A2"/>
    <w:rsid w:val="00B270FB"/>
    <w:rsid w:val="00B27320"/>
    <w:rsid w:val="00B27860"/>
    <w:rsid w:val="00B27A39"/>
    <w:rsid w:val="00B301C5"/>
    <w:rsid w:val="00B30384"/>
    <w:rsid w:val="00B31165"/>
    <w:rsid w:val="00B315E0"/>
    <w:rsid w:val="00B315ED"/>
    <w:rsid w:val="00B320B6"/>
    <w:rsid w:val="00B33BB3"/>
    <w:rsid w:val="00B33D6C"/>
    <w:rsid w:val="00B341BD"/>
    <w:rsid w:val="00B34C1E"/>
    <w:rsid w:val="00B34E6C"/>
    <w:rsid w:val="00B35186"/>
    <w:rsid w:val="00B3659E"/>
    <w:rsid w:val="00B3660A"/>
    <w:rsid w:val="00B367AB"/>
    <w:rsid w:val="00B36D4A"/>
    <w:rsid w:val="00B36F70"/>
    <w:rsid w:val="00B37150"/>
    <w:rsid w:val="00B371DC"/>
    <w:rsid w:val="00B3774F"/>
    <w:rsid w:val="00B4003A"/>
    <w:rsid w:val="00B40B1A"/>
    <w:rsid w:val="00B40EB4"/>
    <w:rsid w:val="00B41471"/>
    <w:rsid w:val="00B41714"/>
    <w:rsid w:val="00B429F9"/>
    <w:rsid w:val="00B432CD"/>
    <w:rsid w:val="00B43A50"/>
    <w:rsid w:val="00B43AC9"/>
    <w:rsid w:val="00B43B45"/>
    <w:rsid w:val="00B44425"/>
    <w:rsid w:val="00B44E33"/>
    <w:rsid w:val="00B459DF"/>
    <w:rsid w:val="00B4601E"/>
    <w:rsid w:val="00B464D1"/>
    <w:rsid w:val="00B464D5"/>
    <w:rsid w:val="00B46676"/>
    <w:rsid w:val="00B46856"/>
    <w:rsid w:val="00B47338"/>
    <w:rsid w:val="00B4789E"/>
    <w:rsid w:val="00B47F3E"/>
    <w:rsid w:val="00B50B81"/>
    <w:rsid w:val="00B51897"/>
    <w:rsid w:val="00B519AC"/>
    <w:rsid w:val="00B51DA2"/>
    <w:rsid w:val="00B52244"/>
    <w:rsid w:val="00B52363"/>
    <w:rsid w:val="00B52995"/>
    <w:rsid w:val="00B530E1"/>
    <w:rsid w:val="00B532D7"/>
    <w:rsid w:val="00B53BF6"/>
    <w:rsid w:val="00B54066"/>
    <w:rsid w:val="00B54453"/>
    <w:rsid w:val="00B54497"/>
    <w:rsid w:val="00B5451E"/>
    <w:rsid w:val="00B54F22"/>
    <w:rsid w:val="00B55020"/>
    <w:rsid w:val="00B5610F"/>
    <w:rsid w:val="00B565BB"/>
    <w:rsid w:val="00B565F1"/>
    <w:rsid w:val="00B56BEE"/>
    <w:rsid w:val="00B56DFE"/>
    <w:rsid w:val="00B57557"/>
    <w:rsid w:val="00B57588"/>
    <w:rsid w:val="00B57BC8"/>
    <w:rsid w:val="00B57CD4"/>
    <w:rsid w:val="00B57FC3"/>
    <w:rsid w:val="00B60A6B"/>
    <w:rsid w:val="00B60B75"/>
    <w:rsid w:val="00B6102C"/>
    <w:rsid w:val="00B61B40"/>
    <w:rsid w:val="00B6202F"/>
    <w:rsid w:val="00B62069"/>
    <w:rsid w:val="00B622FA"/>
    <w:rsid w:val="00B62E39"/>
    <w:rsid w:val="00B62ECC"/>
    <w:rsid w:val="00B62FA9"/>
    <w:rsid w:val="00B630BA"/>
    <w:rsid w:val="00B6362F"/>
    <w:rsid w:val="00B639FA"/>
    <w:rsid w:val="00B646A2"/>
    <w:rsid w:val="00B659F4"/>
    <w:rsid w:val="00B65ADD"/>
    <w:rsid w:val="00B664D4"/>
    <w:rsid w:val="00B665FD"/>
    <w:rsid w:val="00B66AC1"/>
    <w:rsid w:val="00B66C82"/>
    <w:rsid w:val="00B7007D"/>
    <w:rsid w:val="00B7026A"/>
    <w:rsid w:val="00B709F1"/>
    <w:rsid w:val="00B70EE4"/>
    <w:rsid w:val="00B71109"/>
    <w:rsid w:val="00B71373"/>
    <w:rsid w:val="00B71D6E"/>
    <w:rsid w:val="00B71EC4"/>
    <w:rsid w:val="00B7283E"/>
    <w:rsid w:val="00B72FA3"/>
    <w:rsid w:val="00B732A0"/>
    <w:rsid w:val="00B73301"/>
    <w:rsid w:val="00B738F9"/>
    <w:rsid w:val="00B73B54"/>
    <w:rsid w:val="00B748B9"/>
    <w:rsid w:val="00B74E28"/>
    <w:rsid w:val="00B752E4"/>
    <w:rsid w:val="00B75834"/>
    <w:rsid w:val="00B75B76"/>
    <w:rsid w:val="00B75E20"/>
    <w:rsid w:val="00B76458"/>
    <w:rsid w:val="00B769D4"/>
    <w:rsid w:val="00B76E7B"/>
    <w:rsid w:val="00B77CC0"/>
    <w:rsid w:val="00B80C51"/>
    <w:rsid w:val="00B810BE"/>
    <w:rsid w:val="00B81A84"/>
    <w:rsid w:val="00B821CA"/>
    <w:rsid w:val="00B84007"/>
    <w:rsid w:val="00B84140"/>
    <w:rsid w:val="00B84859"/>
    <w:rsid w:val="00B8487A"/>
    <w:rsid w:val="00B84C4B"/>
    <w:rsid w:val="00B84D67"/>
    <w:rsid w:val="00B84F96"/>
    <w:rsid w:val="00B8510C"/>
    <w:rsid w:val="00B85939"/>
    <w:rsid w:val="00B86800"/>
    <w:rsid w:val="00B86B62"/>
    <w:rsid w:val="00B878EB"/>
    <w:rsid w:val="00B8790E"/>
    <w:rsid w:val="00B87E6E"/>
    <w:rsid w:val="00B9012F"/>
    <w:rsid w:val="00B90B94"/>
    <w:rsid w:val="00B90BFC"/>
    <w:rsid w:val="00B90F2F"/>
    <w:rsid w:val="00B91224"/>
    <w:rsid w:val="00B91650"/>
    <w:rsid w:val="00B91884"/>
    <w:rsid w:val="00B91B92"/>
    <w:rsid w:val="00B92632"/>
    <w:rsid w:val="00B92A1A"/>
    <w:rsid w:val="00B93131"/>
    <w:rsid w:val="00B9367D"/>
    <w:rsid w:val="00B93AD1"/>
    <w:rsid w:val="00B93D91"/>
    <w:rsid w:val="00B93F37"/>
    <w:rsid w:val="00B94741"/>
    <w:rsid w:val="00B94BF9"/>
    <w:rsid w:val="00B94E3B"/>
    <w:rsid w:val="00B95886"/>
    <w:rsid w:val="00B95942"/>
    <w:rsid w:val="00B959BB"/>
    <w:rsid w:val="00B95C62"/>
    <w:rsid w:val="00B9665E"/>
    <w:rsid w:val="00B96874"/>
    <w:rsid w:val="00B97802"/>
    <w:rsid w:val="00B97F8E"/>
    <w:rsid w:val="00BA0770"/>
    <w:rsid w:val="00BA0940"/>
    <w:rsid w:val="00BA0DD3"/>
    <w:rsid w:val="00BA1997"/>
    <w:rsid w:val="00BA19E3"/>
    <w:rsid w:val="00BA1CE3"/>
    <w:rsid w:val="00BA1D99"/>
    <w:rsid w:val="00BA2299"/>
    <w:rsid w:val="00BA23AE"/>
    <w:rsid w:val="00BA2469"/>
    <w:rsid w:val="00BA251B"/>
    <w:rsid w:val="00BA2B97"/>
    <w:rsid w:val="00BA2B9C"/>
    <w:rsid w:val="00BA2D16"/>
    <w:rsid w:val="00BA2E4D"/>
    <w:rsid w:val="00BA2E8D"/>
    <w:rsid w:val="00BA4833"/>
    <w:rsid w:val="00BA4EF8"/>
    <w:rsid w:val="00BA4F34"/>
    <w:rsid w:val="00BA570D"/>
    <w:rsid w:val="00BA59C3"/>
    <w:rsid w:val="00BA5B56"/>
    <w:rsid w:val="00BA5D1C"/>
    <w:rsid w:val="00BA6255"/>
    <w:rsid w:val="00BA68AF"/>
    <w:rsid w:val="00BA71E9"/>
    <w:rsid w:val="00BA775A"/>
    <w:rsid w:val="00BA7C83"/>
    <w:rsid w:val="00BA7C9F"/>
    <w:rsid w:val="00BB00AC"/>
    <w:rsid w:val="00BB0F02"/>
    <w:rsid w:val="00BB12CE"/>
    <w:rsid w:val="00BB2BAA"/>
    <w:rsid w:val="00BB3291"/>
    <w:rsid w:val="00BB3E46"/>
    <w:rsid w:val="00BB424F"/>
    <w:rsid w:val="00BB473F"/>
    <w:rsid w:val="00BB4BB4"/>
    <w:rsid w:val="00BB4E73"/>
    <w:rsid w:val="00BB52B1"/>
    <w:rsid w:val="00BB5A96"/>
    <w:rsid w:val="00BB5C50"/>
    <w:rsid w:val="00BB6F51"/>
    <w:rsid w:val="00BB71B3"/>
    <w:rsid w:val="00BB7781"/>
    <w:rsid w:val="00BB790E"/>
    <w:rsid w:val="00BB7F27"/>
    <w:rsid w:val="00BB7FF7"/>
    <w:rsid w:val="00BC060A"/>
    <w:rsid w:val="00BC0ACD"/>
    <w:rsid w:val="00BC12F5"/>
    <w:rsid w:val="00BC1B60"/>
    <w:rsid w:val="00BC217B"/>
    <w:rsid w:val="00BC275A"/>
    <w:rsid w:val="00BC2FB8"/>
    <w:rsid w:val="00BC3CCE"/>
    <w:rsid w:val="00BC4020"/>
    <w:rsid w:val="00BC43E8"/>
    <w:rsid w:val="00BC4527"/>
    <w:rsid w:val="00BC45B4"/>
    <w:rsid w:val="00BC492A"/>
    <w:rsid w:val="00BC4A6D"/>
    <w:rsid w:val="00BC51E1"/>
    <w:rsid w:val="00BC52C5"/>
    <w:rsid w:val="00BC59EB"/>
    <w:rsid w:val="00BC6035"/>
    <w:rsid w:val="00BC6C56"/>
    <w:rsid w:val="00BC6D6D"/>
    <w:rsid w:val="00BC70EF"/>
    <w:rsid w:val="00BC76F4"/>
    <w:rsid w:val="00BC77ED"/>
    <w:rsid w:val="00BC7BD2"/>
    <w:rsid w:val="00BD078F"/>
    <w:rsid w:val="00BD0B2B"/>
    <w:rsid w:val="00BD12C8"/>
    <w:rsid w:val="00BD14AD"/>
    <w:rsid w:val="00BD15A8"/>
    <w:rsid w:val="00BD172B"/>
    <w:rsid w:val="00BD177F"/>
    <w:rsid w:val="00BD17B5"/>
    <w:rsid w:val="00BD1C38"/>
    <w:rsid w:val="00BD2E35"/>
    <w:rsid w:val="00BD3813"/>
    <w:rsid w:val="00BD489B"/>
    <w:rsid w:val="00BD4AC4"/>
    <w:rsid w:val="00BD4C8C"/>
    <w:rsid w:val="00BD5603"/>
    <w:rsid w:val="00BD58C9"/>
    <w:rsid w:val="00BD5A9E"/>
    <w:rsid w:val="00BD5D0C"/>
    <w:rsid w:val="00BD5EE6"/>
    <w:rsid w:val="00BD67BB"/>
    <w:rsid w:val="00BE0272"/>
    <w:rsid w:val="00BE0BD5"/>
    <w:rsid w:val="00BE0CD6"/>
    <w:rsid w:val="00BE0D82"/>
    <w:rsid w:val="00BE171E"/>
    <w:rsid w:val="00BE1A1A"/>
    <w:rsid w:val="00BE1A6A"/>
    <w:rsid w:val="00BE22F8"/>
    <w:rsid w:val="00BE2A45"/>
    <w:rsid w:val="00BE2E99"/>
    <w:rsid w:val="00BE340D"/>
    <w:rsid w:val="00BE37B4"/>
    <w:rsid w:val="00BE38E4"/>
    <w:rsid w:val="00BE41E5"/>
    <w:rsid w:val="00BE4301"/>
    <w:rsid w:val="00BE4595"/>
    <w:rsid w:val="00BE517A"/>
    <w:rsid w:val="00BE5749"/>
    <w:rsid w:val="00BE59BE"/>
    <w:rsid w:val="00BE5A0D"/>
    <w:rsid w:val="00BE6564"/>
    <w:rsid w:val="00BE69AD"/>
    <w:rsid w:val="00BE6C7A"/>
    <w:rsid w:val="00BE6C85"/>
    <w:rsid w:val="00BE6E41"/>
    <w:rsid w:val="00BE7A8F"/>
    <w:rsid w:val="00BF04D2"/>
    <w:rsid w:val="00BF125F"/>
    <w:rsid w:val="00BF15AE"/>
    <w:rsid w:val="00BF163D"/>
    <w:rsid w:val="00BF184A"/>
    <w:rsid w:val="00BF187F"/>
    <w:rsid w:val="00BF1B1A"/>
    <w:rsid w:val="00BF1C81"/>
    <w:rsid w:val="00BF2059"/>
    <w:rsid w:val="00BF253D"/>
    <w:rsid w:val="00BF2D84"/>
    <w:rsid w:val="00BF2E93"/>
    <w:rsid w:val="00BF3B68"/>
    <w:rsid w:val="00BF446E"/>
    <w:rsid w:val="00BF4A6A"/>
    <w:rsid w:val="00BF4B8A"/>
    <w:rsid w:val="00BF4C32"/>
    <w:rsid w:val="00BF4D51"/>
    <w:rsid w:val="00BF5033"/>
    <w:rsid w:val="00BF5221"/>
    <w:rsid w:val="00BF58E6"/>
    <w:rsid w:val="00BF5EEE"/>
    <w:rsid w:val="00BF5FBE"/>
    <w:rsid w:val="00BF62AA"/>
    <w:rsid w:val="00BF62F4"/>
    <w:rsid w:val="00BF68F7"/>
    <w:rsid w:val="00BF6BDC"/>
    <w:rsid w:val="00BF7FC9"/>
    <w:rsid w:val="00C003F0"/>
    <w:rsid w:val="00C011F2"/>
    <w:rsid w:val="00C01DCB"/>
    <w:rsid w:val="00C02DE7"/>
    <w:rsid w:val="00C02E7E"/>
    <w:rsid w:val="00C0300F"/>
    <w:rsid w:val="00C03118"/>
    <w:rsid w:val="00C03205"/>
    <w:rsid w:val="00C03547"/>
    <w:rsid w:val="00C0398F"/>
    <w:rsid w:val="00C05F6E"/>
    <w:rsid w:val="00C0647B"/>
    <w:rsid w:val="00C06633"/>
    <w:rsid w:val="00C0699C"/>
    <w:rsid w:val="00C06DE8"/>
    <w:rsid w:val="00C07D39"/>
    <w:rsid w:val="00C103A7"/>
    <w:rsid w:val="00C10EB3"/>
    <w:rsid w:val="00C11192"/>
    <w:rsid w:val="00C111F5"/>
    <w:rsid w:val="00C113B7"/>
    <w:rsid w:val="00C11829"/>
    <w:rsid w:val="00C11F76"/>
    <w:rsid w:val="00C122EE"/>
    <w:rsid w:val="00C125B1"/>
    <w:rsid w:val="00C12687"/>
    <w:rsid w:val="00C12A09"/>
    <w:rsid w:val="00C12FE5"/>
    <w:rsid w:val="00C131EE"/>
    <w:rsid w:val="00C1324E"/>
    <w:rsid w:val="00C13290"/>
    <w:rsid w:val="00C13907"/>
    <w:rsid w:val="00C13CB9"/>
    <w:rsid w:val="00C13FD6"/>
    <w:rsid w:val="00C14319"/>
    <w:rsid w:val="00C14A91"/>
    <w:rsid w:val="00C15766"/>
    <w:rsid w:val="00C15CFE"/>
    <w:rsid w:val="00C1694F"/>
    <w:rsid w:val="00C1695E"/>
    <w:rsid w:val="00C16C4A"/>
    <w:rsid w:val="00C17899"/>
    <w:rsid w:val="00C17D96"/>
    <w:rsid w:val="00C17E61"/>
    <w:rsid w:val="00C20450"/>
    <w:rsid w:val="00C20D4D"/>
    <w:rsid w:val="00C20EE9"/>
    <w:rsid w:val="00C20FD0"/>
    <w:rsid w:val="00C21AE8"/>
    <w:rsid w:val="00C21C1A"/>
    <w:rsid w:val="00C21C1F"/>
    <w:rsid w:val="00C22441"/>
    <w:rsid w:val="00C22982"/>
    <w:rsid w:val="00C230A2"/>
    <w:rsid w:val="00C2385D"/>
    <w:rsid w:val="00C23C5A"/>
    <w:rsid w:val="00C23EB6"/>
    <w:rsid w:val="00C23F67"/>
    <w:rsid w:val="00C24959"/>
    <w:rsid w:val="00C25965"/>
    <w:rsid w:val="00C26E67"/>
    <w:rsid w:val="00C27437"/>
    <w:rsid w:val="00C276D6"/>
    <w:rsid w:val="00C3047C"/>
    <w:rsid w:val="00C3066F"/>
    <w:rsid w:val="00C322C8"/>
    <w:rsid w:val="00C32B5D"/>
    <w:rsid w:val="00C3333F"/>
    <w:rsid w:val="00C33508"/>
    <w:rsid w:val="00C335F0"/>
    <w:rsid w:val="00C33785"/>
    <w:rsid w:val="00C33B55"/>
    <w:rsid w:val="00C33D5A"/>
    <w:rsid w:val="00C340F8"/>
    <w:rsid w:val="00C34110"/>
    <w:rsid w:val="00C34473"/>
    <w:rsid w:val="00C34CC2"/>
    <w:rsid w:val="00C350A3"/>
    <w:rsid w:val="00C350ED"/>
    <w:rsid w:val="00C35680"/>
    <w:rsid w:val="00C3702A"/>
    <w:rsid w:val="00C37115"/>
    <w:rsid w:val="00C379E0"/>
    <w:rsid w:val="00C416AF"/>
    <w:rsid w:val="00C41B5D"/>
    <w:rsid w:val="00C42655"/>
    <w:rsid w:val="00C4315B"/>
    <w:rsid w:val="00C43491"/>
    <w:rsid w:val="00C43E77"/>
    <w:rsid w:val="00C444C3"/>
    <w:rsid w:val="00C44727"/>
    <w:rsid w:val="00C45375"/>
    <w:rsid w:val="00C45F0E"/>
    <w:rsid w:val="00C474CA"/>
    <w:rsid w:val="00C47A4C"/>
    <w:rsid w:val="00C47CCE"/>
    <w:rsid w:val="00C47E07"/>
    <w:rsid w:val="00C50EA9"/>
    <w:rsid w:val="00C515BB"/>
    <w:rsid w:val="00C51ACE"/>
    <w:rsid w:val="00C51C01"/>
    <w:rsid w:val="00C520D1"/>
    <w:rsid w:val="00C5245B"/>
    <w:rsid w:val="00C52D7C"/>
    <w:rsid w:val="00C532A2"/>
    <w:rsid w:val="00C53CDF"/>
    <w:rsid w:val="00C53E73"/>
    <w:rsid w:val="00C54001"/>
    <w:rsid w:val="00C54DF2"/>
    <w:rsid w:val="00C55334"/>
    <w:rsid w:val="00C55B97"/>
    <w:rsid w:val="00C56597"/>
    <w:rsid w:val="00C56617"/>
    <w:rsid w:val="00C5710F"/>
    <w:rsid w:val="00C60170"/>
    <w:rsid w:val="00C6070E"/>
    <w:rsid w:val="00C608F7"/>
    <w:rsid w:val="00C6099B"/>
    <w:rsid w:val="00C60E6E"/>
    <w:rsid w:val="00C61635"/>
    <w:rsid w:val="00C618B3"/>
    <w:rsid w:val="00C61B5F"/>
    <w:rsid w:val="00C629F9"/>
    <w:rsid w:val="00C636CF"/>
    <w:rsid w:val="00C63A6C"/>
    <w:rsid w:val="00C63CE5"/>
    <w:rsid w:val="00C63E3A"/>
    <w:rsid w:val="00C64A1A"/>
    <w:rsid w:val="00C64CFC"/>
    <w:rsid w:val="00C64E6F"/>
    <w:rsid w:val="00C65481"/>
    <w:rsid w:val="00C65E1A"/>
    <w:rsid w:val="00C66A10"/>
    <w:rsid w:val="00C672DE"/>
    <w:rsid w:val="00C673BB"/>
    <w:rsid w:val="00C676D6"/>
    <w:rsid w:val="00C67EC2"/>
    <w:rsid w:val="00C705CB"/>
    <w:rsid w:val="00C70D36"/>
    <w:rsid w:val="00C70E1B"/>
    <w:rsid w:val="00C70FC2"/>
    <w:rsid w:val="00C71518"/>
    <w:rsid w:val="00C71C46"/>
    <w:rsid w:val="00C7274C"/>
    <w:rsid w:val="00C730F6"/>
    <w:rsid w:val="00C731DB"/>
    <w:rsid w:val="00C73461"/>
    <w:rsid w:val="00C73A01"/>
    <w:rsid w:val="00C73D8F"/>
    <w:rsid w:val="00C74866"/>
    <w:rsid w:val="00C75499"/>
    <w:rsid w:val="00C757C3"/>
    <w:rsid w:val="00C75FB2"/>
    <w:rsid w:val="00C761D1"/>
    <w:rsid w:val="00C772E3"/>
    <w:rsid w:val="00C77574"/>
    <w:rsid w:val="00C777D7"/>
    <w:rsid w:val="00C7789F"/>
    <w:rsid w:val="00C77A2D"/>
    <w:rsid w:val="00C77B0F"/>
    <w:rsid w:val="00C805F7"/>
    <w:rsid w:val="00C806A0"/>
    <w:rsid w:val="00C80A97"/>
    <w:rsid w:val="00C81C80"/>
    <w:rsid w:val="00C81DB5"/>
    <w:rsid w:val="00C81E82"/>
    <w:rsid w:val="00C82813"/>
    <w:rsid w:val="00C830BC"/>
    <w:rsid w:val="00C83CC0"/>
    <w:rsid w:val="00C84323"/>
    <w:rsid w:val="00C84C16"/>
    <w:rsid w:val="00C84CC6"/>
    <w:rsid w:val="00C84F73"/>
    <w:rsid w:val="00C85E00"/>
    <w:rsid w:val="00C8694A"/>
    <w:rsid w:val="00C86C4F"/>
    <w:rsid w:val="00C87672"/>
    <w:rsid w:val="00C87905"/>
    <w:rsid w:val="00C87A97"/>
    <w:rsid w:val="00C87D5A"/>
    <w:rsid w:val="00C907CA"/>
    <w:rsid w:val="00C9187E"/>
    <w:rsid w:val="00C925E1"/>
    <w:rsid w:val="00C92960"/>
    <w:rsid w:val="00C92978"/>
    <w:rsid w:val="00C93346"/>
    <w:rsid w:val="00C9347E"/>
    <w:rsid w:val="00C94287"/>
    <w:rsid w:val="00C94B15"/>
    <w:rsid w:val="00C95BA7"/>
    <w:rsid w:val="00C961C3"/>
    <w:rsid w:val="00C962CA"/>
    <w:rsid w:val="00C963FD"/>
    <w:rsid w:val="00C966A1"/>
    <w:rsid w:val="00C97630"/>
    <w:rsid w:val="00CA0819"/>
    <w:rsid w:val="00CA0B4A"/>
    <w:rsid w:val="00CA0C38"/>
    <w:rsid w:val="00CA0E6F"/>
    <w:rsid w:val="00CA1672"/>
    <w:rsid w:val="00CA2185"/>
    <w:rsid w:val="00CA2D42"/>
    <w:rsid w:val="00CA2D62"/>
    <w:rsid w:val="00CA3471"/>
    <w:rsid w:val="00CA357A"/>
    <w:rsid w:val="00CA419F"/>
    <w:rsid w:val="00CA60FD"/>
    <w:rsid w:val="00CA62C3"/>
    <w:rsid w:val="00CA6F9E"/>
    <w:rsid w:val="00CA7DE7"/>
    <w:rsid w:val="00CB0009"/>
    <w:rsid w:val="00CB01D0"/>
    <w:rsid w:val="00CB0B3B"/>
    <w:rsid w:val="00CB1285"/>
    <w:rsid w:val="00CB14ED"/>
    <w:rsid w:val="00CB192D"/>
    <w:rsid w:val="00CB1C2E"/>
    <w:rsid w:val="00CB1FC7"/>
    <w:rsid w:val="00CB28AC"/>
    <w:rsid w:val="00CB3208"/>
    <w:rsid w:val="00CB51B3"/>
    <w:rsid w:val="00CB5825"/>
    <w:rsid w:val="00CB5841"/>
    <w:rsid w:val="00CB5A47"/>
    <w:rsid w:val="00CB6225"/>
    <w:rsid w:val="00CB623F"/>
    <w:rsid w:val="00CB63A5"/>
    <w:rsid w:val="00CB686A"/>
    <w:rsid w:val="00CB6924"/>
    <w:rsid w:val="00CB6B67"/>
    <w:rsid w:val="00CB6FCA"/>
    <w:rsid w:val="00CB78F4"/>
    <w:rsid w:val="00CB7AD2"/>
    <w:rsid w:val="00CB7C47"/>
    <w:rsid w:val="00CB7E5C"/>
    <w:rsid w:val="00CC094E"/>
    <w:rsid w:val="00CC0B5D"/>
    <w:rsid w:val="00CC1071"/>
    <w:rsid w:val="00CC121D"/>
    <w:rsid w:val="00CC1AD3"/>
    <w:rsid w:val="00CC20E7"/>
    <w:rsid w:val="00CC2C33"/>
    <w:rsid w:val="00CC2C77"/>
    <w:rsid w:val="00CC2FE5"/>
    <w:rsid w:val="00CC35CB"/>
    <w:rsid w:val="00CC3D51"/>
    <w:rsid w:val="00CC3EBC"/>
    <w:rsid w:val="00CC475C"/>
    <w:rsid w:val="00CC5608"/>
    <w:rsid w:val="00CC6388"/>
    <w:rsid w:val="00CC72D0"/>
    <w:rsid w:val="00CC75CB"/>
    <w:rsid w:val="00CC7B63"/>
    <w:rsid w:val="00CD1167"/>
    <w:rsid w:val="00CD12CF"/>
    <w:rsid w:val="00CD1C19"/>
    <w:rsid w:val="00CD22BD"/>
    <w:rsid w:val="00CD2610"/>
    <w:rsid w:val="00CD2802"/>
    <w:rsid w:val="00CD2B69"/>
    <w:rsid w:val="00CD2BB4"/>
    <w:rsid w:val="00CD357B"/>
    <w:rsid w:val="00CD3CEC"/>
    <w:rsid w:val="00CD3DFC"/>
    <w:rsid w:val="00CD4880"/>
    <w:rsid w:val="00CD543F"/>
    <w:rsid w:val="00CD5853"/>
    <w:rsid w:val="00CD585C"/>
    <w:rsid w:val="00CD61DB"/>
    <w:rsid w:val="00CD6B96"/>
    <w:rsid w:val="00CD6D9D"/>
    <w:rsid w:val="00CD6E90"/>
    <w:rsid w:val="00CD79D3"/>
    <w:rsid w:val="00CD7B21"/>
    <w:rsid w:val="00CD7ECE"/>
    <w:rsid w:val="00CE0386"/>
    <w:rsid w:val="00CE0FB3"/>
    <w:rsid w:val="00CE17EB"/>
    <w:rsid w:val="00CE272F"/>
    <w:rsid w:val="00CE3409"/>
    <w:rsid w:val="00CE4B64"/>
    <w:rsid w:val="00CE58AB"/>
    <w:rsid w:val="00CE61D8"/>
    <w:rsid w:val="00CE70D5"/>
    <w:rsid w:val="00CE7145"/>
    <w:rsid w:val="00CE751D"/>
    <w:rsid w:val="00CE7725"/>
    <w:rsid w:val="00CE78C6"/>
    <w:rsid w:val="00CE7C75"/>
    <w:rsid w:val="00CF06F5"/>
    <w:rsid w:val="00CF13C0"/>
    <w:rsid w:val="00CF160C"/>
    <w:rsid w:val="00CF18D7"/>
    <w:rsid w:val="00CF1BA6"/>
    <w:rsid w:val="00CF2834"/>
    <w:rsid w:val="00CF2A1F"/>
    <w:rsid w:val="00CF3446"/>
    <w:rsid w:val="00CF3839"/>
    <w:rsid w:val="00CF463B"/>
    <w:rsid w:val="00CF4E64"/>
    <w:rsid w:val="00CF748E"/>
    <w:rsid w:val="00CF7CFE"/>
    <w:rsid w:val="00D01C65"/>
    <w:rsid w:val="00D01E02"/>
    <w:rsid w:val="00D020E5"/>
    <w:rsid w:val="00D025E8"/>
    <w:rsid w:val="00D038DD"/>
    <w:rsid w:val="00D03C3C"/>
    <w:rsid w:val="00D04095"/>
    <w:rsid w:val="00D04895"/>
    <w:rsid w:val="00D05291"/>
    <w:rsid w:val="00D05302"/>
    <w:rsid w:val="00D0569F"/>
    <w:rsid w:val="00D058BB"/>
    <w:rsid w:val="00D05E76"/>
    <w:rsid w:val="00D0699B"/>
    <w:rsid w:val="00D06A35"/>
    <w:rsid w:val="00D06C7F"/>
    <w:rsid w:val="00D06E28"/>
    <w:rsid w:val="00D072D8"/>
    <w:rsid w:val="00D07B02"/>
    <w:rsid w:val="00D10553"/>
    <w:rsid w:val="00D10E00"/>
    <w:rsid w:val="00D11216"/>
    <w:rsid w:val="00D1166A"/>
    <w:rsid w:val="00D11894"/>
    <w:rsid w:val="00D11D52"/>
    <w:rsid w:val="00D12196"/>
    <w:rsid w:val="00D1225A"/>
    <w:rsid w:val="00D12E94"/>
    <w:rsid w:val="00D13320"/>
    <w:rsid w:val="00D13935"/>
    <w:rsid w:val="00D1487A"/>
    <w:rsid w:val="00D14BAC"/>
    <w:rsid w:val="00D14BF0"/>
    <w:rsid w:val="00D152E8"/>
    <w:rsid w:val="00D1530A"/>
    <w:rsid w:val="00D1683D"/>
    <w:rsid w:val="00D17099"/>
    <w:rsid w:val="00D20049"/>
    <w:rsid w:val="00D203D7"/>
    <w:rsid w:val="00D20437"/>
    <w:rsid w:val="00D20941"/>
    <w:rsid w:val="00D20B0C"/>
    <w:rsid w:val="00D20C8B"/>
    <w:rsid w:val="00D20D43"/>
    <w:rsid w:val="00D20E9B"/>
    <w:rsid w:val="00D211DD"/>
    <w:rsid w:val="00D218F5"/>
    <w:rsid w:val="00D21948"/>
    <w:rsid w:val="00D224B1"/>
    <w:rsid w:val="00D2267C"/>
    <w:rsid w:val="00D232AD"/>
    <w:rsid w:val="00D233D6"/>
    <w:rsid w:val="00D248F4"/>
    <w:rsid w:val="00D24A05"/>
    <w:rsid w:val="00D24F5B"/>
    <w:rsid w:val="00D252CC"/>
    <w:rsid w:val="00D2569E"/>
    <w:rsid w:val="00D25E94"/>
    <w:rsid w:val="00D25FFE"/>
    <w:rsid w:val="00D26F27"/>
    <w:rsid w:val="00D274D6"/>
    <w:rsid w:val="00D27924"/>
    <w:rsid w:val="00D27964"/>
    <w:rsid w:val="00D301B8"/>
    <w:rsid w:val="00D30BA5"/>
    <w:rsid w:val="00D30F8E"/>
    <w:rsid w:val="00D30FEE"/>
    <w:rsid w:val="00D31413"/>
    <w:rsid w:val="00D31622"/>
    <w:rsid w:val="00D31C59"/>
    <w:rsid w:val="00D325F7"/>
    <w:rsid w:val="00D32FBE"/>
    <w:rsid w:val="00D3318B"/>
    <w:rsid w:val="00D33594"/>
    <w:rsid w:val="00D338EA"/>
    <w:rsid w:val="00D33C48"/>
    <w:rsid w:val="00D33D39"/>
    <w:rsid w:val="00D3443A"/>
    <w:rsid w:val="00D344C4"/>
    <w:rsid w:val="00D3520F"/>
    <w:rsid w:val="00D3526B"/>
    <w:rsid w:val="00D35560"/>
    <w:rsid w:val="00D3566D"/>
    <w:rsid w:val="00D35790"/>
    <w:rsid w:val="00D35BA3"/>
    <w:rsid w:val="00D35E1C"/>
    <w:rsid w:val="00D35FF5"/>
    <w:rsid w:val="00D36AC4"/>
    <w:rsid w:val="00D378F2"/>
    <w:rsid w:val="00D37A30"/>
    <w:rsid w:val="00D40180"/>
    <w:rsid w:val="00D40446"/>
    <w:rsid w:val="00D406E7"/>
    <w:rsid w:val="00D4170F"/>
    <w:rsid w:val="00D41968"/>
    <w:rsid w:val="00D42052"/>
    <w:rsid w:val="00D42BEE"/>
    <w:rsid w:val="00D42E51"/>
    <w:rsid w:val="00D43251"/>
    <w:rsid w:val="00D433A7"/>
    <w:rsid w:val="00D434D3"/>
    <w:rsid w:val="00D43B33"/>
    <w:rsid w:val="00D4557A"/>
    <w:rsid w:val="00D45C4F"/>
    <w:rsid w:val="00D46009"/>
    <w:rsid w:val="00D47192"/>
    <w:rsid w:val="00D4752D"/>
    <w:rsid w:val="00D47785"/>
    <w:rsid w:val="00D50230"/>
    <w:rsid w:val="00D5132C"/>
    <w:rsid w:val="00D51885"/>
    <w:rsid w:val="00D51B09"/>
    <w:rsid w:val="00D52594"/>
    <w:rsid w:val="00D527AA"/>
    <w:rsid w:val="00D52D63"/>
    <w:rsid w:val="00D53436"/>
    <w:rsid w:val="00D53EB1"/>
    <w:rsid w:val="00D54C50"/>
    <w:rsid w:val="00D54CB4"/>
    <w:rsid w:val="00D54FBB"/>
    <w:rsid w:val="00D55506"/>
    <w:rsid w:val="00D555EF"/>
    <w:rsid w:val="00D55816"/>
    <w:rsid w:val="00D5593F"/>
    <w:rsid w:val="00D559FA"/>
    <w:rsid w:val="00D5602F"/>
    <w:rsid w:val="00D5619D"/>
    <w:rsid w:val="00D56631"/>
    <w:rsid w:val="00D56713"/>
    <w:rsid w:val="00D56C87"/>
    <w:rsid w:val="00D57052"/>
    <w:rsid w:val="00D574C8"/>
    <w:rsid w:val="00D575F4"/>
    <w:rsid w:val="00D57725"/>
    <w:rsid w:val="00D57D35"/>
    <w:rsid w:val="00D57F92"/>
    <w:rsid w:val="00D603F2"/>
    <w:rsid w:val="00D61464"/>
    <w:rsid w:val="00D61F3B"/>
    <w:rsid w:val="00D61F60"/>
    <w:rsid w:val="00D62696"/>
    <w:rsid w:val="00D6272C"/>
    <w:rsid w:val="00D62C0E"/>
    <w:rsid w:val="00D62E96"/>
    <w:rsid w:val="00D62FD1"/>
    <w:rsid w:val="00D65462"/>
    <w:rsid w:val="00D65602"/>
    <w:rsid w:val="00D65991"/>
    <w:rsid w:val="00D65BC3"/>
    <w:rsid w:val="00D667AA"/>
    <w:rsid w:val="00D673F1"/>
    <w:rsid w:val="00D6783A"/>
    <w:rsid w:val="00D67BD5"/>
    <w:rsid w:val="00D70535"/>
    <w:rsid w:val="00D7086E"/>
    <w:rsid w:val="00D71C2B"/>
    <w:rsid w:val="00D71F4B"/>
    <w:rsid w:val="00D72481"/>
    <w:rsid w:val="00D72513"/>
    <w:rsid w:val="00D7267B"/>
    <w:rsid w:val="00D72BFC"/>
    <w:rsid w:val="00D72C3A"/>
    <w:rsid w:val="00D72E37"/>
    <w:rsid w:val="00D72E3E"/>
    <w:rsid w:val="00D73928"/>
    <w:rsid w:val="00D73CE4"/>
    <w:rsid w:val="00D7487A"/>
    <w:rsid w:val="00D749EB"/>
    <w:rsid w:val="00D74A0B"/>
    <w:rsid w:val="00D74D86"/>
    <w:rsid w:val="00D7587E"/>
    <w:rsid w:val="00D75AAB"/>
    <w:rsid w:val="00D768CB"/>
    <w:rsid w:val="00D76F04"/>
    <w:rsid w:val="00D7769D"/>
    <w:rsid w:val="00D77C63"/>
    <w:rsid w:val="00D77D31"/>
    <w:rsid w:val="00D77E41"/>
    <w:rsid w:val="00D8063E"/>
    <w:rsid w:val="00D80845"/>
    <w:rsid w:val="00D80EC2"/>
    <w:rsid w:val="00D81542"/>
    <w:rsid w:val="00D816B1"/>
    <w:rsid w:val="00D823FF"/>
    <w:rsid w:val="00D830E4"/>
    <w:rsid w:val="00D83679"/>
    <w:rsid w:val="00D837B4"/>
    <w:rsid w:val="00D84119"/>
    <w:rsid w:val="00D848E9"/>
    <w:rsid w:val="00D849AD"/>
    <w:rsid w:val="00D84FD4"/>
    <w:rsid w:val="00D853DB"/>
    <w:rsid w:val="00D85670"/>
    <w:rsid w:val="00D85A29"/>
    <w:rsid w:val="00D8667C"/>
    <w:rsid w:val="00D86898"/>
    <w:rsid w:val="00D86B17"/>
    <w:rsid w:val="00D86CEE"/>
    <w:rsid w:val="00D871E6"/>
    <w:rsid w:val="00D875B7"/>
    <w:rsid w:val="00D87A18"/>
    <w:rsid w:val="00D87F86"/>
    <w:rsid w:val="00D90401"/>
    <w:rsid w:val="00D9040C"/>
    <w:rsid w:val="00D90733"/>
    <w:rsid w:val="00D90885"/>
    <w:rsid w:val="00D90BE9"/>
    <w:rsid w:val="00D90EB2"/>
    <w:rsid w:val="00D91864"/>
    <w:rsid w:val="00D91C32"/>
    <w:rsid w:val="00D927C9"/>
    <w:rsid w:val="00D92883"/>
    <w:rsid w:val="00D92BDD"/>
    <w:rsid w:val="00D92C60"/>
    <w:rsid w:val="00D92F4E"/>
    <w:rsid w:val="00D93139"/>
    <w:rsid w:val="00D93AC0"/>
    <w:rsid w:val="00D93DA7"/>
    <w:rsid w:val="00D940FF"/>
    <w:rsid w:val="00D94336"/>
    <w:rsid w:val="00D94C05"/>
    <w:rsid w:val="00D94CE7"/>
    <w:rsid w:val="00D95112"/>
    <w:rsid w:val="00D96A72"/>
    <w:rsid w:val="00D96F09"/>
    <w:rsid w:val="00D97435"/>
    <w:rsid w:val="00D97858"/>
    <w:rsid w:val="00D97A79"/>
    <w:rsid w:val="00D97EDF"/>
    <w:rsid w:val="00DA14F8"/>
    <w:rsid w:val="00DA15F7"/>
    <w:rsid w:val="00DA1E9E"/>
    <w:rsid w:val="00DA1F7C"/>
    <w:rsid w:val="00DA2602"/>
    <w:rsid w:val="00DA275E"/>
    <w:rsid w:val="00DA2812"/>
    <w:rsid w:val="00DA4FA6"/>
    <w:rsid w:val="00DA5107"/>
    <w:rsid w:val="00DA5386"/>
    <w:rsid w:val="00DA5EA6"/>
    <w:rsid w:val="00DA61E8"/>
    <w:rsid w:val="00DA624D"/>
    <w:rsid w:val="00DA79F1"/>
    <w:rsid w:val="00DB0818"/>
    <w:rsid w:val="00DB0A90"/>
    <w:rsid w:val="00DB0AA6"/>
    <w:rsid w:val="00DB1835"/>
    <w:rsid w:val="00DB2634"/>
    <w:rsid w:val="00DB269C"/>
    <w:rsid w:val="00DB349F"/>
    <w:rsid w:val="00DB3D61"/>
    <w:rsid w:val="00DB4140"/>
    <w:rsid w:val="00DB4CB3"/>
    <w:rsid w:val="00DB5372"/>
    <w:rsid w:val="00DB53B9"/>
    <w:rsid w:val="00DB5796"/>
    <w:rsid w:val="00DB628F"/>
    <w:rsid w:val="00DB6316"/>
    <w:rsid w:val="00DB6CD8"/>
    <w:rsid w:val="00DB6E47"/>
    <w:rsid w:val="00DB6F98"/>
    <w:rsid w:val="00DB7668"/>
    <w:rsid w:val="00DB7C3E"/>
    <w:rsid w:val="00DB7D71"/>
    <w:rsid w:val="00DC0448"/>
    <w:rsid w:val="00DC13BF"/>
    <w:rsid w:val="00DC2474"/>
    <w:rsid w:val="00DC323C"/>
    <w:rsid w:val="00DC33B3"/>
    <w:rsid w:val="00DC3498"/>
    <w:rsid w:val="00DC4280"/>
    <w:rsid w:val="00DC5097"/>
    <w:rsid w:val="00DC50BE"/>
    <w:rsid w:val="00DC54EF"/>
    <w:rsid w:val="00DC59FA"/>
    <w:rsid w:val="00DC5F0C"/>
    <w:rsid w:val="00DC6028"/>
    <w:rsid w:val="00DC680E"/>
    <w:rsid w:val="00DC7AB6"/>
    <w:rsid w:val="00DC7EFF"/>
    <w:rsid w:val="00DC7F45"/>
    <w:rsid w:val="00DD0A3E"/>
    <w:rsid w:val="00DD0FB6"/>
    <w:rsid w:val="00DD18B2"/>
    <w:rsid w:val="00DD196C"/>
    <w:rsid w:val="00DD2AB6"/>
    <w:rsid w:val="00DD2ADC"/>
    <w:rsid w:val="00DD382A"/>
    <w:rsid w:val="00DD395A"/>
    <w:rsid w:val="00DD3C7B"/>
    <w:rsid w:val="00DD3F15"/>
    <w:rsid w:val="00DD4019"/>
    <w:rsid w:val="00DD41B8"/>
    <w:rsid w:val="00DD4318"/>
    <w:rsid w:val="00DD482B"/>
    <w:rsid w:val="00DD5B28"/>
    <w:rsid w:val="00DD60A3"/>
    <w:rsid w:val="00DD64AD"/>
    <w:rsid w:val="00DD6729"/>
    <w:rsid w:val="00DD678D"/>
    <w:rsid w:val="00DD6AE2"/>
    <w:rsid w:val="00DD6C1D"/>
    <w:rsid w:val="00DD6C89"/>
    <w:rsid w:val="00DD7061"/>
    <w:rsid w:val="00DD71C9"/>
    <w:rsid w:val="00DD77B4"/>
    <w:rsid w:val="00DE1860"/>
    <w:rsid w:val="00DE1872"/>
    <w:rsid w:val="00DE1E13"/>
    <w:rsid w:val="00DE22F7"/>
    <w:rsid w:val="00DE2892"/>
    <w:rsid w:val="00DE2BF8"/>
    <w:rsid w:val="00DE2C5D"/>
    <w:rsid w:val="00DE2D37"/>
    <w:rsid w:val="00DE2E5E"/>
    <w:rsid w:val="00DE3411"/>
    <w:rsid w:val="00DE3E38"/>
    <w:rsid w:val="00DE45EC"/>
    <w:rsid w:val="00DE4F49"/>
    <w:rsid w:val="00DE5329"/>
    <w:rsid w:val="00DE5A20"/>
    <w:rsid w:val="00DE5AA9"/>
    <w:rsid w:val="00DE5B4F"/>
    <w:rsid w:val="00DE609A"/>
    <w:rsid w:val="00DE6559"/>
    <w:rsid w:val="00DE68F2"/>
    <w:rsid w:val="00DE6A4D"/>
    <w:rsid w:val="00DE7359"/>
    <w:rsid w:val="00DE7C9B"/>
    <w:rsid w:val="00DF0D83"/>
    <w:rsid w:val="00DF113F"/>
    <w:rsid w:val="00DF11FE"/>
    <w:rsid w:val="00DF1267"/>
    <w:rsid w:val="00DF16F1"/>
    <w:rsid w:val="00DF1E77"/>
    <w:rsid w:val="00DF2A52"/>
    <w:rsid w:val="00DF3256"/>
    <w:rsid w:val="00DF35E6"/>
    <w:rsid w:val="00DF39FD"/>
    <w:rsid w:val="00DF3AD4"/>
    <w:rsid w:val="00DF43E8"/>
    <w:rsid w:val="00DF4527"/>
    <w:rsid w:val="00DF47B2"/>
    <w:rsid w:val="00DF4B2D"/>
    <w:rsid w:val="00DF4F99"/>
    <w:rsid w:val="00DF61E8"/>
    <w:rsid w:val="00DF62BE"/>
    <w:rsid w:val="00DF6684"/>
    <w:rsid w:val="00DF696C"/>
    <w:rsid w:val="00DF6CC9"/>
    <w:rsid w:val="00DF6DBA"/>
    <w:rsid w:val="00DF74FE"/>
    <w:rsid w:val="00DF75ED"/>
    <w:rsid w:val="00DF7FBA"/>
    <w:rsid w:val="00E002C5"/>
    <w:rsid w:val="00E00B1E"/>
    <w:rsid w:val="00E00C35"/>
    <w:rsid w:val="00E0127A"/>
    <w:rsid w:val="00E014F3"/>
    <w:rsid w:val="00E0226E"/>
    <w:rsid w:val="00E02D46"/>
    <w:rsid w:val="00E02E26"/>
    <w:rsid w:val="00E03D3F"/>
    <w:rsid w:val="00E03D84"/>
    <w:rsid w:val="00E0407C"/>
    <w:rsid w:val="00E045FC"/>
    <w:rsid w:val="00E04662"/>
    <w:rsid w:val="00E04909"/>
    <w:rsid w:val="00E04B2C"/>
    <w:rsid w:val="00E04BB1"/>
    <w:rsid w:val="00E052FE"/>
    <w:rsid w:val="00E05D72"/>
    <w:rsid w:val="00E06537"/>
    <w:rsid w:val="00E06D34"/>
    <w:rsid w:val="00E07259"/>
    <w:rsid w:val="00E0770F"/>
    <w:rsid w:val="00E07A52"/>
    <w:rsid w:val="00E10437"/>
    <w:rsid w:val="00E10B5B"/>
    <w:rsid w:val="00E10D67"/>
    <w:rsid w:val="00E110B0"/>
    <w:rsid w:val="00E1134C"/>
    <w:rsid w:val="00E11A71"/>
    <w:rsid w:val="00E11E19"/>
    <w:rsid w:val="00E12EDC"/>
    <w:rsid w:val="00E13171"/>
    <w:rsid w:val="00E13647"/>
    <w:rsid w:val="00E13948"/>
    <w:rsid w:val="00E14113"/>
    <w:rsid w:val="00E14318"/>
    <w:rsid w:val="00E14416"/>
    <w:rsid w:val="00E14842"/>
    <w:rsid w:val="00E148BA"/>
    <w:rsid w:val="00E14904"/>
    <w:rsid w:val="00E14A05"/>
    <w:rsid w:val="00E15DBA"/>
    <w:rsid w:val="00E15F43"/>
    <w:rsid w:val="00E1601A"/>
    <w:rsid w:val="00E161B8"/>
    <w:rsid w:val="00E17CD6"/>
    <w:rsid w:val="00E207C7"/>
    <w:rsid w:val="00E208F8"/>
    <w:rsid w:val="00E21F74"/>
    <w:rsid w:val="00E2238E"/>
    <w:rsid w:val="00E230D1"/>
    <w:rsid w:val="00E23256"/>
    <w:rsid w:val="00E23CFA"/>
    <w:rsid w:val="00E2426D"/>
    <w:rsid w:val="00E24550"/>
    <w:rsid w:val="00E245FF"/>
    <w:rsid w:val="00E24C6F"/>
    <w:rsid w:val="00E258B1"/>
    <w:rsid w:val="00E258FA"/>
    <w:rsid w:val="00E25D42"/>
    <w:rsid w:val="00E25FF0"/>
    <w:rsid w:val="00E26F97"/>
    <w:rsid w:val="00E2713A"/>
    <w:rsid w:val="00E2777D"/>
    <w:rsid w:val="00E27F01"/>
    <w:rsid w:val="00E30466"/>
    <w:rsid w:val="00E309F7"/>
    <w:rsid w:val="00E314BB"/>
    <w:rsid w:val="00E3161F"/>
    <w:rsid w:val="00E31B53"/>
    <w:rsid w:val="00E31E90"/>
    <w:rsid w:val="00E32182"/>
    <w:rsid w:val="00E32E80"/>
    <w:rsid w:val="00E33B3D"/>
    <w:rsid w:val="00E33C8E"/>
    <w:rsid w:val="00E3418E"/>
    <w:rsid w:val="00E344B8"/>
    <w:rsid w:val="00E34674"/>
    <w:rsid w:val="00E34BF8"/>
    <w:rsid w:val="00E34CE3"/>
    <w:rsid w:val="00E34D57"/>
    <w:rsid w:val="00E368CF"/>
    <w:rsid w:val="00E36E42"/>
    <w:rsid w:val="00E36E68"/>
    <w:rsid w:val="00E375C4"/>
    <w:rsid w:val="00E37A28"/>
    <w:rsid w:val="00E37FD8"/>
    <w:rsid w:val="00E40D39"/>
    <w:rsid w:val="00E412FB"/>
    <w:rsid w:val="00E419E1"/>
    <w:rsid w:val="00E4237D"/>
    <w:rsid w:val="00E42A0D"/>
    <w:rsid w:val="00E42FED"/>
    <w:rsid w:val="00E43174"/>
    <w:rsid w:val="00E4357A"/>
    <w:rsid w:val="00E4377E"/>
    <w:rsid w:val="00E43CD8"/>
    <w:rsid w:val="00E448C6"/>
    <w:rsid w:val="00E449CA"/>
    <w:rsid w:val="00E44B8E"/>
    <w:rsid w:val="00E44BA8"/>
    <w:rsid w:val="00E44C97"/>
    <w:rsid w:val="00E44CA4"/>
    <w:rsid w:val="00E45064"/>
    <w:rsid w:val="00E45183"/>
    <w:rsid w:val="00E456F8"/>
    <w:rsid w:val="00E459E7"/>
    <w:rsid w:val="00E4747F"/>
    <w:rsid w:val="00E47913"/>
    <w:rsid w:val="00E51699"/>
    <w:rsid w:val="00E517E6"/>
    <w:rsid w:val="00E51833"/>
    <w:rsid w:val="00E5252B"/>
    <w:rsid w:val="00E52D02"/>
    <w:rsid w:val="00E52DC8"/>
    <w:rsid w:val="00E5364B"/>
    <w:rsid w:val="00E53767"/>
    <w:rsid w:val="00E53D7C"/>
    <w:rsid w:val="00E54054"/>
    <w:rsid w:val="00E54209"/>
    <w:rsid w:val="00E54726"/>
    <w:rsid w:val="00E54ABC"/>
    <w:rsid w:val="00E54D9D"/>
    <w:rsid w:val="00E55066"/>
    <w:rsid w:val="00E554F2"/>
    <w:rsid w:val="00E55FB6"/>
    <w:rsid w:val="00E565F5"/>
    <w:rsid w:val="00E5671B"/>
    <w:rsid w:val="00E567D5"/>
    <w:rsid w:val="00E56B07"/>
    <w:rsid w:val="00E56BAF"/>
    <w:rsid w:val="00E57897"/>
    <w:rsid w:val="00E5789E"/>
    <w:rsid w:val="00E579B7"/>
    <w:rsid w:val="00E57D8C"/>
    <w:rsid w:val="00E6053E"/>
    <w:rsid w:val="00E606BE"/>
    <w:rsid w:val="00E6082A"/>
    <w:rsid w:val="00E60EA2"/>
    <w:rsid w:val="00E60EFB"/>
    <w:rsid w:val="00E616DD"/>
    <w:rsid w:val="00E61AB1"/>
    <w:rsid w:val="00E62BFF"/>
    <w:rsid w:val="00E6300C"/>
    <w:rsid w:val="00E634CF"/>
    <w:rsid w:val="00E63555"/>
    <w:rsid w:val="00E63B93"/>
    <w:rsid w:val="00E63E54"/>
    <w:rsid w:val="00E64163"/>
    <w:rsid w:val="00E64577"/>
    <w:rsid w:val="00E65153"/>
    <w:rsid w:val="00E65749"/>
    <w:rsid w:val="00E65B6A"/>
    <w:rsid w:val="00E65CF7"/>
    <w:rsid w:val="00E65EB5"/>
    <w:rsid w:val="00E65EEB"/>
    <w:rsid w:val="00E664B7"/>
    <w:rsid w:val="00E668FA"/>
    <w:rsid w:val="00E6756A"/>
    <w:rsid w:val="00E677D0"/>
    <w:rsid w:val="00E67983"/>
    <w:rsid w:val="00E67D0A"/>
    <w:rsid w:val="00E706BA"/>
    <w:rsid w:val="00E706CA"/>
    <w:rsid w:val="00E70C01"/>
    <w:rsid w:val="00E71167"/>
    <w:rsid w:val="00E715A0"/>
    <w:rsid w:val="00E71A1E"/>
    <w:rsid w:val="00E71C89"/>
    <w:rsid w:val="00E71CB7"/>
    <w:rsid w:val="00E71F34"/>
    <w:rsid w:val="00E7268D"/>
    <w:rsid w:val="00E727DC"/>
    <w:rsid w:val="00E72CB8"/>
    <w:rsid w:val="00E7338D"/>
    <w:rsid w:val="00E735D9"/>
    <w:rsid w:val="00E73749"/>
    <w:rsid w:val="00E73DD5"/>
    <w:rsid w:val="00E74300"/>
    <w:rsid w:val="00E749AB"/>
    <w:rsid w:val="00E75904"/>
    <w:rsid w:val="00E767E8"/>
    <w:rsid w:val="00E76C54"/>
    <w:rsid w:val="00E77336"/>
    <w:rsid w:val="00E7797E"/>
    <w:rsid w:val="00E77E63"/>
    <w:rsid w:val="00E77F2E"/>
    <w:rsid w:val="00E805AB"/>
    <w:rsid w:val="00E80948"/>
    <w:rsid w:val="00E80B0A"/>
    <w:rsid w:val="00E80B81"/>
    <w:rsid w:val="00E81E0F"/>
    <w:rsid w:val="00E82310"/>
    <w:rsid w:val="00E82750"/>
    <w:rsid w:val="00E82C68"/>
    <w:rsid w:val="00E82EFC"/>
    <w:rsid w:val="00E83A57"/>
    <w:rsid w:val="00E83E6C"/>
    <w:rsid w:val="00E8518B"/>
    <w:rsid w:val="00E859F6"/>
    <w:rsid w:val="00E85A2F"/>
    <w:rsid w:val="00E85EFA"/>
    <w:rsid w:val="00E85F2D"/>
    <w:rsid w:val="00E86962"/>
    <w:rsid w:val="00E87BD7"/>
    <w:rsid w:val="00E90B7B"/>
    <w:rsid w:val="00E91771"/>
    <w:rsid w:val="00E917AC"/>
    <w:rsid w:val="00E91B89"/>
    <w:rsid w:val="00E92198"/>
    <w:rsid w:val="00E9244D"/>
    <w:rsid w:val="00E9309F"/>
    <w:rsid w:val="00E93195"/>
    <w:rsid w:val="00E934C1"/>
    <w:rsid w:val="00E9362D"/>
    <w:rsid w:val="00E9386F"/>
    <w:rsid w:val="00E93E5F"/>
    <w:rsid w:val="00E94A4F"/>
    <w:rsid w:val="00E95081"/>
    <w:rsid w:val="00E957A5"/>
    <w:rsid w:val="00E96399"/>
    <w:rsid w:val="00E965BE"/>
    <w:rsid w:val="00E96728"/>
    <w:rsid w:val="00E968DC"/>
    <w:rsid w:val="00E96DF5"/>
    <w:rsid w:val="00E97267"/>
    <w:rsid w:val="00E97BF0"/>
    <w:rsid w:val="00E97EBA"/>
    <w:rsid w:val="00EA01E1"/>
    <w:rsid w:val="00EA025E"/>
    <w:rsid w:val="00EA03AB"/>
    <w:rsid w:val="00EA061D"/>
    <w:rsid w:val="00EA127D"/>
    <w:rsid w:val="00EA1483"/>
    <w:rsid w:val="00EA1846"/>
    <w:rsid w:val="00EA1884"/>
    <w:rsid w:val="00EA1B79"/>
    <w:rsid w:val="00EA20BF"/>
    <w:rsid w:val="00EA2A92"/>
    <w:rsid w:val="00EA3198"/>
    <w:rsid w:val="00EA35D1"/>
    <w:rsid w:val="00EA3AD5"/>
    <w:rsid w:val="00EA43D3"/>
    <w:rsid w:val="00EA4F90"/>
    <w:rsid w:val="00EA53CE"/>
    <w:rsid w:val="00EA6CE4"/>
    <w:rsid w:val="00EA7169"/>
    <w:rsid w:val="00EA766F"/>
    <w:rsid w:val="00EA7687"/>
    <w:rsid w:val="00EA788A"/>
    <w:rsid w:val="00EA7AC7"/>
    <w:rsid w:val="00EA7D5C"/>
    <w:rsid w:val="00EB0592"/>
    <w:rsid w:val="00EB05ED"/>
    <w:rsid w:val="00EB114A"/>
    <w:rsid w:val="00EB1B61"/>
    <w:rsid w:val="00EB25CA"/>
    <w:rsid w:val="00EB3250"/>
    <w:rsid w:val="00EB34B4"/>
    <w:rsid w:val="00EB3A34"/>
    <w:rsid w:val="00EB534C"/>
    <w:rsid w:val="00EB6052"/>
    <w:rsid w:val="00EB648F"/>
    <w:rsid w:val="00EB6D01"/>
    <w:rsid w:val="00EB6E00"/>
    <w:rsid w:val="00EB7491"/>
    <w:rsid w:val="00EB7F20"/>
    <w:rsid w:val="00EC0067"/>
    <w:rsid w:val="00EC0097"/>
    <w:rsid w:val="00EC0133"/>
    <w:rsid w:val="00EC057D"/>
    <w:rsid w:val="00EC0E1F"/>
    <w:rsid w:val="00EC0EC6"/>
    <w:rsid w:val="00EC159B"/>
    <w:rsid w:val="00EC2506"/>
    <w:rsid w:val="00EC2962"/>
    <w:rsid w:val="00EC2A1C"/>
    <w:rsid w:val="00EC2D40"/>
    <w:rsid w:val="00EC2EE2"/>
    <w:rsid w:val="00EC30C7"/>
    <w:rsid w:val="00EC30DE"/>
    <w:rsid w:val="00EC32FE"/>
    <w:rsid w:val="00EC34DF"/>
    <w:rsid w:val="00EC3D4E"/>
    <w:rsid w:val="00EC3FA5"/>
    <w:rsid w:val="00EC4001"/>
    <w:rsid w:val="00EC44DE"/>
    <w:rsid w:val="00EC4570"/>
    <w:rsid w:val="00EC4D2B"/>
    <w:rsid w:val="00EC55EA"/>
    <w:rsid w:val="00EC57FB"/>
    <w:rsid w:val="00EC6712"/>
    <w:rsid w:val="00EC6755"/>
    <w:rsid w:val="00EC7268"/>
    <w:rsid w:val="00ED039C"/>
    <w:rsid w:val="00ED03B8"/>
    <w:rsid w:val="00ED0E62"/>
    <w:rsid w:val="00ED1247"/>
    <w:rsid w:val="00ED1F50"/>
    <w:rsid w:val="00ED29CD"/>
    <w:rsid w:val="00ED3B7B"/>
    <w:rsid w:val="00ED3ECD"/>
    <w:rsid w:val="00ED44CA"/>
    <w:rsid w:val="00ED4A60"/>
    <w:rsid w:val="00ED4B1C"/>
    <w:rsid w:val="00ED5503"/>
    <w:rsid w:val="00ED55B7"/>
    <w:rsid w:val="00ED5737"/>
    <w:rsid w:val="00ED58A3"/>
    <w:rsid w:val="00ED5B5A"/>
    <w:rsid w:val="00ED63D5"/>
    <w:rsid w:val="00ED6C46"/>
    <w:rsid w:val="00ED6C7C"/>
    <w:rsid w:val="00ED75CB"/>
    <w:rsid w:val="00ED7F3A"/>
    <w:rsid w:val="00EE0182"/>
    <w:rsid w:val="00EE05B8"/>
    <w:rsid w:val="00EE125A"/>
    <w:rsid w:val="00EE1440"/>
    <w:rsid w:val="00EE257B"/>
    <w:rsid w:val="00EE27C8"/>
    <w:rsid w:val="00EE2886"/>
    <w:rsid w:val="00EE2C22"/>
    <w:rsid w:val="00EE31DF"/>
    <w:rsid w:val="00EE41F9"/>
    <w:rsid w:val="00EE427E"/>
    <w:rsid w:val="00EE437D"/>
    <w:rsid w:val="00EE4414"/>
    <w:rsid w:val="00EE500E"/>
    <w:rsid w:val="00EE5606"/>
    <w:rsid w:val="00EE56E8"/>
    <w:rsid w:val="00EE6926"/>
    <w:rsid w:val="00EE6BB2"/>
    <w:rsid w:val="00EE6C4C"/>
    <w:rsid w:val="00EE6DD3"/>
    <w:rsid w:val="00EE6E77"/>
    <w:rsid w:val="00EE70FD"/>
    <w:rsid w:val="00EE79D8"/>
    <w:rsid w:val="00EE79F4"/>
    <w:rsid w:val="00EE7B26"/>
    <w:rsid w:val="00EE7D0A"/>
    <w:rsid w:val="00EF0035"/>
    <w:rsid w:val="00EF01CD"/>
    <w:rsid w:val="00EF0230"/>
    <w:rsid w:val="00EF0604"/>
    <w:rsid w:val="00EF211D"/>
    <w:rsid w:val="00EF2199"/>
    <w:rsid w:val="00EF2515"/>
    <w:rsid w:val="00EF26CD"/>
    <w:rsid w:val="00EF28F6"/>
    <w:rsid w:val="00EF2E0C"/>
    <w:rsid w:val="00EF2E49"/>
    <w:rsid w:val="00EF322C"/>
    <w:rsid w:val="00EF35CD"/>
    <w:rsid w:val="00EF39F0"/>
    <w:rsid w:val="00EF42D3"/>
    <w:rsid w:val="00EF45DE"/>
    <w:rsid w:val="00EF4914"/>
    <w:rsid w:val="00EF4919"/>
    <w:rsid w:val="00EF4AB2"/>
    <w:rsid w:val="00EF4BBD"/>
    <w:rsid w:val="00EF4EAB"/>
    <w:rsid w:val="00EF520F"/>
    <w:rsid w:val="00EF554D"/>
    <w:rsid w:val="00EF5680"/>
    <w:rsid w:val="00EF5E6D"/>
    <w:rsid w:val="00EF5FEF"/>
    <w:rsid w:val="00EF6039"/>
    <w:rsid w:val="00EF64BB"/>
    <w:rsid w:val="00EF6BCB"/>
    <w:rsid w:val="00EF6C27"/>
    <w:rsid w:val="00EF714C"/>
    <w:rsid w:val="00EF7182"/>
    <w:rsid w:val="00EF71DF"/>
    <w:rsid w:val="00EF73BF"/>
    <w:rsid w:val="00EF7AD5"/>
    <w:rsid w:val="00F00F2D"/>
    <w:rsid w:val="00F00F74"/>
    <w:rsid w:val="00F01C19"/>
    <w:rsid w:val="00F01F64"/>
    <w:rsid w:val="00F02701"/>
    <w:rsid w:val="00F0357B"/>
    <w:rsid w:val="00F035E6"/>
    <w:rsid w:val="00F04478"/>
    <w:rsid w:val="00F048E9"/>
    <w:rsid w:val="00F05151"/>
    <w:rsid w:val="00F055E9"/>
    <w:rsid w:val="00F06EC5"/>
    <w:rsid w:val="00F072DD"/>
    <w:rsid w:val="00F076DD"/>
    <w:rsid w:val="00F07A65"/>
    <w:rsid w:val="00F07C04"/>
    <w:rsid w:val="00F07D5C"/>
    <w:rsid w:val="00F107CA"/>
    <w:rsid w:val="00F10935"/>
    <w:rsid w:val="00F10FB8"/>
    <w:rsid w:val="00F11069"/>
    <w:rsid w:val="00F111DD"/>
    <w:rsid w:val="00F1141B"/>
    <w:rsid w:val="00F1146F"/>
    <w:rsid w:val="00F11BBC"/>
    <w:rsid w:val="00F11EE5"/>
    <w:rsid w:val="00F11FE1"/>
    <w:rsid w:val="00F1257F"/>
    <w:rsid w:val="00F125E9"/>
    <w:rsid w:val="00F12E9C"/>
    <w:rsid w:val="00F1355F"/>
    <w:rsid w:val="00F1379E"/>
    <w:rsid w:val="00F1469C"/>
    <w:rsid w:val="00F14775"/>
    <w:rsid w:val="00F15716"/>
    <w:rsid w:val="00F15772"/>
    <w:rsid w:val="00F159AB"/>
    <w:rsid w:val="00F15F67"/>
    <w:rsid w:val="00F16533"/>
    <w:rsid w:val="00F167B6"/>
    <w:rsid w:val="00F17C68"/>
    <w:rsid w:val="00F17C6E"/>
    <w:rsid w:val="00F20AD7"/>
    <w:rsid w:val="00F20ECF"/>
    <w:rsid w:val="00F20EDD"/>
    <w:rsid w:val="00F21719"/>
    <w:rsid w:val="00F2233C"/>
    <w:rsid w:val="00F2284B"/>
    <w:rsid w:val="00F228D9"/>
    <w:rsid w:val="00F22960"/>
    <w:rsid w:val="00F23C7B"/>
    <w:rsid w:val="00F24231"/>
    <w:rsid w:val="00F246FE"/>
    <w:rsid w:val="00F24805"/>
    <w:rsid w:val="00F2486C"/>
    <w:rsid w:val="00F25421"/>
    <w:rsid w:val="00F25561"/>
    <w:rsid w:val="00F25621"/>
    <w:rsid w:val="00F258F9"/>
    <w:rsid w:val="00F25A2C"/>
    <w:rsid w:val="00F25ABD"/>
    <w:rsid w:val="00F2605D"/>
    <w:rsid w:val="00F262A2"/>
    <w:rsid w:val="00F26AA1"/>
    <w:rsid w:val="00F271F8"/>
    <w:rsid w:val="00F272EE"/>
    <w:rsid w:val="00F27E93"/>
    <w:rsid w:val="00F300DC"/>
    <w:rsid w:val="00F30977"/>
    <w:rsid w:val="00F30DED"/>
    <w:rsid w:val="00F30E7E"/>
    <w:rsid w:val="00F30F65"/>
    <w:rsid w:val="00F31DF1"/>
    <w:rsid w:val="00F32168"/>
    <w:rsid w:val="00F32593"/>
    <w:rsid w:val="00F32702"/>
    <w:rsid w:val="00F327BD"/>
    <w:rsid w:val="00F327E3"/>
    <w:rsid w:val="00F3323C"/>
    <w:rsid w:val="00F336E7"/>
    <w:rsid w:val="00F33A3C"/>
    <w:rsid w:val="00F33A3D"/>
    <w:rsid w:val="00F34228"/>
    <w:rsid w:val="00F34532"/>
    <w:rsid w:val="00F357C6"/>
    <w:rsid w:val="00F35CA6"/>
    <w:rsid w:val="00F35F35"/>
    <w:rsid w:val="00F35F5F"/>
    <w:rsid w:val="00F3665E"/>
    <w:rsid w:val="00F367BE"/>
    <w:rsid w:val="00F3686E"/>
    <w:rsid w:val="00F36C37"/>
    <w:rsid w:val="00F36DFD"/>
    <w:rsid w:val="00F401A8"/>
    <w:rsid w:val="00F41172"/>
    <w:rsid w:val="00F41548"/>
    <w:rsid w:val="00F415DA"/>
    <w:rsid w:val="00F41B37"/>
    <w:rsid w:val="00F41BCD"/>
    <w:rsid w:val="00F420E7"/>
    <w:rsid w:val="00F42111"/>
    <w:rsid w:val="00F4217E"/>
    <w:rsid w:val="00F43940"/>
    <w:rsid w:val="00F43EEE"/>
    <w:rsid w:val="00F44593"/>
    <w:rsid w:val="00F44AF3"/>
    <w:rsid w:val="00F45021"/>
    <w:rsid w:val="00F45154"/>
    <w:rsid w:val="00F451DC"/>
    <w:rsid w:val="00F45671"/>
    <w:rsid w:val="00F457B2"/>
    <w:rsid w:val="00F4693F"/>
    <w:rsid w:val="00F46C61"/>
    <w:rsid w:val="00F47AE1"/>
    <w:rsid w:val="00F47C89"/>
    <w:rsid w:val="00F47F3C"/>
    <w:rsid w:val="00F5032B"/>
    <w:rsid w:val="00F506B0"/>
    <w:rsid w:val="00F506EF"/>
    <w:rsid w:val="00F5098B"/>
    <w:rsid w:val="00F5164D"/>
    <w:rsid w:val="00F517F1"/>
    <w:rsid w:val="00F51E74"/>
    <w:rsid w:val="00F52227"/>
    <w:rsid w:val="00F52A8A"/>
    <w:rsid w:val="00F52C82"/>
    <w:rsid w:val="00F52F8C"/>
    <w:rsid w:val="00F53BB7"/>
    <w:rsid w:val="00F54988"/>
    <w:rsid w:val="00F54CFA"/>
    <w:rsid w:val="00F55138"/>
    <w:rsid w:val="00F56170"/>
    <w:rsid w:val="00F56176"/>
    <w:rsid w:val="00F5703F"/>
    <w:rsid w:val="00F5705A"/>
    <w:rsid w:val="00F57F7E"/>
    <w:rsid w:val="00F60266"/>
    <w:rsid w:val="00F6065F"/>
    <w:rsid w:val="00F60AEA"/>
    <w:rsid w:val="00F60B32"/>
    <w:rsid w:val="00F61071"/>
    <w:rsid w:val="00F61B04"/>
    <w:rsid w:val="00F61BE2"/>
    <w:rsid w:val="00F61FCC"/>
    <w:rsid w:val="00F6272F"/>
    <w:rsid w:val="00F62C67"/>
    <w:rsid w:val="00F62CCE"/>
    <w:rsid w:val="00F62DA2"/>
    <w:rsid w:val="00F630E0"/>
    <w:rsid w:val="00F63A85"/>
    <w:rsid w:val="00F63E6A"/>
    <w:rsid w:val="00F646AB"/>
    <w:rsid w:val="00F6539A"/>
    <w:rsid w:val="00F65749"/>
    <w:rsid w:val="00F65B9F"/>
    <w:rsid w:val="00F65FEF"/>
    <w:rsid w:val="00F66745"/>
    <w:rsid w:val="00F668F0"/>
    <w:rsid w:val="00F66D56"/>
    <w:rsid w:val="00F6714C"/>
    <w:rsid w:val="00F70D1A"/>
    <w:rsid w:val="00F71B8B"/>
    <w:rsid w:val="00F7232B"/>
    <w:rsid w:val="00F72952"/>
    <w:rsid w:val="00F72A9F"/>
    <w:rsid w:val="00F72B7A"/>
    <w:rsid w:val="00F730A3"/>
    <w:rsid w:val="00F733E2"/>
    <w:rsid w:val="00F7349A"/>
    <w:rsid w:val="00F73B17"/>
    <w:rsid w:val="00F73BE4"/>
    <w:rsid w:val="00F74289"/>
    <w:rsid w:val="00F7469F"/>
    <w:rsid w:val="00F74E47"/>
    <w:rsid w:val="00F75851"/>
    <w:rsid w:val="00F76C41"/>
    <w:rsid w:val="00F76CFD"/>
    <w:rsid w:val="00F76FB1"/>
    <w:rsid w:val="00F7709A"/>
    <w:rsid w:val="00F7736F"/>
    <w:rsid w:val="00F77FEB"/>
    <w:rsid w:val="00F80494"/>
    <w:rsid w:val="00F815AD"/>
    <w:rsid w:val="00F81986"/>
    <w:rsid w:val="00F8260E"/>
    <w:rsid w:val="00F82D46"/>
    <w:rsid w:val="00F832C9"/>
    <w:rsid w:val="00F836CF"/>
    <w:rsid w:val="00F83870"/>
    <w:rsid w:val="00F83CE6"/>
    <w:rsid w:val="00F84261"/>
    <w:rsid w:val="00F84694"/>
    <w:rsid w:val="00F84BAA"/>
    <w:rsid w:val="00F851C5"/>
    <w:rsid w:val="00F854A1"/>
    <w:rsid w:val="00F855AA"/>
    <w:rsid w:val="00F85F12"/>
    <w:rsid w:val="00F863D6"/>
    <w:rsid w:val="00F866DE"/>
    <w:rsid w:val="00F86726"/>
    <w:rsid w:val="00F8679E"/>
    <w:rsid w:val="00F86D06"/>
    <w:rsid w:val="00F86D69"/>
    <w:rsid w:val="00F8750C"/>
    <w:rsid w:val="00F879C8"/>
    <w:rsid w:val="00F87F70"/>
    <w:rsid w:val="00F900F3"/>
    <w:rsid w:val="00F908DF"/>
    <w:rsid w:val="00F90BE0"/>
    <w:rsid w:val="00F90C43"/>
    <w:rsid w:val="00F912C8"/>
    <w:rsid w:val="00F9160D"/>
    <w:rsid w:val="00F9167B"/>
    <w:rsid w:val="00F91882"/>
    <w:rsid w:val="00F91E47"/>
    <w:rsid w:val="00F92222"/>
    <w:rsid w:val="00F92A3A"/>
    <w:rsid w:val="00F92A90"/>
    <w:rsid w:val="00F93059"/>
    <w:rsid w:val="00F93182"/>
    <w:rsid w:val="00F93E34"/>
    <w:rsid w:val="00F93ED3"/>
    <w:rsid w:val="00F94BC7"/>
    <w:rsid w:val="00F95717"/>
    <w:rsid w:val="00F959AA"/>
    <w:rsid w:val="00F95F31"/>
    <w:rsid w:val="00F96237"/>
    <w:rsid w:val="00F964C2"/>
    <w:rsid w:val="00F96CA2"/>
    <w:rsid w:val="00F96E98"/>
    <w:rsid w:val="00FA0176"/>
    <w:rsid w:val="00FA08B1"/>
    <w:rsid w:val="00FA0C5F"/>
    <w:rsid w:val="00FA10E2"/>
    <w:rsid w:val="00FA122D"/>
    <w:rsid w:val="00FA1532"/>
    <w:rsid w:val="00FA1601"/>
    <w:rsid w:val="00FA24A2"/>
    <w:rsid w:val="00FA2900"/>
    <w:rsid w:val="00FA2A6E"/>
    <w:rsid w:val="00FA2BB5"/>
    <w:rsid w:val="00FA3055"/>
    <w:rsid w:val="00FA4027"/>
    <w:rsid w:val="00FA46C7"/>
    <w:rsid w:val="00FA47A0"/>
    <w:rsid w:val="00FA4A12"/>
    <w:rsid w:val="00FA51A4"/>
    <w:rsid w:val="00FA5549"/>
    <w:rsid w:val="00FA5B4D"/>
    <w:rsid w:val="00FA5F84"/>
    <w:rsid w:val="00FA6761"/>
    <w:rsid w:val="00FA6A92"/>
    <w:rsid w:val="00FA6AE4"/>
    <w:rsid w:val="00FA6DC5"/>
    <w:rsid w:val="00FA7284"/>
    <w:rsid w:val="00FA766E"/>
    <w:rsid w:val="00FA7B19"/>
    <w:rsid w:val="00FB001E"/>
    <w:rsid w:val="00FB0135"/>
    <w:rsid w:val="00FB12A1"/>
    <w:rsid w:val="00FB1448"/>
    <w:rsid w:val="00FB2065"/>
    <w:rsid w:val="00FB2752"/>
    <w:rsid w:val="00FB2C8E"/>
    <w:rsid w:val="00FB31BD"/>
    <w:rsid w:val="00FB32D9"/>
    <w:rsid w:val="00FB41A2"/>
    <w:rsid w:val="00FB4440"/>
    <w:rsid w:val="00FB5743"/>
    <w:rsid w:val="00FB5953"/>
    <w:rsid w:val="00FB5F75"/>
    <w:rsid w:val="00FB6002"/>
    <w:rsid w:val="00FB653E"/>
    <w:rsid w:val="00FB6C99"/>
    <w:rsid w:val="00FB71CF"/>
    <w:rsid w:val="00FB799C"/>
    <w:rsid w:val="00FB7A96"/>
    <w:rsid w:val="00FC092C"/>
    <w:rsid w:val="00FC09CE"/>
    <w:rsid w:val="00FC0EAC"/>
    <w:rsid w:val="00FC13AC"/>
    <w:rsid w:val="00FC1408"/>
    <w:rsid w:val="00FC16B2"/>
    <w:rsid w:val="00FC17F9"/>
    <w:rsid w:val="00FC1D60"/>
    <w:rsid w:val="00FC1DF9"/>
    <w:rsid w:val="00FC21F1"/>
    <w:rsid w:val="00FC24B8"/>
    <w:rsid w:val="00FC3458"/>
    <w:rsid w:val="00FC3B6C"/>
    <w:rsid w:val="00FC40C5"/>
    <w:rsid w:val="00FC431C"/>
    <w:rsid w:val="00FC445A"/>
    <w:rsid w:val="00FC4716"/>
    <w:rsid w:val="00FC546A"/>
    <w:rsid w:val="00FC56EB"/>
    <w:rsid w:val="00FC5984"/>
    <w:rsid w:val="00FC5D37"/>
    <w:rsid w:val="00FC5FFA"/>
    <w:rsid w:val="00FC60D8"/>
    <w:rsid w:val="00FC652F"/>
    <w:rsid w:val="00FC67AE"/>
    <w:rsid w:val="00FC6F7D"/>
    <w:rsid w:val="00FC732E"/>
    <w:rsid w:val="00FC74F3"/>
    <w:rsid w:val="00FC76E2"/>
    <w:rsid w:val="00FC79E3"/>
    <w:rsid w:val="00FC7DE6"/>
    <w:rsid w:val="00FC7FFC"/>
    <w:rsid w:val="00FD002D"/>
    <w:rsid w:val="00FD06D3"/>
    <w:rsid w:val="00FD1023"/>
    <w:rsid w:val="00FD11F6"/>
    <w:rsid w:val="00FD148F"/>
    <w:rsid w:val="00FD1A98"/>
    <w:rsid w:val="00FD3AE4"/>
    <w:rsid w:val="00FD3CA8"/>
    <w:rsid w:val="00FD40F9"/>
    <w:rsid w:val="00FD44D5"/>
    <w:rsid w:val="00FD4A6D"/>
    <w:rsid w:val="00FD528E"/>
    <w:rsid w:val="00FD56D5"/>
    <w:rsid w:val="00FD5B6D"/>
    <w:rsid w:val="00FD6251"/>
    <w:rsid w:val="00FD6322"/>
    <w:rsid w:val="00FD6458"/>
    <w:rsid w:val="00FD6519"/>
    <w:rsid w:val="00FD6BE3"/>
    <w:rsid w:val="00FD7106"/>
    <w:rsid w:val="00FD79BA"/>
    <w:rsid w:val="00FE04E3"/>
    <w:rsid w:val="00FE0A59"/>
    <w:rsid w:val="00FE15ED"/>
    <w:rsid w:val="00FE175E"/>
    <w:rsid w:val="00FE1C1F"/>
    <w:rsid w:val="00FE2332"/>
    <w:rsid w:val="00FE27C6"/>
    <w:rsid w:val="00FE2839"/>
    <w:rsid w:val="00FE2DC5"/>
    <w:rsid w:val="00FE2F0D"/>
    <w:rsid w:val="00FE2F2C"/>
    <w:rsid w:val="00FE3D25"/>
    <w:rsid w:val="00FE3D84"/>
    <w:rsid w:val="00FE427E"/>
    <w:rsid w:val="00FE473A"/>
    <w:rsid w:val="00FE535A"/>
    <w:rsid w:val="00FE5391"/>
    <w:rsid w:val="00FE5E1F"/>
    <w:rsid w:val="00FE5E9D"/>
    <w:rsid w:val="00FE621E"/>
    <w:rsid w:val="00FE6560"/>
    <w:rsid w:val="00FE6A77"/>
    <w:rsid w:val="00FE7A79"/>
    <w:rsid w:val="00FE7F0E"/>
    <w:rsid w:val="00FE7F5D"/>
    <w:rsid w:val="00FF013A"/>
    <w:rsid w:val="00FF03CA"/>
    <w:rsid w:val="00FF03F6"/>
    <w:rsid w:val="00FF1E99"/>
    <w:rsid w:val="00FF2185"/>
    <w:rsid w:val="00FF250E"/>
    <w:rsid w:val="00FF2FF2"/>
    <w:rsid w:val="00FF3967"/>
    <w:rsid w:val="00FF4505"/>
    <w:rsid w:val="00FF4539"/>
    <w:rsid w:val="00FF4542"/>
    <w:rsid w:val="00FF4A11"/>
    <w:rsid w:val="00FF4D9E"/>
    <w:rsid w:val="00FF58D0"/>
    <w:rsid w:val="00FF5938"/>
    <w:rsid w:val="00FF5D8D"/>
    <w:rsid w:val="00FF66A9"/>
    <w:rsid w:val="00FF6767"/>
    <w:rsid w:val="00FF75A4"/>
    <w:rsid w:val="00FF7787"/>
    <w:rsid w:val="00FF77A2"/>
    <w:rsid w:val="00FF7BC8"/>
    <w:rsid w:val="00FF7BE6"/>
    <w:rsid w:val="00FF7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8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44"/>
    <w:pPr>
      <w:numPr>
        <w:numId w:val="2"/>
      </w:numPr>
      <w:spacing w:line="360" w:lineRule="auto"/>
      <w:ind w:left="0" w:firstLine="0"/>
      <w:jc w:val="both"/>
    </w:pPr>
    <w:rPr>
      <w:rFonts w:ascii="Times New Roman" w:hAnsi="Times New Roman"/>
      <w:sz w:val="24"/>
      <w:szCs w:val="22"/>
      <w:lang w:eastAsia="en-US"/>
    </w:rPr>
  </w:style>
  <w:style w:type="paragraph" w:styleId="Titre1">
    <w:name w:val="heading 1"/>
    <w:basedOn w:val="Normal"/>
    <w:next w:val="Normal"/>
    <w:link w:val="Titre1Car"/>
    <w:uiPriority w:val="9"/>
    <w:qFormat/>
    <w:rsid w:val="00AB3B9E"/>
    <w:pPr>
      <w:keepNext/>
      <w:keepLines/>
      <w:numPr>
        <w:numId w:val="0"/>
      </w:numPr>
      <w:spacing w:before="240"/>
      <w:outlineLvl w:val="0"/>
    </w:pPr>
    <w:rPr>
      <w:rFonts w:ascii="Cambria" w:eastAsia="Times New Roman" w:hAnsi="Cambria"/>
      <w:color w:val="365F91"/>
      <w:sz w:val="32"/>
      <w:szCs w:val="32"/>
    </w:rPr>
  </w:style>
  <w:style w:type="paragraph" w:styleId="Titre2">
    <w:name w:val="heading 2"/>
    <w:basedOn w:val="Normal"/>
    <w:next w:val="Normal"/>
    <w:link w:val="Titre2Car"/>
    <w:uiPriority w:val="9"/>
    <w:semiHidden/>
    <w:unhideWhenUsed/>
    <w:rsid w:val="00333C52"/>
    <w:pPr>
      <w:keepNext/>
      <w:keepLines/>
      <w:spacing w:before="40"/>
      <w:outlineLvl w:val="1"/>
    </w:pPr>
    <w:rPr>
      <w:rFonts w:ascii="Cambria" w:eastAsia="Times New Roman" w:hAnsi="Cambria"/>
      <w:color w:val="365F91"/>
      <w:sz w:val="26"/>
      <w:szCs w:val="26"/>
    </w:rPr>
  </w:style>
  <w:style w:type="paragraph" w:styleId="Titre3">
    <w:name w:val="heading 3"/>
    <w:basedOn w:val="Normal"/>
    <w:next w:val="Normal"/>
    <w:link w:val="Titre3Car"/>
    <w:uiPriority w:val="9"/>
    <w:semiHidden/>
    <w:unhideWhenUsed/>
    <w:qFormat/>
    <w:rsid w:val="00333C52"/>
    <w:pPr>
      <w:keepNext/>
      <w:keepLines/>
      <w:spacing w:before="40"/>
      <w:outlineLvl w:val="2"/>
    </w:pPr>
    <w:rPr>
      <w:rFonts w:ascii="Cambria" w:eastAsia="Times New Roman" w:hAnsi="Cambria"/>
      <w:color w:val="243F60"/>
      <w:szCs w:val="24"/>
    </w:rPr>
  </w:style>
  <w:style w:type="paragraph" w:styleId="Titre4">
    <w:name w:val="heading 4"/>
    <w:basedOn w:val="Normal"/>
    <w:next w:val="Normal"/>
    <w:link w:val="Titre4Car"/>
    <w:uiPriority w:val="9"/>
    <w:semiHidden/>
    <w:unhideWhenUsed/>
    <w:qFormat/>
    <w:rsid w:val="00333C52"/>
    <w:pPr>
      <w:keepNext/>
      <w:keepLines/>
      <w:spacing w:before="40"/>
      <w:outlineLvl w:val="3"/>
    </w:pPr>
    <w:rPr>
      <w:rFonts w:ascii="Cambria" w:eastAsia="Times New Roman" w:hAnsi="Cambria"/>
      <w:i/>
      <w:iCs/>
      <w:color w:val="365F91"/>
    </w:rPr>
  </w:style>
  <w:style w:type="paragraph" w:styleId="Titre5">
    <w:name w:val="heading 5"/>
    <w:basedOn w:val="Normal"/>
    <w:next w:val="Normal"/>
    <w:link w:val="Titre5Car"/>
    <w:uiPriority w:val="9"/>
    <w:semiHidden/>
    <w:unhideWhenUsed/>
    <w:qFormat/>
    <w:rsid w:val="00333C52"/>
    <w:pPr>
      <w:keepNext/>
      <w:keepLines/>
      <w:spacing w:before="40"/>
      <w:outlineLvl w:val="4"/>
    </w:pPr>
    <w:rPr>
      <w:rFonts w:ascii="Cambria" w:eastAsia="Times New Roman" w:hAnsi="Cambria"/>
      <w:color w:val="365F91"/>
    </w:rPr>
  </w:style>
  <w:style w:type="paragraph" w:styleId="Titre6">
    <w:name w:val="heading 6"/>
    <w:basedOn w:val="Normal"/>
    <w:next w:val="Normal"/>
    <w:link w:val="Titre6Car"/>
    <w:uiPriority w:val="9"/>
    <w:semiHidden/>
    <w:unhideWhenUsed/>
    <w:qFormat/>
    <w:rsid w:val="00333C52"/>
    <w:pPr>
      <w:keepNext/>
      <w:keepLines/>
      <w:spacing w:before="40"/>
      <w:outlineLvl w:val="5"/>
    </w:pPr>
    <w:rPr>
      <w:rFonts w:ascii="Cambria" w:eastAsia="Times New Roman" w:hAnsi="Cambria"/>
      <w:color w:val="243F60"/>
    </w:rPr>
  </w:style>
  <w:style w:type="paragraph" w:styleId="Titre7">
    <w:name w:val="heading 7"/>
    <w:basedOn w:val="Normal"/>
    <w:next w:val="Normal"/>
    <w:link w:val="Titre7Car"/>
    <w:uiPriority w:val="9"/>
    <w:semiHidden/>
    <w:unhideWhenUsed/>
    <w:qFormat/>
    <w:rsid w:val="00333C52"/>
    <w:pPr>
      <w:keepNext/>
      <w:keepLines/>
      <w:spacing w:before="40"/>
      <w:outlineLvl w:val="6"/>
    </w:pPr>
    <w:rPr>
      <w:rFonts w:ascii="Cambria" w:eastAsia="Times New Roman" w:hAnsi="Cambria"/>
      <w:i/>
      <w:iCs/>
      <w:color w:val="243F60"/>
    </w:rPr>
  </w:style>
  <w:style w:type="paragraph" w:styleId="Titre8">
    <w:name w:val="heading 8"/>
    <w:basedOn w:val="Normal"/>
    <w:next w:val="Normal"/>
    <w:link w:val="Titre8Car"/>
    <w:uiPriority w:val="9"/>
    <w:semiHidden/>
    <w:unhideWhenUsed/>
    <w:qFormat/>
    <w:rsid w:val="00333C52"/>
    <w:pPr>
      <w:keepNext/>
      <w:keepLines/>
      <w:spacing w:before="40"/>
      <w:outlineLvl w:val="7"/>
    </w:pPr>
    <w:rPr>
      <w:rFonts w:ascii="Cambria" w:eastAsia="Times New Roman" w:hAnsi="Cambria"/>
      <w:color w:val="272727"/>
      <w:sz w:val="21"/>
      <w:szCs w:val="21"/>
    </w:rPr>
  </w:style>
  <w:style w:type="paragraph" w:styleId="Titre9">
    <w:name w:val="heading 9"/>
    <w:basedOn w:val="Normal"/>
    <w:next w:val="Normal"/>
    <w:link w:val="Titre9Car"/>
    <w:uiPriority w:val="9"/>
    <w:semiHidden/>
    <w:unhideWhenUsed/>
    <w:qFormat/>
    <w:rsid w:val="00333C52"/>
    <w:pPr>
      <w:keepNext/>
      <w:keepLines/>
      <w:spacing w:before="40"/>
      <w:outlineLvl w:val="8"/>
    </w:pPr>
    <w:rPr>
      <w:rFonts w:ascii="Cambria" w:eastAsia="Times New Roman" w:hAnsi="Cambria"/>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2495D"/>
    <w:pPr>
      <w:spacing w:before="100" w:beforeAutospacing="1" w:after="100" w:afterAutospacing="1" w:line="240" w:lineRule="auto"/>
    </w:pPr>
    <w:rPr>
      <w:rFonts w:eastAsia="Times New Roman"/>
      <w:szCs w:val="24"/>
      <w:lang w:eastAsia="fr-FR"/>
    </w:rPr>
  </w:style>
  <w:style w:type="paragraph" w:styleId="Notedebasdepage">
    <w:name w:val="footnote text"/>
    <w:basedOn w:val="Normal"/>
    <w:link w:val="NotedebasdepageCar"/>
    <w:unhideWhenUsed/>
    <w:qFormat/>
    <w:rsid w:val="00B61B40"/>
    <w:pPr>
      <w:numPr>
        <w:numId w:val="0"/>
      </w:numPr>
      <w:spacing w:line="240" w:lineRule="auto"/>
    </w:pPr>
    <w:rPr>
      <w:sz w:val="20"/>
      <w:szCs w:val="20"/>
    </w:rPr>
  </w:style>
  <w:style w:type="character" w:customStyle="1" w:styleId="NotedebasdepageCar">
    <w:name w:val="Note de bas de page Car"/>
    <w:link w:val="Notedebasdepage"/>
    <w:rsid w:val="00B61B40"/>
    <w:rPr>
      <w:rFonts w:ascii="Times New Roman" w:hAnsi="Times New Roman"/>
      <w:sz w:val="20"/>
      <w:szCs w:val="20"/>
    </w:rPr>
  </w:style>
  <w:style w:type="character" w:styleId="Appelnotedebasdep">
    <w:name w:val="footnote reference"/>
    <w:uiPriority w:val="99"/>
    <w:unhideWhenUsed/>
    <w:rsid w:val="00570C10"/>
    <w:rPr>
      <w:vertAlign w:val="superscript"/>
    </w:rPr>
  </w:style>
  <w:style w:type="character" w:customStyle="1" w:styleId="Caractresdenotedebasdepage">
    <w:name w:val="Caractères de note de bas de page"/>
    <w:rsid w:val="0084741F"/>
  </w:style>
  <w:style w:type="character" w:customStyle="1" w:styleId="Grillecouleur-Accent1Car">
    <w:name w:val="Grille couleur - Accent 1 Car"/>
    <w:link w:val="Grillecouleur-Accent1"/>
    <w:uiPriority w:val="29"/>
    <w:rsid w:val="0084741F"/>
    <w:rPr>
      <w:rFonts w:eastAsia="Arial Unicode MS"/>
      <w:i/>
      <w:iCs/>
      <w:color w:val="000000"/>
      <w:kern w:val="1"/>
      <w:sz w:val="24"/>
      <w:szCs w:val="24"/>
    </w:rPr>
  </w:style>
  <w:style w:type="table" w:styleId="Grillecouleur-Accent1">
    <w:name w:val="Colorful Grid Accent 1"/>
    <w:basedOn w:val="TableauNormal"/>
    <w:link w:val="Grillecouleur-Accent1Car"/>
    <w:uiPriority w:val="29"/>
    <w:rsid w:val="0084741F"/>
    <w:rPr>
      <w:rFonts w:eastAsia="Arial Unicode MS"/>
      <w:i/>
      <w:iCs/>
      <w:color w:val="000000"/>
      <w:kern w:val="1"/>
      <w:sz w:val="24"/>
      <w:szCs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Sansinterligne">
    <w:name w:val="No Spacing"/>
    <w:aliases w:val="CITATION"/>
    <w:basedOn w:val="Normal"/>
    <w:autoRedefine/>
    <w:uiPriority w:val="1"/>
    <w:qFormat/>
    <w:rsid w:val="009161B8"/>
    <w:pPr>
      <w:numPr>
        <w:numId w:val="0"/>
      </w:numPr>
      <w:spacing w:line="240" w:lineRule="auto"/>
      <w:ind w:left="567"/>
    </w:pPr>
    <w:rPr>
      <w:lang w:eastAsia="fr-FR"/>
    </w:rPr>
  </w:style>
  <w:style w:type="paragraph" w:styleId="Paragraphedeliste">
    <w:name w:val="List Paragraph"/>
    <w:basedOn w:val="Normal"/>
    <w:uiPriority w:val="34"/>
    <w:qFormat/>
    <w:rsid w:val="00AB3B9E"/>
    <w:pPr>
      <w:numPr>
        <w:numId w:val="0"/>
      </w:numPr>
      <w:contextualSpacing/>
    </w:pPr>
  </w:style>
  <w:style w:type="paragraph" w:styleId="En-tte">
    <w:name w:val="header"/>
    <w:basedOn w:val="Normal"/>
    <w:link w:val="En-tteCar"/>
    <w:uiPriority w:val="99"/>
    <w:unhideWhenUsed/>
    <w:rsid w:val="009161B8"/>
    <w:pPr>
      <w:numPr>
        <w:numId w:val="0"/>
      </w:numPr>
      <w:tabs>
        <w:tab w:val="center" w:pos="4536"/>
        <w:tab w:val="right" w:pos="9072"/>
      </w:tabs>
      <w:spacing w:line="240" w:lineRule="auto"/>
    </w:pPr>
  </w:style>
  <w:style w:type="character" w:customStyle="1" w:styleId="En-tteCar">
    <w:name w:val="En-tête Car"/>
    <w:link w:val="En-tte"/>
    <w:uiPriority w:val="99"/>
    <w:rsid w:val="001D3FDD"/>
    <w:rPr>
      <w:rFonts w:ascii="Times New Roman" w:hAnsi="Times New Roman"/>
      <w:sz w:val="24"/>
    </w:rPr>
  </w:style>
  <w:style w:type="paragraph" w:styleId="Pieddepage">
    <w:name w:val="footer"/>
    <w:basedOn w:val="Normal"/>
    <w:link w:val="PieddepageCar"/>
    <w:uiPriority w:val="99"/>
    <w:unhideWhenUsed/>
    <w:rsid w:val="009161B8"/>
    <w:pPr>
      <w:numPr>
        <w:numId w:val="0"/>
      </w:numPr>
      <w:tabs>
        <w:tab w:val="center" w:pos="4536"/>
        <w:tab w:val="right" w:pos="9072"/>
      </w:tabs>
      <w:spacing w:line="240" w:lineRule="auto"/>
    </w:pPr>
  </w:style>
  <w:style w:type="character" w:customStyle="1" w:styleId="PieddepageCar">
    <w:name w:val="Pied de page Car"/>
    <w:link w:val="Pieddepage"/>
    <w:uiPriority w:val="99"/>
    <w:rsid w:val="001D3FDD"/>
    <w:rPr>
      <w:rFonts w:ascii="Times New Roman" w:hAnsi="Times New Roman"/>
      <w:sz w:val="24"/>
    </w:rPr>
  </w:style>
  <w:style w:type="paragraph" w:styleId="Textedebulles">
    <w:name w:val="Balloon Text"/>
    <w:basedOn w:val="Normal"/>
    <w:link w:val="TextedebullesCar"/>
    <w:uiPriority w:val="99"/>
    <w:semiHidden/>
    <w:unhideWhenUsed/>
    <w:rsid w:val="001D3FDD"/>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1D3FDD"/>
    <w:rPr>
      <w:rFonts w:ascii="Tahoma" w:hAnsi="Tahoma" w:cs="Tahoma"/>
      <w:sz w:val="16"/>
      <w:szCs w:val="16"/>
    </w:rPr>
  </w:style>
  <w:style w:type="character" w:styleId="Lienhypertexte">
    <w:name w:val="Hyperlink"/>
    <w:uiPriority w:val="99"/>
    <w:unhideWhenUsed/>
    <w:rsid w:val="00FE7A79"/>
    <w:rPr>
      <w:color w:val="0000FF"/>
      <w:u w:val="single"/>
    </w:rPr>
  </w:style>
  <w:style w:type="character" w:styleId="Lienhypertextesuivivisit">
    <w:name w:val="FollowedHyperlink"/>
    <w:uiPriority w:val="99"/>
    <w:semiHidden/>
    <w:unhideWhenUsed/>
    <w:rsid w:val="00865582"/>
    <w:rPr>
      <w:color w:val="800080"/>
      <w:u w:val="single"/>
    </w:rPr>
  </w:style>
  <w:style w:type="paragraph" w:styleId="PrformatHTML">
    <w:name w:val="HTML Preformatted"/>
    <w:basedOn w:val="Normal"/>
    <w:link w:val="PrformatHTMLCar"/>
    <w:uiPriority w:val="99"/>
    <w:semiHidden/>
    <w:unhideWhenUsed/>
    <w:rsid w:val="00AC0D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AC0D82"/>
    <w:rPr>
      <w:rFonts w:ascii="Courier New" w:eastAsia="Times New Roman" w:hAnsi="Courier New" w:cs="Courier New"/>
      <w:sz w:val="20"/>
      <w:szCs w:val="20"/>
      <w:lang w:eastAsia="fr-FR"/>
    </w:rPr>
  </w:style>
  <w:style w:type="paragraph" w:customStyle="1" w:styleId="THESESection">
    <w:name w:val="THESE Section"/>
    <w:basedOn w:val="Normal"/>
    <w:link w:val="THESESectionCar"/>
    <w:qFormat/>
    <w:rsid w:val="00AB3B9E"/>
    <w:pPr>
      <w:numPr>
        <w:numId w:val="0"/>
      </w:numPr>
      <w:spacing w:line="240" w:lineRule="auto"/>
    </w:pPr>
    <w:rPr>
      <w:rFonts w:eastAsia="Times New Roman"/>
      <w:b/>
      <w:smallCaps/>
      <w:szCs w:val="24"/>
      <w:u w:val="single"/>
      <w:lang w:eastAsia="fr-FR"/>
    </w:rPr>
  </w:style>
  <w:style w:type="paragraph" w:customStyle="1" w:styleId="THESEI">
    <w:name w:val="THESE I"/>
    <w:aliases w:val="II,III"/>
    <w:basedOn w:val="THESESection"/>
    <w:link w:val="THESEICar"/>
    <w:autoRedefine/>
    <w:qFormat/>
    <w:rsid w:val="009161B8"/>
    <w:rPr>
      <w:smallCaps w:val="0"/>
    </w:rPr>
  </w:style>
  <w:style w:type="paragraph" w:customStyle="1" w:styleId="THESEChapitre">
    <w:name w:val="THESE Chapitre"/>
    <w:basedOn w:val="THESESection"/>
    <w:link w:val="THESEChapitreCar"/>
    <w:qFormat/>
    <w:rsid w:val="00AB3B9E"/>
    <w:pPr>
      <w:jc w:val="center"/>
    </w:pPr>
    <w:rPr>
      <w:sz w:val="32"/>
      <w:u w:val="none"/>
    </w:rPr>
  </w:style>
  <w:style w:type="paragraph" w:customStyle="1" w:styleId="THESETitre">
    <w:name w:val="THESE Titre"/>
    <w:basedOn w:val="THESEChapitre"/>
    <w:link w:val="THESETitreCar"/>
    <w:qFormat/>
    <w:rsid w:val="009161B8"/>
    <w:rPr>
      <w:sz w:val="36"/>
    </w:rPr>
  </w:style>
  <w:style w:type="paragraph" w:customStyle="1" w:styleId="THESEPARTIE">
    <w:name w:val="THESE PARTIE"/>
    <w:basedOn w:val="THESETitre"/>
    <w:link w:val="THESEPARTIECar"/>
    <w:qFormat/>
    <w:rsid w:val="00000546"/>
    <w:rPr>
      <w:caps/>
      <w:smallCaps w:val="0"/>
      <w:sz w:val="40"/>
    </w:rPr>
  </w:style>
  <w:style w:type="paragraph" w:customStyle="1" w:styleId="THESEA">
    <w:name w:val="THESE A"/>
    <w:aliases w:val="B,C"/>
    <w:basedOn w:val="THESEI"/>
    <w:next w:val="THESE1"/>
    <w:link w:val="THESEACar"/>
    <w:autoRedefine/>
    <w:qFormat/>
    <w:rsid w:val="009161B8"/>
    <w:pPr>
      <w:ind w:left="284"/>
    </w:pPr>
    <w:rPr>
      <w:u w:val="none"/>
    </w:rPr>
  </w:style>
  <w:style w:type="paragraph" w:customStyle="1" w:styleId="THESE1">
    <w:name w:val="THESE 1"/>
    <w:aliases w:val="2,3"/>
    <w:basedOn w:val="THESEA"/>
    <w:link w:val="THESE1Car"/>
    <w:qFormat/>
    <w:rsid w:val="00F20EDD"/>
    <w:pPr>
      <w:ind w:left="851"/>
    </w:pPr>
    <w:rPr>
      <w:b w:val="0"/>
      <w:u w:val="single"/>
    </w:rPr>
  </w:style>
  <w:style w:type="paragraph" w:customStyle="1" w:styleId="THESEa0">
    <w:name w:val="THESE a"/>
    <w:aliases w:val="b,c"/>
    <w:basedOn w:val="THESE1"/>
    <w:link w:val="THESEaCar0"/>
    <w:qFormat/>
    <w:rsid w:val="00F327BD"/>
    <w:pPr>
      <w:ind w:left="2268"/>
    </w:pPr>
    <w:rPr>
      <w:i/>
      <w:u w:val="none"/>
    </w:rPr>
  </w:style>
  <w:style w:type="paragraph" w:customStyle="1" w:styleId="Standard">
    <w:name w:val="Standard"/>
    <w:rsid w:val="0083431F"/>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paragraph" w:customStyle="1" w:styleId="Footnote">
    <w:name w:val="Footnote"/>
    <w:basedOn w:val="Standard"/>
    <w:rsid w:val="0083431F"/>
    <w:pPr>
      <w:suppressLineNumbers/>
      <w:ind w:left="339" w:hanging="339"/>
      <w:jc w:val="both"/>
    </w:pPr>
    <w:rPr>
      <w:rFonts w:ascii="Times New Roman" w:eastAsia="Times New Roman" w:hAnsi="Times New Roman" w:cs="Times New Roman"/>
      <w:sz w:val="20"/>
      <w:szCs w:val="20"/>
    </w:rPr>
  </w:style>
  <w:style w:type="paragraph" w:customStyle="1" w:styleId="THSection">
    <w:name w:val="TH Section"/>
    <w:basedOn w:val="Normal"/>
    <w:link w:val="THSectionCar"/>
    <w:rsid w:val="00495D69"/>
    <w:pPr>
      <w:spacing w:after="200" w:line="276" w:lineRule="auto"/>
      <w:jc w:val="left"/>
    </w:pPr>
  </w:style>
  <w:style w:type="character" w:customStyle="1" w:styleId="THSectionCar">
    <w:name w:val="TH Section Car"/>
    <w:link w:val="THSection"/>
    <w:rsid w:val="00495D69"/>
    <w:rPr>
      <w:rFonts w:ascii="Times New Roman" w:hAnsi="Times New Roman"/>
      <w:sz w:val="24"/>
    </w:rPr>
  </w:style>
  <w:style w:type="character" w:styleId="lev">
    <w:name w:val="Strong"/>
    <w:aliases w:val="Gras"/>
    <w:rsid w:val="00355449"/>
    <w:rPr>
      <w:b/>
      <w:bCs/>
    </w:rPr>
  </w:style>
  <w:style w:type="character" w:styleId="Accentuation">
    <w:name w:val="Emphasis"/>
    <w:rsid w:val="002514FB"/>
    <w:rPr>
      <w:i/>
      <w:iCs/>
    </w:rPr>
  </w:style>
  <w:style w:type="paragraph" w:customStyle="1" w:styleId="sdfootnote">
    <w:name w:val="sdfootnote"/>
    <w:basedOn w:val="Normal"/>
    <w:rsid w:val="009161B8"/>
    <w:pPr>
      <w:numPr>
        <w:numId w:val="0"/>
      </w:numPr>
      <w:spacing w:before="100" w:beforeAutospacing="1" w:line="240" w:lineRule="auto"/>
      <w:jc w:val="left"/>
    </w:pPr>
    <w:rPr>
      <w:rFonts w:eastAsia="Times New Roman"/>
      <w:sz w:val="20"/>
      <w:szCs w:val="20"/>
      <w:lang w:eastAsia="fr-FR"/>
    </w:rPr>
  </w:style>
  <w:style w:type="character" w:customStyle="1" w:styleId="st">
    <w:name w:val="st"/>
    <w:basedOn w:val="Policepardfaut"/>
    <w:rsid w:val="00422E03"/>
  </w:style>
  <w:style w:type="character" w:customStyle="1" w:styleId="Titre1Car">
    <w:name w:val="Titre 1 Car"/>
    <w:link w:val="Titre1"/>
    <w:uiPriority w:val="9"/>
    <w:rsid w:val="008D14B4"/>
    <w:rPr>
      <w:rFonts w:ascii="Cambria" w:eastAsia="Times New Roman" w:hAnsi="Cambria" w:cs="Times New Roman"/>
      <w:color w:val="365F91"/>
      <w:sz w:val="32"/>
      <w:szCs w:val="32"/>
    </w:rPr>
  </w:style>
  <w:style w:type="paragraph" w:styleId="Rvision">
    <w:name w:val="Revision"/>
    <w:hidden/>
    <w:uiPriority w:val="99"/>
    <w:semiHidden/>
    <w:rsid w:val="0013746F"/>
    <w:rPr>
      <w:rFonts w:ascii="Times New Roman" w:hAnsi="Times New Roman"/>
      <w:sz w:val="24"/>
      <w:szCs w:val="22"/>
      <w:lang w:eastAsia="en-US"/>
    </w:rPr>
  </w:style>
  <w:style w:type="paragraph" w:customStyle="1" w:styleId="THESEChapitre1">
    <w:name w:val="THESE Chapitre1"/>
    <w:basedOn w:val="THESESection"/>
    <w:rsid w:val="00AB3B9E"/>
    <w:pPr>
      <w:jc w:val="center"/>
    </w:pPr>
    <w:rPr>
      <w:sz w:val="32"/>
      <w:u w:val="none"/>
    </w:rPr>
  </w:style>
  <w:style w:type="paragraph" w:customStyle="1" w:styleId="THESETitre1">
    <w:name w:val="THESE Titre1"/>
    <w:basedOn w:val="THESEChapitre"/>
    <w:link w:val="THESETitre1Car"/>
    <w:rsid w:val="00866F4A"/>
    <w:rPr>
      <w:sz w:val="36"/>
    </w:rPr>
  </w:style>
  <w:style w:type="paragraph" w:customStyle="1" w:styleId="THESEPARTIE1">
    <w:name w:val="THESE PARTIE1"/>
    <w:basedOn w:val="THESETitre"/>
    <w:rsid w:val="00AB3B9E"/>
    <w:rPr>
      <w:caps/>
      <w:smallCaps w:val="0"/>
      <w:sz w:val="40"/>
    </w:rPr>
  </w:style>
  <w:style w:type="paragraph" w:styleId="Titre">
    <w:name w:val="Title"/>
    <w:basedOn w:val="Normal"/>
    <w:next w:val="Normal"/>
    <w:link w:val="TitreCar"/>
    <w:uiPriority w:val="10"/>
    <w:qFormat/>
    <w:rsid w:val="00AB3B9E"/>
    <w:pPr>
      <w:numPr>
        <w:numId w:val="0"/>
      </w:num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reCar">
    <w:name w:val="Titre Car"/>
    <w:link w:val="Titre"/>
    <w:uiPriority w:val="10"/>
    <w:rsid w:val="00501489"/>
    <w:rPr>
      <w:rFonts w:ascii="Cambria" w:eastAsia="Times New Roman" w:hAnsi="Cambria" w:cs="Times New Roman"/>
      <w:color w:val="17365D"/>
      <w:spacing w:val="5"/>
      <w:kern w:val="28"/>
      <w:sz w:val="52"/>
      <w:szCs w:val="52"/>
    </w:rPr>
  </w:style>
  <w:style w:type="character" w:customStyle="1" w:styleId="Mention1">
    <w:name w:val="Mention1"/>
    <w:uiPriority w:val="99"/>
    <w:semiHidden/>
    <w:unhideWhenUsed/>
    <w:rsid w:val="001439B6"/>
    <w:rPr>
      <w:color w:val="2B579A"/>
      <w:shd w:val="clear" w:color="auto" w:fill="E6E6E6"/>
    </w:rPr>
  </w:style>
  <w:style w:type="character" w:customStyle="1" w:styleId="Mentionnonrsolue1">
    <w:name w:val="Mention non résolue1"/>
    <w:uiPriority w:val="99"/>
    <w:semiHidden/>
    <w:unhideWhenUsed/>
    <w:rsid w:val="0038122A"/>
    <w:rPr>
      <w:color w:val="808080"/>
      <w:shd w:val="clear" w:color="auto" w:fill="E6E6E6"/>
    </w:rPr>
  </w:style>
  <w:style w:type="character" w:styleId="Numrodeligne">
    <w:name w:val="line number"/>
    <w:basedOn w:val="Policepardfaut"/>
    <w:uiPriority w:val="99"/>
    <w:semiHidden/>
    <w:unhideWhenUsed/>
    <w:rsid w:val="00AB3B9E"/>
  </w:style>
  <w:style w:type="character" w:customStyle="1" w:styleId="fontstyle01">
    <w:name w:val="fontstyle01"/>
    <w:rsid w:val="00D61F3B"/>
    <w:rPr>
      <w:rFonts w:ascii="Times New Roman" w:hAnsi="Times New Roman" w:cs="Times New Roman" w:hint="default"/>
      <w:b w:val="0"/>
      <w:bCs w:val="0"/>
      <w:i w:val="0"/>
      <w:iCs w:val="0"/>
      <w:color w:val="000000"/>
      <w:sz w:val="20"/>
      <w:szCs w:val="20"/>
    </w:rPr>
  </w:style>
  <w:style w:type="character" w:customStyle="1" w:styleId="documentfirstua">
    <w:name w:val="documentfirstua"/>
    <w:basedOn w:val="Policepardfaut"/>
    <w:rsid w:val="00572991"/>
  </w:style>
  <w:style w:type="character" w:styleId="Mentionnonrsolue">
    <w:name w:val="Unresolved Mention"/>
    <w:uiPriority w:val="99"/>
    <w:semiHidden/>
    <w:unhideWhenUsed/>
    <w:rsid w:val="000530B2"/>
    <w:rPr>
      <w:color w:val="808080"/>
      <w:shd w:val="clear" w:color="auto" w:fill="E6E6E6"/>
    </w:rPr>
  </w:style>
  <w:style w:type="paragraph" w:styleId="En-ttedetabledesmatires">
    <w:name w:val="TOC Heading"/>
    <w:basedOn w:val="Titre1"/>
    <w:next w:val="Normal"/>
    <w:uiPriority w:val="39"/>
    <w:unhideWhenUsed/>
    <w:qFormat/>
    <w:rsid w:val="002F0989"/>
    <w:pPr>
      <w:spacing w:line="259" w:lineRule="auto"/>
      <w:jc w:val="left"/>
      <w:outlineLvl w:val="9"/>
    </w:pPr>
    <w:rPr>
      <w:lang w:eastAsia="fr-FR"/>
    </w:rPr>
  </w:style>
  <w:style w:type="character" w:customStyle="1" w:styleId="Titre9Car">
    <w:name w:val="Titre 9 Car"/>
    <w:link w:val="Titre9"/>
    <w:uiPriority w:val="9"/>
    <w:semiHidden/>
    <w:rsid w:val="00333C52"/>
    <w:rPr>
      <w:rFonts w:ascii="Cambria" w:eastAsia="Times New Roman" w:hAnsi="Cambria" w:cs="Times New Roman"/>
      <w:i/>
      <w:iCs/>
      <w:color w:val="272727"/>
      <w:sz w:val="21"/>
      <w:szCs w:val="21"/>
    </w:rPr>
  </w:style>
  <w:style w:type="character" w:customStyle="1" w:styleId="Titre8Car">
    <w:name w:val="Titre 8 Car"/>
    <w:link w:val="Titre8"/>
    <w:uiPriority w:val="9"/>
    <w:semiHidden/>
    <w:rsid w:val="00333C52"/>
    <w:rPr>
      <w:rFonts w:ascii="Cambria" w:eastAsia="Times New Roman" w:hAnsi="Cambria" w:cs="Times New Roman"/>
      <w:color w:val="272727"/>
      <w:sz w:val="21"/>
      <w:szCs w:val="21"/>
    </w:rPr>
  </w:style>
  <w:style w:type="character" w:customStyle="1" w:styleId="Titre7Car">
    <w:name w:val="Titre 7 Car"/>
    <w:link w:val="Titre7"/>
    <w:uiPriority w:val="9"/>
    <w:semiHidden/>
    <w:rsid w:val="00333C52"/>
    <w:rPr>
      <w:rFonts w:ascii="Cambria" w:eastAsia="Times New Roman" w:hAnsi="Cambria" w:cs="Times New Roman"/>
      <w:i/>
      <w:iCs/>
      <w:color w:val="243F60"/>
      <w:sz w:val="24"/>
    </w:rPr>
  </w:style>
  <w:style w:type="character" w:customStyle="1" w:styleId="Titre6Car">
    <w:name w:val="Titre 6 Car"/>
    <w:link w:val="Titre6"/>
    <w:uiPriority w:val="9"/>
    <w:semiHidden/>
    <w:rsid w:val="00333C52"/>
    <w:rPr>
      <w:rFonts w:ascii="Cambria" w:eastAsia="Times New Roman" w:hAnsi="Cambria" w:cs="Times New Roman"/>
      <w:color w:val="243F60"/>
      <w:sz w:val="24"/>
    </w:rPr>
  </w:style>
  <w:style w:type="character" w:customStyle="1" w:styleId="Titre5Car">
    <w:name w:val="Titre 5 Car"/>
    <w:link w:val="Titre5"/>
    <w:uiPriority w:val="9"/>
    <w:semiHidden/>
    <w:rsid w:val="00333C52"/>
    <w:rPr>
      <w:rFonts w:ascii="Cambria" w:eastAsia="Times New Roman" w:hAnsi="Cambria" w:cs="Times New Roman"/>
      <w:color w:val="365F91"/>
      <w:sz w:val="24"/>
    </w:rPr>
  </w:style>
  <w:style w:type="character" w:customStyle="1" w:styleId="Titre4Car">
    <w:name w:val="Titre 4 Car"/>
    <w:link w:val="Titre4"/>
    <w:uiPriority w:val="9"/>
    <w:semiHidden/>
    <w:rsid w:val="00333C52"/>
    <w:rPr>
      <w:rFonts w:ascii="Cambria" w:eastAsia="Times New Roman" w:hAnsi="Cambria" w:cs="Times New Roman"/>
      <w:i/>
      <w:iCs/>
      <w:color w:val="365F91"/>
      <w:sz w:val="24"/>
    </w:rPr>
  </w:style>
  <w:style w:type="character" w:customStyle="1" w:styleId="Titre3Car">
    <w:name w:val="Titre 3 Car"/>
    <w:link w:val="Titre3"/>
    <w:uiPriority w:val="9"/>
    <w:semiHidden/>
    <w:rsid w:val="00333C52"/>
    <w:rPr>
      <w:rFonts w:ascii="Cambria" w:eastAsia="Times New Roman" w:hAnsi="Cambria" w:cs="Times New Roman"/>
      <w:color w:val="243F60"/>
      <w:sz w:val="24"/>
      <w:szCs w:val="24"/>
    </w:rPr>
  </w:style>
  <w:style w:type="character" w:customStyle="1" w:styleId="Titre2Car">
    <w:name w:val="Titre 2 Car"/>
    <w:link w:val="Titre2"/>
    <w:uiPriority w:val="9"/>
    <w:semiHidden/>
    <w:rsid w:val="00333C52"/>
    <w:rPr>
      <w:rFonts w:ascii="Cambria" w:eastAsia="Times New Roman" w:hAnsi="Cambria" w:cs="Times New Roman"/>
      <w:color w:val="365F91"/>
      <w:sz w:val="26"/>
      <w:szCs w:val="26"/>
    </w:rPr>
  </w:style>
  <w:style w:type="paragraph" w:styleId="TM2">
    <w:name w:val="toc 2"/>
    <w:basedOn w:val="Normal"/>
    <w:next w:val="Normal"/>
    <w:autoRedefine/>
    <w:uiPriority w:val="39"/>
    <w:unhideWhenUsed/>
    <w:rsid w:val="00333C52"/>
    <w:pPr>
      <w:spacing w:before="240"/>
      <w:jc w:val="left"/>
    </w:pPr>
    <w:rPr>
      <w:rFonts w:ascii="Calibri" w:hAnsi="Calibri" w:cs="Calibri"/>
      <w:b/>
      <w:bCs/>
      <w:sz w:val="20"/>
      <w:szCs w:val="20"/>
    </w:rPr>
  </w:style>
  <w:style w:type="paragraph" w:styleId="TM3">
    <w:name w:val="toc 3"/>
    <w:basedOn w:val="Normal"/>
    <w:next w:val="Normal"/>
    <w:autoRedefine/>
    <w:uiPriority w:val="39"/>
    <w:unhideWhenUsed/>
    <w:rsid w:val="00333C52"/>
    <w:pPr>
      <w:ind w:left="240"/>
      <w:jc w:val="left"/>
    </w:pPr>
    <w:rPr>
      <w:rFonts w:ascii="Calibri" w:hAnsi="Calibri" w:cs="Calibri"/>
      <w:sz w:val="20"/>
      <w:szCs w:val="20"/>
    </w:rPr>
  </w:style>
  <w:style w:type="paragraph" w:styleId="TM4">
    <w:name w:val="toc 4"/>
    <w:basedOn w:val="Normal"/>
    <w:next w:val="Normal"/>
    <w:autoRedefine/>
    <w:uiPriority w:val="39"/>
    <w:unhideWhenUsed/>
    <w:rsid w:val="00333C52"/>
    <w:pPr>
      <w:ind w:left="480"/>
      <w:jc w:val="left"/>
    </w:pPr>
    <w:rPr>
      <w:rFonts w:ascii="Calibri" w:hAnsi="Calibri" w:cs="Calibri"/>
      <w:sz w:val="20"/>
      <w:szCs w:val="20"/>
    </w:rPr>
  </w:style>
  <w:style w:type="paragraph" w:styleId="TM5">
    <w:name w:val="toc 5"/>
    <w:basedOn w:val="Normal"/>
    <w:next w:val="Normal"/>
    <w:autoRedefine/>
    <w:uiPriority w:val="39"/>
    <w:unhideWhenUsed/>
    <w:rsid w:val="00333C52"/>
    <w:pPr>
      <w:ind w:left="720"/>
      <w:jc w:val="left"/>
    </w:pPr>
    <w:rPr>
      <w:rFonts w:ascii="Calibri" w:hAnsi="Calibri" w:cs="Calibri"/>
      <w:sz w:val="20"/>
      <w:szCs w:val="20"/>
    </w:rPr>
  </w:style>
  <w:style w:type="paragraph" w:styleId="TM6">
    <w:name w:val="toc 6"/>
    <w:basedOn w:val="Normal"/>
    <w:next w:val="Normal"/>
    <w:autoRedefine/>
    <w:uiPriority w:val="39"/>
    <w:unhideWhenUsed/>
    <w:rsid w:val="00333C52"/>
    <w:pPr>
      <w:ind w:left="960"/>
      <w:jc w:val="left"/>
    </w:pPr>
    <w:rPr>
      <w:rFonts w:ascii="Calibri" w:hAnsi="Calibri" w:cs="Calibri"/>
      <w:sz w:val="20"/>
      <w:szCs w:val="20"/>
    </w:rPr>
  </w:style>
  <w:style w:type="paragraph" w:styleId="TM7">
    <w:name w:val="toc 7"/>
    <w:basedOn w:val="Normal"/>
    <w:next w:val="Normal"/>
    <w:autoRedefine/>
    <w:uiPriority w:val="39"/>
    <w:unhideWhenUsed/>
    <w:rsid w:val="00333C52"/>
    <w:pPr>
      <w:ind w:left="1200"/>
      <w:jc w:val="left"/>
    </w:pPr>
    <w:rPr>
      <w:rFonts w:ascii="Calibri" w:hAnsi="Calibri" w:cs="Calibri"/>
      <w:sz w:val="20"/>
      <w:szCs w:val="20"/>
    </w:rPr>
  </w:style>
  <w:style w:type="paragraph" w:styleId="TM1">
    <w:name w:val="toc 1"/>
    <w:basedOn w:val="Normal"/>
    <w:next w:val="Normal"/>
    <w:autoRedefine/>
    <w:uiPriority w:val="39"/>
    <w:unhideWhenUsed/>
    <w:rsid w:val="00333C52"/>
    <w:pPr>
      <w:spacing w:before="360"/>
      <w:jc w:val="left"/>
    </w:pPr>
    <w:rPr>
      <w:rFonts w:ascii="Cambria" w:hAnsi="Cambria"/>
      <w:b/>
      <w:bCs/>
      <w:caps/>
      <w:szCs w:val="24"/>
    </w:rPr>
  </w:style>
  <w:style w:type="paragraph" w:styleId="Notedefin">
    <w:name w:val="endnote text"/>
    <w:basedOn w:val="Normal"/>
    <w:link w:val="NotedefinCar"/>
    <w:uiPriority w:val="99"/>
    <w:semiHidden/>
    <w:unhideWhenUsed/>
    <w:rsid w:val="00F420E7"/>
    <w:pPr>
      <w:spacing w:line="240" w:lineRule="auto"/>
    </w:pPr>
    <w:rPr>
      <w:sz w:val="20"/>
      <w:szCs w:val="20"/>
    </w:rPr>
  </w:style>
  <w:style w:type="character" w:customStyle="1" w:styleId="NotedefinCar">
    <w:name w:val="Note de fin Car"/>
    <w:link w:val="Notedefin"/>
    <w:uiPriority w:val="99"/>
    <w:semiHidden/>
    <w:rsid w:val="00F420E7"/>
    <w:rPr>
      <w:rFonts w:ascii="Times New Roman" w:hAnsi="Times New Roman"/>
      <w:sz w:val="20"/>
      <w:szCs w:val="20"/>
    </w:rPr>
  </w:style>
  <w:style w:type="character" w:styleId="Appeldenotedefin">
    <w:name w:val="endnote reference"/>
    <w:uiPriority w:val="99"/>
    <w:semiHidden/>
    <w:unhideWhenUsed/>
    <w:rsid w:val="00F420E7"/>
    <w:rPr>
      <w:vertAlign w:val="superscript"/>
    </w:rPr>
  </w:style>
  <w:style w:type="paragraph" w:styleId="TM8">
    <w:name w:val="toc 8"/>
    <w:basedOn w:val="Normal"/>
    <w:next w:val="Normal"/>
    <w:autoRedefine/>
    <w:uiPriority w:val="39"/>
    <w:unhideWhenUsed/>
    <w:rsid w:val="00DA275E"/>
    <w:pPr>
      <w:ind w:left="1440"/>
      <w:jc w:val="left"/>
    </w:pPr>
    <w:rPr>
      <w:rFonts w:ascii="Calibri" w:hAnsi="Calibri" w:cs="Calibri"/>
      <w:sz w:val="20"/>
      <w:szCs w:val="20"/>
    </w:rPr>
  </w:style>
  <w:style w:type="paragraph" w:styleId="TM9">
    <w:name w:val="toc 9"/>
    <w:basedOn w:val="Normal"/>
    <w:next w:val="Normal"/>
    <w:autoRedefine/>
    <w:uiPriority w:val="39"/>
    <w:unhideWhenUsed/>
    <w:rsid w:val="00DA275E"/>
    <w:pPr>
      <w:ind w:left="1680"/>
      <w:jc w:val="left"/>
    </w:pPr>
    <w:rPr>
      <w:rFonts w:ascii="Calibri" w:hAnsi="Calibri" w:cs="Calibri"/>
      <w:sz w:val="20"/>
      <w:szCs w:val="20"/>
    </w:rPr>
  </w:style>
  <w:style w:type="character" w:customStyle="1" w:styleId="THESESectionCar">
    <w:name w:val="THESE Section Car"/>
    <w:link w:val="THESESection"/>
    <w:rsid w:val="00A96D7D"/>
    <w:rPr>
      <w:rFonts w:ascii="Times New Roman" w:eastAsia="Times New Roman" w:hAnsi="Times New Roman" w:cs="Times New Roman"/>
      <w:b/>
      <w:smallCaps/>
      <w:sz w:val="24"/>
      <w:szCs w:val="24"/>
      <w:u w:val="single"/>
      <w:lang w:eastAsia="fr-FR"/>
    </w:rPr>
  </w:style>
  <w:style w:type="character" w:customStyle="1" w:styleId="THESEChapitreCar">
    <w:name w:val="THESE Chapitre Car"/>
    <w:link w:val="THESEChapitre"/>
    <w:rsid w:val="00A96D7D"/>
    <w:rPr>
      <w:rFonts w:ascii="Times New Roman" w:eastAsia="Times New Roman" w:hAnsi="Times New Roman" w:cs="Times New Roman"/>
      <w:b/>
      <w:smallCaps/>
      <w:sz w:val="32"/>
      <w:szCs w:val="24"/>
      <w:u w:val="single"/>
      <w:lang w:eastAsia="fr-FR"/>
    </w:rPr>
  </w:style>
  <w:style w:type="character" w:customStyle="1" w:styleId="THESETitreCar">
    <w:name w:val="THESE Titre Car"/>
    <w:link w:val="THESETitre"/>
    <w:rsid w:val="001B2BAD"/>
    <w:rPr>
      <w:rFonts w:ascii="Times New Roman" w:eastAsia="Times New Roman" w:hAnsi="Times New Roman" w:cs="Times New Roman"/>
      <w:b/>
      <w:smallCaps/>
      <w:sz w:val="36"/>
      <w:szCs w:val="24"/>
      <w:u w:val="single"/>
      <w:lang w:eastAsia="fr-FR"/>
    </w:rPr>
  </w:style>
  <w:style w:type="character" w:customStyle="1" w:styleId="THESEPARTIECar">
    <w:name w:val="THESE PARTIE Car"/>
    <w:link w:val="THESEPARTIE"/>
    <w:rsid w:val="001B2BAD"/>
    <w:rPr>
      <w:rFonts w:ascii="Times New Roman" w:eastAsia="Times New Roman" w:hAnsi="Times New Roman" w:cs="Times New Roman"/>
      <w:b/>
      <w:caps/>
      <w:smallCaps w:val="0"/>
      <w:sz w:val="40"/>
      <w:szCs w:val="24"/>
      <w:u w:val="single"/>
      <w:lang w:eastAsia="fr-FR"/>
    </w:rPr>
  </w:style>
  <w:style w:type="character" w:customStyle="1" w:styleId="THESETitre1Car">
    <w:name w:val="THESE Titre1 Car"/>
    <w:link w:val="THESETitre1"/>
    <w:rsid w:val="001B2BAD"/>
    <w:rPr>
      <w:rFonts w:ascii="Times New Roman" w:eastAsia="Times New Roman" w:hAnsi="Times New Roman" w:cs="Times New Roman"/>
      <w:b/>
      <w:smallCaps/>
      <w:sz w:val="36"/>
      <w:szCs w:val="24"/>
      <w:u w:val="single"/>
      <w:lang w:eastAsia="fr-FR"/>
    </w:rPr>
  </w:style>
  <w:style w:type="character" w:customStyle="1" w:styleId="THESEICar">
    <w:name w:val="THESE I Car"/>
    <w:aliases w:val="II Car,III Car"/>
    <w:link w:val="THESEI"/>
    <w:rsid w:val="001B2BAD"/>
    <w:rPr>
      <w:rFonts w:ascii="Times New Roman" w:eastAsia="Times New Roman" w:hAnsi="Times New Roman" w:cs="Times New Roman"/>
      <w:b/>
      <w:smallCaps w:val="0"/>
      <w:sz w:val="24"/>
      <w:szCs w:val="24"/>
      <w:u w:val="single"/>
      <w:lang w:eastAsia="fr-FR"/>
    </w:rPr>
  </w:style>
  <w:style w:type="character" w:customStyle="1" w:styleId="THESEACar">
    <w:name w:val="THESE A Car"/>
    <w:aliases w:val="B Car,C Car"/>
    <w:link w:val="THESEA"/>
    <w:rsid w:val="001B2BAD"/>
    <w:rPr>
      <w:rFonts w:ascii="Times New Roman" w:eastAsia="Times New Roman" w:hAnsi="Times New Roman" w:cs="Times New Roman"/>
      <w:b/>
      <w:smallCaps w:val="0"/>
      <w:sz w:val="24"/>
      <w:szCs w:val="24"/>
      <w:u w:val="single"/>
      <w:lang w:eastAsia="fr-FR"/>
    </w:rPr>
  </w:style>
  <w:style w:type="character" w:customStyle="1" w:styleId="THESE1Car">
    <w:name w:val="THESE 1 Car"/>
    <w:aliases w:val="2 Car,3 Car"/>
    <w:link w:val="THESE1"/>
    <w:rsid w:val="001B2BAD"/>
    <w:rPr>
      <w:rFonts w:ascii="Times New Roman" w:eastAsia="Times New Roman" w:hAnsi="Times New Roman" w:cs="Times New Roman"/>
      <w:b w:val="0"/>
      <w:smallCaps w:val="0"/>
      <w:sz w:val="24"/>
      <w:szCs w:val="24"/>
      <w:u w:val="single"/>
      <w:lang w:eastAsia="fr-FR"/>
    </w:rPr>
  </w:style>
  <w:style w:type="character" w:customStyle="1" w:styleId="THESEaCar0">
    <w:name w:val="THESE a Car"/>
    <w:aliases w:val="b Car,c Car"/>
    <w:link w:val="THESEa0"/>
    <w:rsid w:val="001B2BAD"/>
    <w:rPr>
      <w:rFonts w:ascii="Times New Roman" w:eastAsia="Times New Roman" w:hAnsi="Times New Roman" w:cs="Times New Roman"/>
      <w:b w:val="0"/>
      <w:i/>
      <w:smallCaps w:val="0"/>
      <w:sz w:val="24"/>
      <w:szCs w:val="24"/>
      <w:u w:val="single"/>
      <w:lang w:eastAsia="fr-FR"/>
    </w:rPr>
  </w:style>
  <w:style w:type="character" w:styleId="Marquedecommentaire">
    <w:name w:val="annotation reference"/>
    <w:basedOn w:val="Policepardfaut"/>
    <w:uiPriority w:val="99"/>
    <w:semiHidden/>
    <w:unhideWhenUsed/>
    <w:rsid w:val="00171A8A"/>
    <w:rPr>
      <w:sz w:val="16"/>
      <w:szCs w:val="16"/>
    </w:rPr>
  </w:style>
  <w:style w:type="paragraph" w:styleId="Commentaire">
    <w:name w:val="annotation text"/>
    <w:basedOn w:val="Normal"/>
    <w:link w:val="CommentaireCar"/>
    <w:uiPriority w:val="99"/>
    <w:semiHidden/>
    <w:unhideWhenUsed/>
    <w:rsid w:val="00171A8A"/>
    <w:pPr>
      <w:spacing w:line="240" w:lineRule="auto"/>
    </w:pPr>
    <w:rPr>
      <w:sz w:val="20"/>
      <w:szCs w:val="20"/>
    </w:rPr>
  </w:style>
  <w:style w:type="character" w:customStyle="1" w:styleId="CommentaireCar">
    <w:name w:val="Commentaire Car"/>
    <w:basedOn w:val="Policepardfaut"/>
    <w:link w:val="Commentaire"/>
    <w:uiPriority w:val="99"/>
    <w:semiHidden/>
    <w:rsid w:val="00171A8A"/>
    <w:rPr>
      <w:rFonts w:ascii="Times New Roman" w:hAnsi="Times New Roman"/>
      <w:lang w:eastAsia="en-US"/>
    </w:rPr>
  </w:style>
  <w:style w:type="paragraph" w:styleId="Objetducommentaire">
    <w:name w:val="annotation subject"/>
    <w:basedOn w:val="Commentaire"/>
    <w:next w:val="Commentaire"/>
    <w:link w:val="ObjetducommentaireCar"/>
    <w:uiPriority w:val="99"/>
    <w:semiHidden/>
    <w:unhideWhenUsed/>
    <w:rsid w:val="00171A8A"/>
    <w:rPr>
      <w:b/>
      <w:bCs/>
    </w:rPr>
  </w:style>
  <w:style w:type="character" w:customStyle="1" w:styleId="ObjetducommentaireCar">
    <w:name w:val="Objet du commentaire Car"/>
    <w:basedOn w:val="CommentaireCar"/>
    <w:link w:val="Objetducommentaire"/>
    <w:uiPriority w:val="99"/>
    <w:semiHidden/>
    <w:rsid w:val="00171A8A"/>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042">
      <w:bodyDiv w:val="1"/>
      <w:marLeft w:val="0"/>
      <w:marRight w:val="0"/>
      <w:marTop w:val="0"/>
      <w:marBottom w:val="0"/>
      <w:divBdr>
        <w:top w:val="none" w:sz="0" w:space="0" w:color="auto"/>
        <w:left w:val="none" w:sz="0" w:space="0" w:color="auto"/>
        <w:bottom w:val="none" w:sz="0" w:space="0" w:color="auto"/>
        <w:right w:val="none" w:sz="0" w:space="0" w:color="auto"/>
      </w:divBdr>
    </w:div>
    <w:div w:id="29645006">
      <w:bodyDiv w:val="1"/>
      <w:marLeft w:val="0"/>
      <w:marRight w:val="0"/>
      <w:marTop w:val="0"/>
      <w:marBottom w:val="0"/>
      <w:divBdr>
        <w:top w:val="none" w:sz="0" w:space="0" w:color="auto"/>
        <w:left w:val="none" w:sz="0" w:space="0" w:color="auto"/>
        <w:bottom w:val="none" w:sz="0" w:space="0" w:color="auto"/>
        <w:right w:val="none" w:sz="0" w:space="0" w:color="auto"/>
      </w:divBdr>
    </w:div>
    <w:div w:id="221261621">
      <w:bodyDiv w:val="1"/>
      <w:marLeft w:val="0"/>
      <w:marRight w:val="0"/>
      <w:marTop w:val="0"/>
      <w:marBottom w:val="0"/>
      <w:divBdr>
        <w:top w:val="none" w:sz="0" w:space="0" w:color="auto"/>
        <w:left w:val="none" w:sz="0" w:space="0" w:color="auto"/>
        <w:bottom w:val="none" w:sz="0" w:space="0" w:color="auto"/>
        <w:right w:val="none" w:sz="0" w:space="0" w:color="auto"/>
      </w:divBdr>
    </w:div>
    <w:div w:id="230577741">
      <w:bodyDiv w:val="1"/>
      <w:marLeft w:val="0"/>
      <w:marRight w:val="0"/>
      <w:marTop w:val="0"/>
      <w:marBottom w:val="0"/>
      <w:divBdr>
        <w:top w:val="none" w:sz="0" w:space="0" w:color="auto"/>
        <w:left w:val="none" w:sz="0" w:space="0" w:color="auto"/>
        <w:bottom w:val="none" w:sz="0" w:space="0" w:color="auto"/>
        <w:right w:val="none" w:sz="0" w:space="0" w:color="auto"/>
      </w:divBdr>
    </w:div>
    <w:div w:id="242374203">
      <w:bodyDiv w:val="1"/>
      <w:marLeft w:val="0"/>
      <w:marRight w:val="0"/>
      <w:marTop w:val="0"/>
      <w:marBottom w:val="0"/>
      <w:divBdr>
        <w:top w:val="none" w:sz="0" w:space="0" w:color="auto"/>
        <w:left w:val="none" w:sz="0" w:space="0" w:color="auto"/>
        <w:bottom w:val="none" w:sz="0" w:space="0" w:color="auto"/>
        <w:right w:val="none" w:sz="0" w:space="0" w:color="auto"/>
      </w:divBdr>
    </w:div>
    <w:div w:id="276106680">
      <w:bodyDiv w:val="1"/>
      <w:marLeft w:val="0"/>
      <w:marRight w:val="0"/>
      <w:marTop w:val="0"/>
      <w:marBottom w:val="0"/>
      <w:divBdr>
        <w:top w:val="none" w:sz="0" w:space="0" w:color="auto"/>
        <w:left w:val="none" w:sz="0" w:space="0" w:color="auto"/>
        <w:bottom w:val="none" w:sz="0" w:space="0" w:color="auto"/>
        <w:right w:val="none" w:sz="0" w:space="0" w:color="auto"/>
      </w:divBdr>
    </w:div>
    <w:div w:id="296616184">
      <w:bodyDiv w:val="1"/>
      <w:marLeft w:val="0"/>
      <w:marRight w:val="0"/>
      <w:marTop w:val="0"/>
      <w:marBottom w:val="0"/>
      <w:divBdr>
        <w:top w:val="none" w:sz="0" w:space="0" w:color="auto"/>
        <w:left w:val="none" w:sz="0" w:space="0" w:color="auto"/>
        <w:bottom w:val="none" w:sz="0" w:space="0" w:color="auto"/>
        <w:right w:val="none" w:sz="0" w:space="0" w:color="auto"/>
      </w:divBdr>
    </w:div>
    <w:div w:id="375155111">
      <w:bodyDiv w:val="1"/>
      <w:marLeft w:val="0"/>
      <w:marRight w:val="0"/>
      <w:marTop w:val="0"/>
      <w:marBottom w:val="0"/>
      <w:divBdr>
        <w:top w:val="none" w:sz="0" w:space="0" w:color="auto"/>
        <w:left w:val="none" w:sz="0" w:space="0" w:color="auto"/>
        <w:bottom w:val="none" w:sz="0" w:space="0" w:color="auto"/>
        <w:right w:val="none" w:sz="0" w:space="0" w:color="auto"/>
      </w:divBdr>
    </w:div>
    <w:div w:id="408354846">
      <w:bodyDiv w:val="1"/>
      <w:marLeft w:val="0"/>
      <w:marRight w:val="0"/>
      <w:marTop w:val="0"/>
      <w:marBottom w:val="0"/>
      <w:divBdr>
        <w:top w:val="none" w:sz="0" w:space="0" w:color="auto"/>
        <w:left w:val="none" w:sz="0" w:space="0" w:color="auto"/>
        <w:bottom w:val="none" w:sz="0" w:space="0" w:color="auto"/>
        <w:right w:val="none" w:sz="0" w:space="0" w:color="auto"/>
      </w:divBdr>
    </w:div>
    <w:div w:id="419759590">
      <w:bodyDiv w:val="1"/>
      <w:marLeft w:val="0"/>
      <w:marRight w:val="0"/>
      <w:marTop w:val="0"/>
      <w:marBottom w:val="0"/>
      <w:divBdr>
        <w:top w:val="none" w:sz="0" w:space="0" w:color="auto"/>
        <w:left w:val="none" w:sz="0" w:space="0" w:color="auto"/>
        <w:bottom w:val="none" w:sz="0" w:space="0" w:color="auto"/>
        <w:right w:val="none" w:sz="0" w:space="0" w:color="auto"/>
      </w:divBdr>
      <w:divsChild>
        <w:div w:id="267584112">
          <w:marLeft w:val="0"/>
          <w:marRight w:val="0"/>
          <w:marTop w:val="0"/>
          <w:marBottom w:val="0"/>
          <w:divBdr>
            <w:top w:val="none" w:sz="0" w:space="0" w:color="auto"/>
            <w:left w:val="none" w:sz="0" w:space="0" w:color="auto"/>
            <w:bottom w:val="none" w:sz="0" w:space="0" w:color="auto"/>
            <w:right w:val="none" w:sz="0" w:space="0" w:color="auto"/>
          </w:divBdr>
          <w:divsChild>
            <w:div w:id="2018191129">
              <w:marLeft w:val="0"/>
              <w:marRight w:val="0"/>
              <w:marTop w:val="0"/>
              <w:marBottom w:val="0"/>
              <w:divBdr>
                <w:top w:val="none" w:sz="0" w:space="0" w:color="auto"/>
                <w:left w:val="none" w:sz="0" w:space="0" w:color="auto"/>
                <w:bottom w:val="none" w:sz="0" w:space="0" w:color="auto"/>
                <w:right w:val="none" w:sz="0" w:space="0" w:color="auto"/>
              </w:divBdr>
              <w:divsChild>
                <w:div w:id="16219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4899">
      <w:bodyDiv w:val="1"/>
      <w:marLeft w:val="0"/>
      <w:marRight w:val="0"/>
      <w:marTop w:val="0"/>
      <w:marBottom w:val="0"/>
      <w:divBdr>
        <w:top w:val="none" w:sz="0" w:space="0" w:color="auto"/>
        <w:left w:val="none" w:sz="0" w:space="0" w:color="auto"/>
        <w:bottom w:val="none" w:sz="0" w:space="0" w:color="auto"/>
        <w:right w:val="none" w:sz="0" w:space="0" w:color="auto"/>
      </w:divBdr>
    </w:div>
    <w:div w:id="460850919">
      <w:bodyDiv w:val="1"/>
      <w:marLeft w:val="0"/>
      <w:marRight w:val="0"/>
      <w:marTop w:val="0"/>
      <w:marBottom w:val="0"/>
      <w:divBdr>
        <w:top w:val="none" w:sz="0" w:space="0" w:color="auto"/>
        <w:left w:val="none" w:sz="0" w:space="0" w:color="auto"/>
        <w:bottom w:val="none" w:sz="0" w:space="0" w:color="auto"/>
        <w:right w:val="none" w:sz="0" w:space="0" w:color="auto"/>
      </w:divBdr>
    </w:div>
    <w:div w:id="501434262">
      <w:bodyDiv w:val="1"/>
      <w:marLeft w:val="0"/>
      <w:marRight w:val="0"/>
      <w:marTop w:val="0"/>
      <w:marBottom w:val="0"/>
      <w:divBdr>
        <w:top w:val="none" w:sz="0" w:space="0" w:color="auto"/>
        <w:left w:val="none" w:sz="0" w:space="0" w:color="auto"/>
        <w:bottom w:val="none" w:sz="0" w:space="0" w:color="auto"/>
        <w:right w:val="none" w:sz="0" w:space="0" w:color="auto"/>
      </w:divBdr>
    </w:div>
    <w:div w:id="517962470">
      <w:bodyDiv w:val="1"/>
      <w:marLeft w:val="0"/>
      <w:marRight w:val="0"/>
      <w:marTop w:val="0"/>
      <w:marBottom w:val="0"/>
      <w:divBdr>
        <w:top w:val="none" w:sz="0" w:space="0" w:color="auto"/>
        <w:left w:val="none" w:sz="0" w:space="0" w:color="auto"/>
        <w:bottom w:val="none" w:sz="0" w:space="0" w:color="auto"/>
        <w:right w:val="none" w:sz="0" w:space="0" w:color="auto"/>
      </w:divBdr>
    </w:div>
    <w:div w:id="563300559">
      <w:bodyDiv w:val="1"/>
      <w:marLeft w:val="0"/>
      <w:marRight w:val="0"/>
      <w:marTop w:val="0"/>
      <w:marBottom w:val="0"/>
      <w:divBdr>
        <w:top w:val="none" w:sz="0" w:space="0" w:color="auto"/>
        <w:left w:val="none" w:sz="0" w:space="0" w:color="auto"/>
        <w:bottom w:val="none" w:sz="0" w:space="0" w:color="auto"/>
        <w:right w:val="none" w:sz="0" w:space="0" w:color="auto"/>
      </w:divBdr>
    </w:div>
    <w:div w:id="572589876">
      <w:bodyDiv w:val="1"/>
      <w:marLeft w:val="0"/>
      <w:marRight w:val="0"/>
      <w:marTop w:val="0"/>
      <w:marBottom w:val="0"/>
      <w:divBdr>
        <w:top w:val="none" w:sz="0" w:space="0" w:color="auto"/>
        <w:left w:val="none" w:sz="0" w:space="0" w:color="auto"/>
        <w:bottom w:val="none" w:sz="0" w:space="0" w:color="auto"/>
        <w:right w:val="none" w:sz="0" w:space="0" w:color="auto"/>
      </w:divBdr>
      <w:divsChild>
        <w:div w:id="1977373449">
          <w:marLeft w:val="0"/>
          <w:marRight w:val="0"/>
          <w:marTop w:val="0"/>
          <w:marBottom w:val="0"/>
          <w:divBdr>
            <w:top w:val="none" w:sz="0" w:space="0" w:color="auto"/>
            <w:left w:val="none" w:sz="0" w:space="0" w:color="auto"/>
            <w:bottom w:val="none" w:sz="0" w:space="0" w:color="auto"/>
            <w:right w:val="none" w:sz="0" w:space="0" w:color="auto"/>
          </w:divBdr>
          <w:divsChild>
            <w:div w:id="158346620">
              <w:marLeft w:val="0"/>
              <w:marRight w:val="0"/>
              <w:marTop w:val="0"/>
              <w:marBottom w:val="0"/>
              <w:divBdr>
                <w:top w:val="none" w:sz="0" w:space="0" w:color="auto"/>
                <w:left w:val="none" w:sz="0" w:space="0" w:color="auto"/>
                <w:bottom w:val="none" w:sz="0" w:space="0" w:color="auto"/>
                <w:right w:val="none" w:sz="0" w:space="0" w:color="auto"/>
              </w:divBdr>
              <w:divsChild>
                <w:div w:id="11284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9017">
      <w:bodyDiv w:val="1"/>
      <w:marLeft w:val="0"/>
      <w:marRight w:val="0"/>
      <w:marTop w:val="0"/>
      <w:marBottom w:val="0"/>
      <w:divBdr>
        <w:top w:val="none" w:sz="0" w:space="0" w:color="auto"/>
        <w:left w:val="none" w:sz="0" w:space="0" w:color="auto"/>
        <w:bottom w:val="none" w:sz="0" w:space="0" w:color="auto"/>
        <w:right w:val="none" w:sz="0" w:space="0" w:color="auto"/>
      </w:divBdr>
    </w:div>
    <w:div w:id="701134730">
      <w:bodyDiv w:val="1"/>
      <w:marLeft w:val="0"/>
      <w:marRight w:val="0"/>
      <w:marTop w:val="0"/>
      <w:marBottom w:val="0"/>
      <w:divBdr>
        <w:top w:val="none" w:sz="0" w:space="0" w:color="auto"/>
        <w:left w:val="none" w:sz="0" w:space="0" w:color="auto"/>
        <w:bottom w:val="none" w:sz="0" w:space="0" w:color="auto"/>
        <w:right w:val="none" w:sz="0" w:space="0" w:color="auto"/>
      </w:divBdr>
    </w:div>
    <w:div w:id="772096226">
      <w:bodyDiv w:val="1"/>
      <w:marLeft w:val="0"/>
      <w:marRight w:val="0"/>
      <w:marTop w:val="0"/>
      <w:marBottom w:val="0"/>
      <w:divBdr>
        <w:top w:val="none" w:sz="0" w:space="0" w:color="auto"/>
        <w:left w:val="none" w:sz="0" w:space="0" w:color="auto"/>
        <w:bottom w:val="none" w:sz="0" w:space="0" w:color="auto"/>
        <w:right w:val="none" w:sz="0" w:space="0" w:color="auto"/>
      </w:divBdr>
    </w:div>
    <w:div w:id="795098966">
      <w:bodyDiv w:val="1"/>
      <w:marLeft w:val="0"/>
      <w:marRight w:val="0"/>
      <w:marTop w:val="0"/>
      <w:marBottom w:val="0"/>
      <w:divBdr>
        <w:top w:val="none" w:sz="0" w:space="0" w:color="auto"/>
        <w:left w:val="none" w:sz="0" w:space="0" w:color="auto"/>
        <w:bottom w:val="none" w:sz="0" w:space="0" w:color="auto"/>
        <w:right w:val="none" w:sz="0" w:space="0" w:color="auto"/>
      </w:divBdr>
    </w:div>
    <w:div w:id="805246373">
      <w:bodyDiv w:val="1"/>
      <w:marLeft w:val="0"/>
      <w:marRight w:val="0"/>
      <w:marTop w:val="0"/>
      <w:marBottom w:val="0"/>
      <w:divBdr>
        <w:top w:val="none" w:sz="0" w:space="0" w:color="auto"/>
        <w:left w:val="none" w:sz="0" w:space="0" w:color="auto"/>
        <w:bottom w:val="none" w:sz="0" w:space="0" w:color="auto"/>
        <w:right w:val="none" w:sz="0" w:space="0" w:color="auto"/>
      </w:divBdr>
    </w:div>
    <w:div w:id="874467245">
      <w:bodyDiv w:val="1"/>
      <w:marLeft w:val="0"/>
      <w:marRight w:val="0"/>
      <w:marTop w:val="0"/>
      <w:marBottom w:val="0"/>
      <w:divBdr>
        <w:top w:val="none" w:sz="0" w:space="0" w:color="auto"/>
        <w:left w:val="none" w:sz="0" w:space="0" w:color="auto"/>
        <w:bottom w:val="none" w:sz="0" w:space="0" w:color="auto"/>
        <w:right w:val="none" w:sz="0" w:space="0" w:color="auto"/>
      </w:divBdr>
    </w:div>
    <w:div w:id="947929462">
      <w:bodyDiv w:val="1"/>
      <w:marLeft w:val="0"/>
      <w:marRight w:val="0"/>
      <w:marTop w:val="0"/>
      <w:marBottom w:val="0"/>
      <w:divBdr>
        <w:top w:val="none" w:sz="0" w:space="0" w:color="auto"/>
        <w:left w:val="none" w:sz="0" w:space="0" w:color="auto"/>
        <w:bottom w:val="none" w:sz="0" w:space="0" w:color="auto"/>
        <w:right w:val="none" w:sz="0" w:space="0" w:color="auto"/>
      </w:divBdr>
    </w:div>
    <w:div w:id="958418689">
      <w:bodyDiv w:val="1"/>
      <w:marLeft w:val="0"/>
      <w:marRight w:val="0"/>
      <w:marTop w:val="0"/>
      <w:marBottom w:val="0"/>
      <w:divBdr>
        <w:top w:val="none" w:sz="0" w:space="0" w:color="auto"/>
        <w:left w:val="none" w:sz="0" w:space="0" w:color="auto"/>
        <w:bottom w:val="none" w:sz="0" w:space="0" w:color="auto"/>
        <w:right w:val="none" w:sz="0" w:space="0" w:color="auto"/>
      </w:divBdr>
    </w:div>
    <w:div w:id="963118256">
      <w:bodyDiv w:val="1"/>
      <w:marLeft w:val="0"/>
      <w:marRight w:val="0"/>
      <w:marTop w:val="0"/>
      <w:marBottom w:val="0"/>
      <w:divBdr>
        <w:top w:val="none" w:sz="0" w:space="0" w:color="auto"/>
        <w:left w:val="none" w:sz="0" w:space="0" w:color="auto"/>
        <w:bottom w:val="none" w:sz="0" w:space="0" w:color="auto"/>
        <w:right w:val="none" w:sz="0" w:space="0" w:color="auto"/>
      </w:divBdr>
      <w:divsChild>
        <w:div w:id="849485167">
          <w:marLeft w:val="0"/>
          <w:marRight w:val="0"/>
          <w:marTop w:val="0"/>
          <w:marBottom w:val="0"/>
          <w:divBdr>
            <w:top w:val="none" w:sz="0" w:space="0" w:color="auto"/>
            <w:left w:val="none" w:sz="0" w:space="0" w:color="auto"/>
            <w:bottom w:val="none" w:sz="0" w:space="0" w:color="auto"/>
            <w:right w:val="none" w:sz="0" w:space="0" w:color="auto"/>
          </w:divBdr>
          <w:divsChild>
            <w:div w:id="1717386042">
              <w:marLeft w:val="0"/>
              <w:marRight w:val="0"/>
              <w:marTop w:val="0"/>
              <w:marBottom w:val="0"/>
              <w:divBdr>
                <w:top w:val="none" w:sz="0" w:space="0" w:color="auto"/>
                <w:left w:val="none" w:sz="0" w:space="0" w:color="auto"/>
                <w:bottom w:val="none" w:sz="0" w:space="0" w:color="auto"/>
                <w:right w:val="none" w:sz="0" w:space="0" w:color="auto"/>
              </w:divBdr>
              <w:divsChild>
                <w:div w:id="7325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50820">
      <w:bodyDiv w:val="1"/>
      <w:marLeft w:val="0"/>
      <w:marRight w:val="0"/>
      <w:marTop w:val="0"/>
      <w:marBottom w:val="0"/>
      <w:divBdr>
        <w:top w:val="none" w:sz="0" w:space="0" w:color="auto"/>
        <w:left w:val="none" w:sz="0" w:space="0" w:color="auto"/>
        <w:bottom w:val="none" w:sz="0" w:space="0" w:color="auto"/>
        <w:right w:val="none" w:sz="0" w:space="0" w:color="auto"/>
      </w:divBdr>
    </w:div>
    <w:div w:id="1054163786">
      <w:bodyDiv w:val="1"/>
      <w:marLeft w:val="0"/>
      <w:marRight w:val="0"/>
      <w:marTop w:val="0"/>
      <w:marBottom w:val="0"/>
      <w:divBdr>
        <w:top w:val="none" w:sz="0" w:space="0" w:color="auto"/>
        <w:left w:val="none" w:sz="0" w:space="0" w:color="auto"/>
        <w:bottom w:val="none" w:sz="0" w:space="0" w:color="auto"/>
        <w:right w:val="none" w:sz="0" w:space="0" w:color="auto"/>
      </w:divBdr>
    </w:div>
    <w:div w:id="1098477944">
      <w:bodyDiv w:val="1"/>
      <w:marLeft w:val="0"/>
      <w:marRight w:val="0"/>
      <w:marTop w:val="0"/>
      <w:marBottom w:val="0"/>
      <w:divBdr>
        <w:top w:val="none" w:sz="0" w:space="0" w:color="auto"/>
        <w:left w:val="none" w:sz="0" w:space="0" w:color="auto"/>
        <w:bottom w:val="none" w:sz="0" w:space="0" w:color="auto"/>
        <w:right w:val="none" w:sz="0" w:space="0" w:color="auto"/>
      </w:divBdr>
    </w:div>
    <w:div w:id="1148478032">
      <w:bodyDiv w:val="1"/>
      <w:marLeft w:val="0"/>
      <w:marRight w:val="0"/>
      <w:marTop w:val="0"/>
      <w:marBottom w:val="0"/>
      <w:divBdr>
        <w:top w:val="none" w:sz="0" w:space="0" w:color="auto"/>
        <w:left w:val="none" w:sz="0" w:space="0" w:color="auto"/>
        <w:bottom w:val="none" w:sz="0" w:space="0" w:color="auto"/>
        <w:right w:val="none" w:sz="0" w:space="0" w:color="auto"/>
      </w:divBdr>
    </w:div>
    <w:div w:id="1164475429">
      <w:bodyDiv w:val="1"/>
      <w:marLeft w:val="0"/>
      <w:marRight w:val="0"/>
      <w:marTop w:val="0"/>
      <w:marBottom w:val="0"/>
      <w:divBdr>
        <w:top w:val="none" w:sz="0" w:space="0" w:color="auto"/>
        <w:left w:val="none" w:sz="0" w:space="0" w:color="auto"/>
        <w:bottom w:val="none" w:sz="0" w:space="0" w:color="auto"/>
        <w:right w:val="none" w:sz="0" w:space="0" w:color="auto"/>
      </w:divBdr>
      <w:divsChild>
        <w:div w:id="511340333">
          <w:marLeft w:val="0"/>
          <w:marRight w:val="0"/>
          <w:marTop w:val="0"/>
          <w:marBottom w:val="0"/>
          <w:divBdr>
            <w:top w:val="none" w:sz="0" w:space="0" w:color="auto"/>
            <w:left w:val="none" w:sz="0" w:space="0" w:color="auto"/>
            <w:bottom w:val="none" w:sz="0" w:space="0" w:color="auto"/>
            <w:right w:val="none" w:sz="0" w:space="0" w:color="auto"/>
          </w:divBdr>
        </w:div>
        <w:div w:id="662318869">
          <w:marLeft w:val="0"/>
          <w:marRight w:val="0"/>
          <w:marTop w:val="0"/>
          <w:marBottom w:val="0"/>
          <w:divBdr>
            <w:top w:val="none" w:sz="0" w:space="0" w:color="auto"/>
            <w:left w:val="none" w:sz="0" w:space="0" w:color="auto"/>
            <w:bottom w:val="none" w:sz="0" w:space="0" w:color="auto"/>
            <w:right w:val="none" w:sz="0" w:space="0" w:color="auto"/>
          </w:divBdr>
        </w:div>
        <w:div w:id="838035528">
          <w:marLeft w:val="0"/>
          <w:marRight w:val="0"/>
          <w:marTop w:val="0"/>
          <w:marBottom w:val="0"/>
          <w:divBdr>
            <w:top w:val="none" w:sz="0" w:space="0" w:color="auto"/>
            <w:left w:val="none" w:sz="0" w:space="0" w:color="auto"/>
            <w:bottom w:val="none" w:sz="0" w:space="0" w:color="auto"/>
            <w:right w:val="none" w:sz="0" w:space="0" w:color="auto"/>
          </w:divBdr>
        </w:div>
        <w:div w:id="1001542786">
          <w:marLeft w:val="0"/>
          <w:marRight w:val="0"/>
          <w:marTop w:val="0"/>
          <w:marBottom w:val="0"/>
          <w:divBdr>
            <w:top w:val="none" w:sz="0" w:space="0" w:color="auto"/>
            <w:left w:val="none" w:sz="0" w:space="0" w:color="auto"/>
            <w:bottom w:val="none" w:sz="0" w:space="0" w:color="auto"/>
            <w:right w:val="none" w:sz="0" w:space="0" w:color="auto"/>
          </w:divBdr>
        </w:div>
        <w:div w:id="1153372997">
          <w:marLeft w:val="0"/>
          <w:marRight w:val="0"/>
          <w:marTop w:val="0"/>
          <w:marBottom w:val="0"/>
          <w:divBdr>
            <w:top w:val="none" w:sz="0" w:space="0" w:color="auto"/>
            <w:left w:val="none" w:sz="0" w:space="0" w:color="auto"/>
            <w:bottom w:val="none" w:sz="0" w:space="0" w:color="auto"/>
            <w:right w:val="none" w:sz="0" w:space="0" w:color="auto"/>
          </w:divBdr>
        </w:div>
        <w:div w:id="1251085321">
          <w:marLeft w:val="0"/>
          <w:marRight w:val="0"/>
          <w:marTop w:val="0"/>
          <w:marBottom w:val="0"/>
          <w:divBdr>
            <w:top w:val="none" w:sz="0" w:space="0" w:color="auto"/>
            <w:left w:val="none" w:sz="0" w:space="0" w:color="auto"/>
            <w:bottom w:val="none" w:sz="0" w:space="0" w:color="auto"/>
            <w:right w:val="none" w:sz="0" w:space="0" w:color="auto"/>
          </w:divBdr>
        </w:div>
        <w:div w:id="1877502380">
          <w:marLeft w:val="0"/>
          <w:marRight w:val="0"/>
          <w:marTop w:val="0"/>
          <w:marBottom w:val="0"/>
          <w:divBdr>
            <w:top w:val="none" w:sz="0" w:space="0" w:color="auto"/>
            <w:left w:val="none" w:sz="0" w:space="0" w:color="auto"/>
            <w:bottom w:val="none" w:sz="0" w:space="0" w:color="auto"/>
            <w:right w:val="none" w:sz="0" w:space="0" w:color="auto"/>
          </w:divBdr>
        </w:div>
      </w:divsChild>
    </w:div>
    <w:div w:id="1253126640">
      <w:bodyDiv w:val="1"/>
      <w:marLeft w:val="0"/>
      <w:marRight w:val="0"/>
      <w:marTop w:val="0"/>
      <w:marBottom w:val="0"/>
      <w:divBdr>
        <w:top w:val="none" w:sz="0" w:space="0" w:color="auto"/>
        <w:left w:val="none" w:sz="0" w:space="0" w:color="auto"/>
        <w:bottom w:val="none" w:sz="0" w:space="0" w:color="auto"/>
        <w:right w:val="none" w:sz="0" w:space="0" w:color="auto"/>
      </w:divBdr>
    </w:div>
    <w:div w:id="1304656988">
      <w:bodyDiv w:val="1"/>
      <w:marLeft w:val="0"/>
      <w:marRight w:val="0"/>
      <w:marTop w:val="0"/>
      <w:marBottom w:val="0"/>
      <w:divBdr>
        <w:top w:val="none" w:sz="0" w:space="0" w:color="auto"/>
        <w:left w:val="none" w:sz="0" w:space="0" w:color="auto"/>
        <w:bottom w:val="none" w:sz="0" w:space="0" w:color="auto"/>
        <w:right w:val="none" w:sz="0" w:space="0" w:color="auto"/>
      </w:divBdr>
      <w:divsChild>
        <w:div w:id="183905455">
          <w:marLeft w:val="0"/>
          <w:marRight w:val="0"/>
          <w:marTop w:val="0"/>
          <w:marBottom w:val="0"/>
          <w:divBdr>
            <w:top w:val="none" w:sz="0" w:space="0" w:color="auto"/>
            <w:left w:val="none" w:sz="0" w:space="0" w:color="auto"/>
            <w:bottom w:val="none" w:sz="0" w:space="0" w:color="auto"/>
            <w:right w:val="none" w:sz="0" w:space="0" w:color="auto"/>
          </w:divBdr>
          <w:divsChild>
            <w:div w:id="605768496">
              <w:marLeft w:val="0"/>
              <w:marRight w:val="0"/>
              <w:marTop w:val="0"/>
              <w:marBottom w:val="0"/>
              <w:divBdr>
                <w:top w:val="none" w:sz="0" w:space="0" w:color="auto"/>
                <w:left w:val="none" w:sz="0" w:space="0" w:color="auto"/>
                <w:bottom w:val="none" w:sz="0" w:space="0" w:color="auto"/>
                <w:right w:val="none" w:sz="0" w:space="0" w:color="auto"/>
              </w:divBdr>
              <w:divsChild>
                <w:div w:id="11879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12937">
      <w:bodyDiv w:val="1"/>
      <w:marLeft w:val="0"/>
      <w:marRight w:val="0"/>
      <w:marTop w:val="0"/>
      <w:marBottom w:val="0"/>
      <w:divBdr>
        <w:top w:val="none" w:sz="0" w:space="0" w:color="auto"/>
        <w:left w:val="none" w:sz="0" w:space="0" w:color="auto"/>
        <w:bottom w:val="none" w:sz="0" w:space="0" w:color="auto"/>
        <w:right w:val="none" w:sz="0" w:space="0" w:color="auto"/>
      </w:divBdr>
      <w:divsChild>
        <w:div w:id="233858140">
          <w:marLeft w:val="0"/>
          <w:marRight w:val="0"/>
          <w:marTop w:val="0"/>
          <w:marBottom w:val="0"/>
          <w:divBdr>
            <w:top w:val="none" w:sz="0" w:space="0" w:color="auto"/>
            <w:left w:val="none" w:sz="0" w:space="0" w:color="auto"/>
            <w:bottom w:val="none" w:sz="0" w:space="0" w:color="auto"/>
            <w:right w:val="none" w:sz="0" w:space="0" w:color="auto"/>
          </w:divBdr>
        </w:div>
      </w:divsChild>
    </w:div>
    <w:div w:id="1333727982">
      <w:bodyDiv w:val="1"/>
      <w:marLeft w:val="0"/>
      <w:marRight w:val="0"/>
      <w:marTop w:val="0"/>
      <w:marBottom w:val="0"/>
      <w:divBdr>
        <w:top w:val="none" w:sz="0" w:space="0" w:color="auto"/>
        <w:left w:val="none" w:sz="0" w:space="0" w:color="auto"/>
        <w:bottom w:val="none" w:sz="0" w:space="0" w:color="auto"/>
        <w:right w:val="none" w:sz="0" w:space="0" w:color="auto"/>
      </w:divBdr>
    </w:div>
    <w:div w:id="1380789384">
      <w:bodyDiv w:val="1"/>
      <w:marLeft w:val="0"/>
      <w:marRight w:val="0"/>
      <w:marTop w:val="0"/>
      <w:marBottom w:val="0"/>
      <w:divBdr>
        <w:top w:val="none" w:sz="0" w:space="0" w:color="auto"/>
        <w:left w:val="none" w:sz="0" w:space="0" w:color="auto"/>
        <w:bottom w:val="none" w:sz="0" w:space="0" w:color="auto"/>
        <w:right w:val="none" w:sz="0" w:space="0" w:color="auto"/>
      </w:divBdr>
    </w:div>
    <w:div w:id="1454127574">
      <w:bodyDiv w:val="1"/>
      <w:marLeft w:val="0"/>
      <w:marRight w:val="0"/>
      <w:marTop w:val="0"/>
      <w:marBottom w:val="0"/>
      <w:divBdr>
        <w:top w:val="none" w:sz="0" w:space="0" w:color="auto"/>
        <w:left w:val="none" w:sz="0" w:space="0" w:color="auto"/>
        <w:bottom w:val="none" w:sz="0" w:space="0" w:color="auto"/>
        <w:right w:val="none" w:sz="0" w:space="0" w:color="auto"/>
      </w:divBdr>
    </w:div>
    <w:div w:id="1472819870">
      <w:bodyDiv w:val="1"/>
      <w:marLeft w:val="0"/>
      <w:marRight w:val="0"/>
      <w:marTop w:val="0"/>
      <w:marBottom w:val="0"/>
      <w:divBdr>
        <w:top w:val="none" w:sz="0" w:space="0" w:color="auto"/>
        <w:left w:val="none" w:sz="0" w:space="0" w:color="auto"/>
        <w:bottom w:val="none" w:sz="0" w:space="0" w:color="auto"/>
        <w:right w:val="none" w:sz="0" w:space="0" w:color="auto"/>
      </w:divBdr>
    </w:div>
    <w:div w:id="1524435890">
      <w:bodyDiv w:val="1"/>
      <w:marLeft w:val="0"/>
      <w:marRight w:val="0"/>
      <w:marTop w:val="0"/>
      <w:marBottom w:val="0"/>
      <w:divBdr>
        <w:top w:val="none" w:sz="0" w:space="0" w:color="auto"/>
        <w:left w:val="none" w:sz="0" w:space="0" w:color="auto"/>
        <w:bottom w:val="none" w:sz="0" w:space="0" w:color="auto"/>
        <w:right w:val="none" w:sz="0" w:space="0" w:color="auto"/>
      </w:divBdr>
    </w:div>
    <w:div w:id="1535922517">
      <w:bodyDiv w:val="1"/>
      <w:marLeft w:val="0"/>
      <w:marRight w:val="0"/>
      <w:marTop w:val="0"/>
      <w:marBottom w:val="0"/>
      <w:divBdr>
        <w:top w:val="none" w:sz="0" w:space="0" w:color="auto"/>
        <w:left w:val="none" w:sz="0" w:space="0" w:color="auto"/>
        <w:bottom w:val="none" w:sz="0" w:space="0" w:color="auto"/>
        <w:right w:val="none" w:sz="0" w:space="0" w:color="auto"/>
      </w:divBdr>
    </w:div>
    <w:div w:id="1538933662">
      <w:bodyDiv w:val="1"/>
      <w:marLeft w:val="0"/>
      <w:marRight w:val="0"/>
      <w:marTop w:val="0"/>
      <w:marBottom w:val="0"/>
      <w:divBdr>
        <w:top w:val="none" w:sz="0" w:space="0" w:color="auto"/>
        <w:left w:val="none" w:sz="0" w:space="0" w:color="auto"/>
        <w:bottom w:val="none" w:sz="0" w:space="0" w:color="auto"/>
        <w:right w:val="none" w:sz="0" w:space="0" w:color="auto"/>
      </w:divBdr>
    </w:div>
    <w:div w:id="1557820392">
      <w:bodyDiv w:val="1"/>
      <w:marLeft w:val="0"/>
      <w:marRight w:val="0"/>
      <w:marTop w:val="0"/>
      <w:marBottom w:val="0"/>
      <w:divBdr>
        <w:top w:val="none" w:sz="0" w:space="0" w:color="auto"/>
        <w:left w:val="none" w:sz="0" w:space="0" w:color="auto"/>
        <w:bottom w:val="none" w:sz="0" w:space="0" w:color="auto"/>
        <w:right w:val="none" w:sz="0" w:space="0" w:color="auto"/>
      </w:divBdr>
    </w:div>
    <w:div w:id="1558466609">
      <w:bodyDiv w:val="1"/>
      <w:marLeft w:val="0"/>
      <w:marRight w:val="0"/>
      <w:marTop w:val="0"/>
      <w:marBottom w:val="0"/>
      <w:divBdr>
        <w:top w:val="none" w:sz="0" w:space="0" w:color="auto"/>
        <w:left w:val="none" w:sz="0" w:space="0" w:color="auto"/>
        <w:bottom w:val="none" w:sz="0" w:space="0" w:color="auto"/>
        <w:right w:val="none" w:sz="0" w:space="0" w:color="auto"/>
      </w:divBdr>
      <w:divsChild>
        <w:div w:id="718896326">
          <w:marLeft w:val="0"/>
          <w:marRight w:val="0"/>
          <w:marTop w:val="0"/>
          <w:marBottom w:val="0"/>
          <w:divBdr>
            <w:top w:val="none" w:sz="0" w:space="0" w:color="auto"/>
            <w:left w:val="none" w:sz="0" w:space="0" w:color="auto"/>
            <w:bottom w:val="none" w:sz="0" w:space="0" w:color="auto"/>
            <w:right w:val="none" w:sz="0" w:space="0" w:color="auto"/>
          </w:divBdr>
        </w:div>
        <w:div w:id="948506257">
          <w:marLeft w:val="0"/>
          <w:marRight w:val="0"/>
          <w:marTop w:val="0"/>
          <w:marBottom w:val="0"/>
          <w:divBdr>
            <w:top w:val="none" w:sz="0" w:space="0" w:color="auto"/>
            <w:left w:val="none" w:sz="0" w:space="0" w:color="auto"/>
            <w:bottom w:val="none" w:sz="0" w:space="0" w:color="auto"/>
            <w:right w:val="none" w:sz="0" w:space="0" w:color="auto"/>
          </w:divBdr>
        </w:div>
        <w:div w:id="1353872976">
          <w:marLeft w:val="0"/>
          <w:marRight w:val="0"/>
          <w:marTop w:val="0"/>
          <w:marBottom w:val="0"/>
          <w:divBdr>
            <w:top w:val="none" w:sz="0" w:space="0" w:color="auto"/>
            <w:left w:val="none" w:sz="0" w:space="0" w:color="auto"/>
            <w:bottom w:val="none" w:sz="0" w:space="0" w:color="auto"/>
            <w:right w:val="none" w:sz="0" w:space="0" w:color="auto"/>
          </w:divBdr>
        </w:div>
        <w:div w:id="2061244148">
          <w:marLeft w:val="0"/>
          <w:marRight w:val="0"/>
          <w:marTop w:val="0"/>
          <w:marBottom w:val="0"/>
          <w:divBdr>
            <w:top w:val="none" w:sz="0" w:space="0" w:color="auto"/>
            <w:left w:val="none" w:sz="0" w:space="0" w:color="auto"/>
            <w:bottom w:val="none" w:sz="0" w:space="0" w:color="auto"/>
            <w:right w:val="none" w:sz="0" w:space="0" w:color="auto"/>
          </w:divBdr>
        </w:div>
      </w:divsChild>
    </w:div>
    <w:div w:id="1567300995">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sChild>
        <w:div w:id="1613974392">
          <w:marLeft w:val="0"/>
          <w:marRight w:val="0"/>
          <w:marTop w:val="0"/>
          <w:marBottom w:val="0"/>
          <w:divBdr>
            <w:top w:val="none" w:sz="0" w:space="0" w:color="auto"/>
            <w:left w:val="none" w:sz="0" w:space="0" w:color="auto"/>
            <w:bottom w:val="none" w:sz="0" w:space="0" w:color="auto"/>
            <w:right w:val="none" w:sz="0" w:space="0" w:color="auto"/>
          </w:divBdr>
          <w:divsChild>
            <w:div w:id="524711680">
              <w:marLeft w:val="0"/>
              <w:marRight w:val="0"/>
              <w:marTop w:val="0"/>
              <w:marBottom w:val="0"/>
              <w:divBdr>
                <w:top w:val="none" w:sz="0" w:space="0" w:color="auto"/>
                <w:left w:val="none" w:sz="0" w:space="0" w:color="auto"/>
                <w:bottom w:val="none" w:sz="0" w:space="0" w:color="auto"/>
                <w:right w:val="none" w:sz="0" w:space="0" w:color="auto"/>
              </w:divBdr>
              <w:divsChild>
                <w:div w:id="2786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16354">
      <w:bodyDiv w:val="1"/>
      <w:marLeft w:val="0"/>
      <w:marRight w:val="0"/>
      <w:marTop w:val="0"/>
      <w:marBottom w:val="0"/>
      <w:divBdr>
        <w:top w:val="none" w:sz="0" w:space="0" w:color="auto"/>
        <w:left w:val="none" w:sz="0" w:space="0" w:color="auto"/>
        <w:bottom w:val="none" w:sz="0" w:space="0" w:color="auto"/>
        <w:right w:val="none" w:sz="0" w:space="0" w:color="auto"/>
      </w:divBdr>
    </w:div>
    <w:div w:id="1636904983">
      <w:bodyDiv w:val="1"/>
      <w:marLeft w:val="0"/>
      <w:marRight w:val="0"/>
      <w:marTop w:val="0"/>
      <w:marBottom w:val="0"/>
      <w:divBdr>
        <w:top w:val="none" w:sz="0" w:space="0" w:color="auto"/>
        <w:left w:val="none" w:sz="0" w:space="0" w:color="auto"/>
        <w:bottom w:val="none" w:sz="0" w:space="0" w:color="auto"/>
        <w:right w:val="none" w:sz="0" w:space="0" w:color="auto"/>
      </w:divBdr>
    </w:div>
    <w:div w:id="1804885591">
      <w:bodyDiv w:val="1"/>
      <w:marLeft w:val="0"/>
      <w:marRight w:val="0"/>
      <w:marTop w:val="0"/>
      <w:marBottom w:val="0"/>
      <w:divBdr>
        <w:top w:val="none" w:sz="0" w:space="0" w:color="auto"/>
        <w:left w:val="none" w:sz="0" w:space="0" w:color="auto"/>
        <w:bottom w:val="none" w:sz="0" w:space="0" w:color="auto"/>
        <w:right w:val="none" w:sz="0" w:space="0" w:color="auto"/>
      </w:divBdr>
    </w:div>
    <w:div w:id="1817145712">
      <w:bodyDiv w:val="1"/>
      <w:marLeft w:val="0"/>
      <w:marRight w:val="0"/>
      <w:marTop w:val="0"/>
      <w:marBottom w:val="0"/>
      <w:divBdr>
        <w:top w:val="none" w:sz="0" w:space="0" w:color="auto"/>
        <w:left w:val="none" w:sz="0" w:space="0" w:color="auto"/>
        <w:bottom w:val="none" w:sz="0" w:space="0" w:color="auto"/>
        <w:right w:val="none" w:sz="0" w:space="0" w:color="auto"/>
      </w:divBdr>
    </w:div>
    <w:div w:id="1882740903">
      <w:bodyDiv w:val="1"/>
      <w:marLeft w:val="0"/>
      <w:marRight w:val="0"/>
      <w:marTop w:val="0"/>
      <w:marBottom w:val="0"/>
      <w:divBdr>
        <w:top w:val="none" w:sz="0" w:space="0" w:color="auto"/>
        <w:left w:val="none" w:sz="0" w:space="0" w:color="auto"/>
        <w:bottom w:val="none" w:sz="0" w:space="0" w:color="auto"/>
        <w:right w:val="none" w:sz="0" w:space="0" w:color="auto"/>
      </w:divBdr>
    </w:div>
    <w:div w:id="1957443555">
      <w:bodyDiv w:val="1"/>
      <w:marLeft w:val="0"/>
      <w:marRight w:val="0"/>
      <w:marTop w:val="0"/>
      <w:marBottom w:val="0"/>
      <w:divBdr>
        <w:top w:val="none" w:sz="0" w:space="0" w:color="auto"/>
        <w:left w:val="none" w:sz="0" w:space="0" w:color="auto"/>
        <w:bottom w:val="none" w:sz="0" w:space="0" w:color="auto"/>
        <w:right w:val="none" w:sz="0" w:space="0" w:color="auto"/>
      </w:divBdr>
    </w:div>
    <w:div w:id="1969630551">
      <w:bodyDiv w:val="1"/>
      <w:marLeft w:val="0"/>
      <w:marRight w:val="0"/>
      <w:marTop w:val="0"/>
      <w:marBottom w:val="0"/>
      <w:divBdr>
        <w:top w:val="none" w:sz="0" w:space="0" w:color="auto"/>
        <w:left w:val="none" w:sz="0" w:space="0" w:color="auto"/>
        <w:bottom w:val="none" w:sz="0" w:space="0" w:color="auto"/>
        <w:right w:val="none" w:sz="0" w:space="0" w:color="auto"/>
      </w:divBdr>
      <w:divsChild>
        <w:div w:id="631791622">
          <w:marLeft w:val="0"/>
          <w:marRight w:val="0"/>
          <w:marTop w:val="0"/>
          <w:marBottom w:val="0"/>
          <w:divBdr>
            <w:top w:val="none" w:sz="0" w:space="0" w:color="auto"/>
            <w:left w:val="none" w:sz="0" w:space="0" w:color="auto"/>
            <w:bottom w:val="none" w:sz="0" w:space="0" w:color="auto"/>
            <w:right w:val="none" w:sz="0" w:space="0" w:color="auto"/>
          </w:divBdr>
        </w:div>
      </w:divsChild>
    </w:div>
    <w:div w:id="1991250065">
      <w:bodyDiv w:val="1"/>
      <w:marLeft w:val="0"/>
      <w:marRight w:val="0"/>
      <w:marTop w:val="0"/>
      <w:marBottom w:val="0"/>
      <w:divBdr>
        <w:top w:val="none" w:sz="0" w:space="0" w:color="auto"/>
        <w:left w:val="none" w:sz="0" w:space="0" w:color="auto"/>
        <w:bottom w:val="none" w:sz="0" w:space="0" w:color="auto"/>
        <w:right w:val="none" w:sz="0" w:space="0" w:color="auto"/>
      </w:divBdr>
      <w:divsChild>
        <w:div w:id="1061518725">
          <w:marLeft w:val="0"/>
          <w:marRight w:val="0"/>
          <w:marTop w:val="0"/>
          <w:marBottom w:val="0"/>
          <w:divBdr>
            <w:top w:val="none" w:sz="0" w:space="0" w:color="auto"/>
            <w:left w:val="none" w:sz="0" w:space="0" w:color="auto"/>
            <w:bottom w:val="none" w:sz="0" w:space="0" w:color="auto"/>
            <w:right w:val="none" w:sz="0" w:space="0" w:color="auto"/>
          </w:divBdr>
        </w:div>
      </w:divsChild>
    </w:div>
    <w:div w:id="2054310878">
      <w:bodyDiv w:val="1"/>
      <w:marLeft w:val="0"/>
      <w:marRight w:val="0"/>
      <w:marTop w:val="0"/>
      <w:marBottom w:val="0"/>
      <w:divBdr>
        <w:top w:val="none" w:sz="0" w:space="0" w:color="auto"/>
        <w:left w:val="none" w:sz="0" w:space="0" w:color="auto"/>
        <w:bottom w:val="none" w:sz="0" w:space="0" w:color="auto"/>
        <w:right w:val="none" w:sz="0" w:space="0" w:color="auto"/>
      </w:divBdr>
      <w:divsChild>
        <w:div w:id="45417899">
          <w:marLeft w:val="0"/>
          <w:marRight w:val="0"/>
          <w:marTop w:val="0"/>
          <w:marBottom w:val="0"/>
          <w:divBdr>
            <w:top w:val="none" w:sz="0" w:space="0" w:color="auto"/>
            <w:left w:val="none" w:sz="0" w:space="0" w:color="auto"/>
            <w:bottom w:val="none" w:sz="0" w:space="0" w:color="auto"/>
            <w:right w:val="none" w:sz="0" w:space="0" w:color="auto"/>
          </w:divBdr>
        </w:div>
      </w:divsChild>
    </w:div>
    <w:div w:id="2066490820">
      <w:bodyDiv w:val="1"/>
      <w:marLeft w:val="0"/>
      <w:marRight w:val="0"/>
      <w:marTop w:val="0"/>
      <w:marBottom w:val="0"/>
      <w:divBdr>
        <w:top w:val="none" w:sz="0" w:space="0" w:color="auto"/>
        <w:left w:val="none" w:sz="0" w:space="0" w:color="auto"/>
        <w:bottom w:val="none" w:sz="0" w:space="0" w:color="auto"/>
        <w:right w:val="none" w:sz="0" w:space="0" w:color="auto"/>
      </w:divBdr>
      <w:divsChild>
        <w:div w:id="311445796">
          <w:marLeft w:val="0"/>
          <w:marRight w:val="0"/>
          <w:marTop w:val="0"/>
          <w:marBottom w:val="0"/>
          <w:divBdr>
            <w:top w:val="none" w:sz="0" w:space="0" w:color="auto"/>
            <w:left w:val="none" w:sz="0" w:space="0" w:color="auto"/>
            <w:bottom w:val="none" w:sz="0" w:space="0" w:color="auto"/>
            <w:right w:val="none" w:sz="0" w:space="0" w:color="auto"/>
          </w:divBdr>
          <w:divsChild>
            <w:div w:id="1739866370">
              <w:marLeft w:val="0"/>
              <w:marRight w:val="0"/>
              <w:marTop w:val="0"/>
              <w:marBottom w:val="0"/>
              <w:divBdr>
                <w:top w:val="none" w:sz="0" w:space="0" w:color="auto"/>
                <w:left w:val="none" w:sz="0" w:space="0" w:color="auto"/>
                <w:bottom w:val="none" w:sz="0" w:space="0" w:color="auto"/>
                <w:right w:val="none" w:sz="0" w:space="0" w:color="auto"/>
              </w:divBdr>
              <w:divsChild>
                <w:div w:id="7187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725634">
      <w:bodyDiv w:val="1"/>
      <w:marLeft w:val="0"/>
      <w:marRight w:val="0"/>
      <w:marTop w:val="0"/>
      <w:marBottom w:val="0"/>
      <w:divBdr>
        <w:top w:val="none" w:sz="0" w:space="0" w:color="auto"/>
        <w:left w:val="none" w:sz="0" w:space="0" w:color="auto"/>
        <w:bottom w:val="none" w:sz="0" w:space="0" w:color="auto"/>
        <w:right w:val="none" w:sz="0" w:space="0" w:color="auto"/>
      </w:divBdr>
    </w:div>
    <w:div w:id="207547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5872</Words>
  <Characters>31537</Characters>
  <Application>Microsoft Office Word</Application>
  <DocSecurity>0</DocSecurity>
  <Lines>492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2022-05-25T07:07:00Z</dcterms:created>
  <dcterms:modified xsi:type="dcterms:W3CDTF">2022-09-07T11:14:00Z</dcterms:modified>
</cp:coreProperties>
</file>