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CFA6" w14:textId="6A6ED379" w:rsidR="00DF2039" w:rsidRPr="00502F00" w:rsidRDefault="00DF2039" w:rsidP="00DF2039">
      <w:pPr>
        <w:jc w:val="center"/>
        <w:rPr>
          <w:rFonts w:ascii="Times" w:hAnsi="Times"/>
          <w:b/>
          <w:bCs/>
          <w:color w:val="000000" w:themeColor="text1"/>
        </w:rPr>
      </w:pPr>
      <w:r w:rsidRPr="00502F00">
        <w:rPr>
          <w:rFonts w:ascii="Times" w:hAnsi="Times"/>
          <w:b/>
          <w:bCs/>
          <w:color w:val="000000" w:themeColor="text1"/>
        </w:rPr>
        <w:t>L</w:t>
      </w:r>
      <w:r w:rsidR="00F44235" w:rsidRPr="00502F00">
        <w:rPr>
          <w:rFonts w:ascii="Times" w:hAnsi="Times"/>
          <w:b/>
          <w:bCs/>
          <w:color w:val="000000" w:themeColor="text1"/>
        </w:rPr>
        <w:t>’</w:t>
      </w:r>
      <w:r w:rsidRPr="00502F00">
        <w:rPr>
          <w:rFonts w:ascii="Times" w:hAnsi="Times"/>
          <w:b/>
          <w:bCs/>
          <w:color w:val="000000" w:themeColor="text1"/>
        </w:rPr>
        <w:t>éthique, un phare face à l</w:t>
      </w:r>
      <w:r w:rsidR="00F44235" w:rsidRPr="00502F00">
        <w:rPr>
          <w:rFonts w:ascii="Times" w:hAnsi="Times"/>
          <w:b/>
          <w:bCs/>
          <w:color w:val="000000" w:themeColor="text1"/>
        </w:rPr>
        <w:t>’</w:t>
      </w:r>
      <w:r w:rsidRPr="00502F00">
        <w:rPr>
          <w:rFonts w:ascii="Times" w:hAnsi="Times"/>
          <w:b/>
          <w:bCs/>
          <w:color w:val="000000" w:themeColor="text1"/>
        </w:rPr>
        <w:t xml:space="preserve">incertitude en droit international ? </w:t>
      </w:r>
      <w:r w:rsidR="00680C0E" w:rsidRPr="00502F00">
        <w:rPr>
          <w:rFonts w:ascii="Times" w:hAnsi="Times"/>
          <w:b/>
          <w:bCs/>
          <w:color w:val="000000" w:themeColor="text1"/>
        </w:rPr>
        <w:br/>
      </w:r>
      <w:r w:rsidRPr="00502F00">
        <w:rPr>
          <w:rFonts w:ascii="Times" w:hAnsi="Times"/>
          <w:b/>
          <w:bCs/>
          <w:color w:val="000000" w:themeColor="text1"/>
        </w:rPr>
        <w:t xml:space="preserve">Réflexions </w:t>
      </w:r>
      <w:r w:rsidR="006E1135">
        <w:rPr>
          <w:rFonts w:ascii="Times" w:hAnsi="Times"/>
          <w:b/>
          <w:bCs/>
          <w:color w:val="000000" w:themeColor="text1"/>
        </w:rPr>
        <w:t>à partir de la</w:t>
      </w:r>
      <w:r w:rsidRPr="00502F00">
        <w:rPr>
          <w:rFonts w:ascii="Times" w:hAnsi="Times"/>
          <w:b/>
          <w:bCs/>
          <w:color w:val="000000" w:themeColor="text1"/>
        </w:rPr>
        <w:t xml:space="preserve"> jurisprudence </w:t>
      </w:r>
      <w:r w:rsidR="008B4DD3" w:rsidRPr="00502F00">
        <w:rPr>
          <w:rFonts w:ascii="Times" w:hAnsi="Times"/>
          <w:b/>
          <w:bCs/>
          <w:color w:val="000000" w:themeColor="text1"/>
        </w:rPr>
        <w:t xml:space="preserve">récente </w:t>
      </w:r>
      <w:r w:rsidRPr="00502F00">
        <w:rPr>
          <w:rFonts w:ascii="Times" w:hAnsi="Times"/>
          <w:b/>
          <w:bCs/>
          <w:color w:val="000000" w:themeColor="text1"/>
        </w:rPr>
        <w:t>de la Cour internationale de justice</w:t>
      </w:r>
    </w:p>
    <w:p w14:paraId="0B9ACB5B" w14:textId="77777777" w:rsidR="00DF2039" w:rsidRPr="00502F00" w:rsidRDefault="00DF2039" w:rsidP="00DF2039">
      <w:pPr>
        <w:jc w:val="center"/>
        <w:rPr>
          <w:rFonts w:ascii="Times" w:hAnsi="Times"/>
          <w:b/>
          <w:bCs/>
          <w:color w:val="000000" w:themeColor="text1"/>
        </w:rPr>
      </w:pPr>
    </w:p>
    <w:p w14:paraId="4C781070" w14:textId="77777777" w:rsidR="000617FB" w:rsidRPr="00502F00" w:rsidRDefault="000617FB" w:rsidP="00DF2039">
      <w:pPr>
        <w:jc w:val="center"/>
        <w:rPr>
          <w:rFonts w:ascii="Times" w:hAnsi="Times"/>
          <w:b/>
          <w:bCs/>
          <w:color w:val="000000" w:themeColor="text1"/>
        </w:rPr>
      </w:pPr>
    </w:p>
    <w:p w14:paraId="351B833D" w14:textId="77777777" w:rsidR="007845FF" w:rsidRPr="00502F00" w:rsidRDefault="007845FF" w:rsidP="007845FF">
      <w:pPr>
        <w:jc w:val="center"/>
        <w:rPr>
          <w:rFonts w:ascii="Times" w:hAnsi="Times"/>
          <w:color w:val="000000" w:themeColor="text1"/>
        </w:rPr>
      </w:pPr>
      <w:r w:rsidRPr="00502F00">
        <w:rPr>
          <w:rFonts w:ascii="Times" w:hAnsi="Times"/>
          <w:color w:val="000000" w:themeColor="text1"/>
        </w:rPr>
        <w:t>Raphaël MAUREL</w:t>
      </w:r>
      <w:r w:rsidRPr="00502F00">
        <w:rPr>
          <w:rStyle w:val="Appelnotedebasdep"/>
          <w:rFonts w:ascii="Times" w:hAnsi="Times"/>
          <w:color w:val="000000" w:themeColor="text1"/>
        </w:rPr>
        <w:footnoteReference w:id="1"/>
      </w:r>
    </w:p>
    <w:p w14:paraId="7B8679DF" w14:textId="77777777" w:rsidR="00DF2039" w:rsidRPr="00502F00" w:rsidRDefault="00DF2039" w:rsidP="0065059B">
      <w:pPr>
        <w:jc w:val="both"/>
        <w:rPr>
          <w:rFonts w:ascii="Times" w:hAnsi="Times"/>
          <w:i/>
          <w:iCs/>
          <w:color w:val="000000" w:themeColor="text1"/>
          <w:u w:val="single"/>
        </w:rPr>
      </w:pPr>
    </w:p>
    <w:p w14:paraId="70FE617C" w14:textId="77777777" w:rsidR="00680C0E" w:rsidRPr="00502F00" w:rsidRDefault="00680C0E" w:rsidP="0065059B">
      <w:pPr>
        <w:jc w:val="both"/>
        <w:rPr>
          <w:rFonts w:ascii="Times" w:hAnsi="Times"/>
          <w:color w:val="000000" w:themeColor="text1"/>
        </w:rPr>
      </w:pPr>
    </w:p>
    <w:p w14:paraId="3C9EBF56" w14:textId="1A4FE9EE" w:rsidR="007A1E08" w:rsidRPr="00502F00" w:rsidRDefault="001B0034" w:rsidP="001B0034">
      <w:pPr>
        <w:jc w:val="both"/>
        <w:rPr>
          <w:rFonts w:ascii="Times" w:hAnsi="Times"/>
          <w:color w:val="000000" w:themeColor="text1"/>
        </w:rPr>
      </w:pPr>
      <w:r w:rsidRPr="00502F00">
        <w:rPr>
          <w:rFonts w:ascii="Times" w:hAnsi="Times"/>
          <w:color w:val="000000" w:themeColor="text1"/>
        </w:rPr>
        <w:t>L’éthique est un champ normatif qui peut s’avérer concurrent ou complémentaire du droit ; en tant que tel, il permet de déterminer en marge du droit ce qui constitue, dans une situation donnée et à un moment donné – puisque l’éthique est relative et non universelle –, un comportement « normal »</w:t>
      </w:r>
      <w:r w:rsidRPr="00502F00">
        <w:rPr>
          <w:rStyle w:val="Appelnotedebasdep"/>
          <w:rFonts w:ascii="Times" w:hAnsi="Times"/>
          <w:color w:val="000000" w:themeColor="text1"/>
        </w:rPr>
        <w:footnoteReference w:id="2"/>
      </w:r>
      <w:r w:rsidRPr="00502F00">
        <w:rPr>
          <w:rFonts w:ascii="Times" w:hAnsi="Times"/>
          <w:color w:val="000000" w:themeColor="text1"/>
        </w:rPr>
        <w:t>.</w:t>
      </w:r>
      <w:r w:rsidR="00A72AD0" w:rsidRPr="00502F00">
        <w:rPr>
          <w:rFonts w:ascii="Times" w:hAnsi="Times"/>
          <w:color w:val="000000" w:themeColor="text1"/>
        </w:rPr>
        <w:t xml:space="preserve"> Or, le </w:t>
      </w:r>
      <w:r w:rsidRPr="00502F00">
        <w:rPr>
          <w:rFonts w:ascii="Times" w:hAnsi="Times"/>
          <w:color w:val="000000" w:themeColor="text1"/>
        </w:rPr>
        <w:t xml:space="preserve">comportement « normal » </w:t>
      </w:r>
      <w:r w:rsidR="00A72AD0" w:rsidRPr="00502F00">
        <w:rPr>
          <w:rFonts w:ascii="Times" w:hAnsi="Times"/>
          <w:color w:val="000000" w:themeColor="text1"/>
        </w:rPr>
        <w:t xml:space="preserve">du juge </w:t>
      </w:r>
      <w:r w:rsidRPr="00502F00">
        <w:rPr>
          <w:rFonts w:ascii="Times" w:hAnsi="Times"/>
          <w:color w:val="000000" w:themeColor="text1"/>
        </w:rPr>
        <w:t xml:space="preserve">consiste </w:t>
      </w:r>
      <w:r w:rsidR="00A72AD0" w:rsidRPr="00502F00">
        <w:rPr>
          <w:rFonts w:ascii="Times" w:hAnsi="Times"/>
          <w:color w:val="000000" w:themeColor="text1"/>
        </w:rPr>
        <w:t>en premier lieu</w:t>
      </w:r>
      <w:r w:rsidRPr="00502F00">
        <w:rPr>
          <w:rFonts w:ascii="Times" w:hAnsi="Times"/>
          <w:color w:val="000000" w:themeColor="text1"/>
        </w:rPr>
        <w:t xml:space="preserve"> à appliquer le droit et, s’il n’est pas clair, à l’interpréter. </w:t>
      </w:r>
      <w:r w:rsidR="00A72AD0" w:rsidRPr="00502F00">
        <w:rPr>
          <w:rFonts w:ascii="Times" w:hAnsi="Times"/>
          <w:color w:val="000000" w:themeColor="text1"/>
        </w:rPr>
        <w:t xml:space="preserve">Autrement dit, l’exercice intellectuel proposé par cette contribution apparaît </w:t>
      </w:r>
      <w:r w:rsidR="00A72AD0" w:rsidRPr="00502F00">
        <w:rPr>
          <w:rFonts w:ascii="Times" w:hAnsi="Times"/>
          <w:i/>
          <w:iCs/>
          <w:color w:val="000000" w:themeColor="text1"/>
        </w:rPr>
        <w:t xml:space="preserve">prima </w:t>
      </w:r>
      <w:proofErr w:type="spellStart"/>
      <w:r w:rsidR="00A72AD0" w:rsidRPr="00502F00">
        <w:rPr>
          <w:rFonts w:ascii="Times" w:hAnsi="Times"/>
          <w:i/>
          <w:iCs/>
          <w:color w:val="000000" w:themeColor="text1"/>
        </w:rPr>
        <w:t>facie</w:t>
      </w:r>
      <w:proofErr w:type="spellEnd"/>
      <w:r w:rsidR="00A72AD0" w:rsidRPr="00502F00">
        <w:rPr>
          <w:rFonts w:ascii="Times" w:hAnsi="Times"/>
          <w:i/>
          <w:iCs/>
          <w:color w:val="000000" w:themeColor="text1"/>
        </w:rPr>
        <w:t xml:space="preserve"> </w:t>
      </w:r>
      <w:r w:rsidR="00A72AD0" w:rsidRPr="00502F00">
        <w:rPr>
          <w:rFonts w:ascii="Times" w:hAnsi="Times"/>
          <w:color w:val="000000" w:themeColor="text1"/>
        </w:rPr>
        <w:t>délicat : le juge</w:t>
      </w:r>
      <w:r w:rsidRPr="00502F00">
        <w:rPr>
          <w:rFonts w:ascii="Times" w:hAnsi="Times"/>
          <w:color w:val="000000" w:themeColor="text1"/>
        </w:rPr>
        <w:t xml:space="preserve"> applique la norme juridique et non la norme éthiqu</w:t>
      </w:r>
      <w:r w:rsidR="00A72AD0" w:rsidRPr="00502F00">
        <w:rPr>
          <w:rFonts w:ascii="Times" w:hAnsi="Times"/>
          <w:color w:val="000000" w:themeColor="text1"/>
        </w:rPr>
        <w:t>e.</w:t>
      </w:r>
      <w:r w:rsidR="007A1E08" w:rsidRPr="00502F00">
        <w:rPr>
          <w:rFonts w:ascii="Times" w:hAnsi="Times"/>
          <w:color w:val="000000" w:themeColor="text1"/>
        </w:rPr>
        <w:t xml:space="preserve"> </w:t>
      </w:r>
      <w:r w:rsidR="00A72AD0" w:rsidRPr="00502F00">
        <w:rPr>
          <w:rFonts w:ascii="Times" w:hAnsi="Times"/>
          <w:color w:val="000000" w:themeColor="text1"/>
        </w:rPr>
        <w:t xml:space="preserve">Trois configurations distinctes </w:t>
      </w:r>
      <w:r w:rsidR="007A1E08" w:rsidRPr="00502F00">
        <w:rPr>
          <w:rFonts w:ascii="Times" w:hAnsi="Times"/>
          <w:color w:val="000000" w:themeColor="text1"/>
        </w:rPr>
        <w:t>peuvent</w:t>
      </w:r>
      <w:r w:rsidR="00A72AD0" w:rsidRPr="00502F00">
        <w:rPr>
          <w:rFonts w:ascii="Times" w:hAnsi="Times"/>
          <w:color w:val="000000" w:themeColor="text1"/>
        </w:rPr>
        <w:t xml:space="preserve"> pourtant</w:t>
      </w:r>
      <w:r w:rsidR="007A1E08" w:rsidRPr="00502F00">
        <w:rPr>
          <w:rFonts w:ascii="Times" w:hAnsi="Times"/>
          <w:color w:val="000000" w:themeColor="text1"/>
        </w:rPr>
        <w:t xml:space="preserve"> inviter</w:t>
      </w:r>
      <w:r w:rsidR="00A72AD0" w:rsidRPr="00502F00">
        <w:rPr>
          <w:rFonts w:ascii="Times" w:hAnsi="Times"/>
          <w:color w:val="000000" w:themeColor="text1"/>
        </w:rPr>
        <w:t xml:space="preserve"> à s’interroger sur l’existence de la norme éthique dans le comportement du juge. </w:t>
      </w:r>
    </w:p>
    <w:p w14:paraId="13F60218" w14:textId="77777777" w:rsidR="007A1E08" w:rsidRPr="00502F00" w:rsidRDefault="007A1E08" w:rsidP="001B0034">
      <w:pPr>
        <w:jc w:val="both"/>
        <w:rPr>
          <w:rFonts w:ascii="Times" w:hAnsi="Times"/>
          <w:color w:val="000000" w:themeColor="text1"/>
        </w:rPr>
      </w:pPr>
    </w:p>
    <w:p w14:paraId="13F02499" w14:textId="14E50C67" w:rsidR="00A72AD0" w:rsidRPr="00502F00" w:rsidRDefault="00A72AD0" w:rsidP="001B0034">
      <w:pPr>
        <w:jc w:val="both"/>
        <w:rPr>
          <w:rFonts w:ascii="Times" w:hAnsi="Times"/>
          <w:color w:val="000000" w:themeColor="text1"/>
        </w:rPr>
      </w:pPr>
      <w:r w:rsidRPr="00502F00">
        <w:rPr>
          <w:rFonts w:ascii="Times" w:hAnsi="Times"/>
          <w:color w:val="000000" w:themeColor="text1"/>
        </w:rPr>
        <w:t>D’une part, et de manière dorénavant connue du fait de l’émergence de ces questions dans les débats publics et académiques</w:t>
      </w:r>
      <w:r w:rsidRPr="00502F00">
        <w:rPr>
          <w:rStyle w:val="Appelnotedebasdep"/>
          <w:rFonts w:ascii="Times" w:hAnsi="Times"/>
          <w:color w:val="000000" w:themeColor="text1"/>
        </w:rPr>
        <w:footnoteReference w:id="3"/>
      </w:r>
      <w:r w:rsidRPr="00502F00">
        <w:rPr>
          <w:rFonts w:ascii="Times" w:hAnsi="Times"/>
          <w:color w:val="000000" w:themeColor="text1"/>
        </w:rPr>
        <w:t>, se pose la question de la déontologie du juge – pour autant que la déontologie soit une éthique.</w:t>
      </w:r>
      <w:r w:rsidR="00AB4752" w:rsidRPr="00502F00">
        <w:rPr>
          <w:rFonts w:ascii="Times" w:hAnsi="Times"/>
          <w:color w:val="000000" w:themeColor="text1"/>
        </w:rPr>
        <w:t xml:space="preserve"> Celle-ci ne concerne cependant pas le raisonnement du juge en lui-même – quoi qu’un conflit d’intérêts puisse l’affecter plus ou moins directement – mais l’environnement, le contexte de son travail. Aussi, et malgré l’actualité que constitue la publication récente de la</w:t>
      </w:r>
      <w:r w:rsidR="00AB4752" w:rsidRPr="00502F00">
        <w:rPr>
          <w:rFonts w:ascii="Times" w:hAnsi="Times"/>
          <w:color w:val="000000" w:themeColor="text1"/>
        </w:rPr>
        <w:t xml:space="preserve"> « compilation des décisions » adoptées par la Cour internationale de justice en matière d’activités extérieures des juges</w:t>
      </w:r>
      <w:r w:rsidR="00AB4752" w:rsidRPr="00502F00">
        <w:rPr>
          <w:rStyle w:val="Appelnotedebasdep"/>
          <w:rFonts w:ascii="Times" w:hAnsi="Times"/>
          <w:color w:val="000000" w:themeColor="text1"/>
        </w:rPr>
        <w:footnoteReference w:id="4"/>
      </w:r>
      <w:r w:rsidR="00AB4752" w:rsidRPr="00502F00">
        <w:rPr>
          <w:rFonts w:ascii="Times" w:hAnsi="Times"/>
          <w:color w:val="000000" w:themeColor="text1"/>
        </w:rPr>
        <w:t>, le thème de la déontologie du juge international ne sera pas approfondi ici</w:t>
      </w:r>
      <w:r w:rsidR="00373724" w:rsidRPr="00502F00">
        <w:rPr>
          <w:rStyle w:val="Appelnotedebasdep"/>
          <w:rFonts w:ascii="Times" w:hAnsi="Times"/>
          <w:color w:val="000000" w:themeColor="text1"/>
        </w:rPr>
        <w:footnoteReference w:id="5"/>
      </w:r>
      <w:r w:rsidR="00AB4752" w:rsidRPr="00502F00">
        <w:rPr>
          <w:rFonts w:ascii="Times" w:hAnsi="Times"/>
          <w:color w:val="000000" w:themeColor="text1"/>
        </w:rPr>
        <w:t>.</w:t>
      </w:r>
    </w:p>
    <w:p w14:paraId="207B5F3B" w14:textId="380114A7" w:rsidR="00E53D2E" w:rsidRPr="00502F00" w:rsidRDefault="00E53D2E" w:rsidP="001B0034">
      <w:pPr>
        <w:jc w:val="both"/>
        <w:rPr>
          <w:rFonts w:ascii="Times" w:hAnsi="Times"/>
          <w:color w:val="000000" w:themeColor="text1"/>
        </w:rPr>
      </w:pPr>
    </w:p>
    <w:p w14:paraId="615DE065" w14:textId="3CC0DDE8" w:rsidR="001B0034" w:rsidRPr="00502F00" w:rsidRDefault="00E53D2E" w:rsidP="001B0034">
      <w:pPr>
        <w:jc w:val="both"/>
        <w:rPr>
          <w:rFonts w:ascii="Times" w:hAnsi="Times"/>
          <w:color w:val="000000" w:themeColor="text1"/>
        </w:rPr>
      </w:pPr>
      <w:r w:rsidRPr="00502F00">
        <w:rPr>
          <w:rFonts w:ascii="Times" w:hAnsi="Times"/>
          <w:color w:val="000000" w:themeColor="text1"/>
        </w:rPr>
        <w:t xml:space="preserve">D’autre part et cette fois-ci au stade du raisonnement juridique, la question de l’éthique </w:t>
      </w:r>
      <w:r w:rsidR="001B0034" w:rsidRPr="00502F00">
        <w:rPr>
          <w:rFonts w:ascii="Times" w:hAnsi="Times"/>
          <w:color w:val="000000" w:themeColor="text1"/>
        </w:rPr>
        <w:t>peut se poser lorsqu’il y a incertitude sur le droit à applique</w:t>
      </w:r>
      <w:r w:rsidRPr="00502F00">
        <w:rPr>
          <w:rFonts w:ascii="Times" w:hAnsi="Times"/>
          <w:color w:val="000000" w:themeColor="text1"/>
        </w:rPr>
        <w:t>r</w:t>
      </w:r>
      <w:r w:rsidRPr="00502F00">
        <w:rPr>
          <w:rStyle w:val="Appelnotedebasdep"/>
          <w:rFonts w:ascii="Times" w:hAnsi="Times"/>
          <w:color w:val="000000" w:themeColor="text1"/>
        </w:rPr>
        <w:footnoteReference w:id="6"/>
      </w:r>
      <w:r w:rsidRPr="00502F00">
        <w:rPr>
          <w:rFonts w:ascii="Times" w:hAnsi="Times"/>
          <w:color w:val="000000" w:themeColor="text1"/>
        </w:rPr>
        <w:t xml:space="preserve"> – situation classique en droit international </w:t>
      </w:r>
      <w:r w:rsidRPr="00502F00">
        <w:rPr>
          <w:rFonts w:ascii="Times" w:hAnsi="Times"/>
          <w:color w:val="000000" w:themeColor="text1"/>
        </w:rPr>
        <w:lastRenderedPageBreak/>
        <w:t>et spécifiquement en arbitrage –</w:t>
      </w:r>
      <w:r w:rsidR="001B0034" w:rsidRPr="00502F00">
        <w:rPr>
          <w:rFonts w:ascii="Times" w:hAnsi="Times"/>
          <w:color w:val="000000" w:themeColor="text1"/>
        </w:rPr>
        <w:t>, ou sur l</w:t>
      </w:r>
      <w:r w:rsidR="00244698" w:rsidRPr="00502F00">
        <w:rPr>
          <w:rFonts w:ascii="Times" w:hAnsi="Times"/>
          <w:color w:val="000000" w:themeColor="text1"/>
        </w:rPr>
        <w:t>a question de savoir s’il faut interpréter</w:t>
      </w:r>
      <w:r w:rsidR="001B0034" w:rsidRPr="00502F00">
        <w:rPr>
          <w:rFonts w:ascii="Times" w:hAnsi="Times"/>
          <w:color w:val="000000" w:themeColor="text1"/>
        </w:rPr>
        <w:t xml:space="preserve"> </w:t>
      </w:r>
      <w:r w:rsidR="00244698" w:rsidRPr="00502F00">
        <w:rPr>
          <w:rFonts w:ascii="Times" w:hAnsi="Times"/>
          <w:color w:val="000000" w:themeColor="text1"/>
        </w:rPr>
        <w:t xml:space="preserve">le </w:t>
      </w:r>
      <w:r w:rsidR="001B0034" w:rsidRPr="00502F00">
        <w:rPr>
          <w:rFonts w:ascii="Times" w:hAnsi="Times"/>
          <w:color w:val="000000" w:themeColor="text1"/>
        </w:rPr>
        <w:t>droit</w:t>
      </w:r>
      <w:r w:rsidRPr="00502F00">
        <w:rPr>
          <w:rFonts w:ascii="Times" w:hAnsi="Times"/>
          <w:color w:val="000000" w:themeColor="text1"/>
        </w:rPr>
        <w:t xml:space="preserve"> applicable</w:t>
      </w:r>
      <w:r w:rsidR="001B0034" w:rsidRPr="00502F00">
        <w:rPr>
          <w:rFonts w:ascii="Times" w:hAnsi="Times"/>
          <w:color w:val="000000" w:themeColor="text1"/>
        </w:rPr>
        <w:t>.</w:t>
      </w:r>
      <w:r w:rsidRPr="00502F00">
        <w:rPr>
          <w:rFonts w:ascii="Times" w:hAnsi="Times"/>
          <w:color w:val="000000" w:themeColor="text1"/>
        </w:rPr>
        <w:t xml:space="preserve"> Néanmoins, ces situations de conflits ou d’incertitude normatifs s’avèrent « normées », c’est-à-dire</w:t>
      </w:r>
      <w:r w:rsidR="001B0034" w:rsidRPr="00502F00">
        <w:rPr>
          <w:rFonts w:ascii="Times" w:hAnsi="Times"/>
          <w:color w:val="000000" w:themeColor="text1"/>
        </w:rPr>
        <w:t xml:space="preserve"> </w:t>
      </w:r>
      <w:r w:rsidRPr="00502F00">
        <w:rPr>
          <w:rFonts w:ascii="Times" w:hAnsi="Times"/>
          <w:color w:val="000000" w:themeColor="text1"/>
        </w:rPr>
        <w:t>que des normes juridiques ont émergé pour les régir. Autrement dit, l</w:t>
      </w:r>
      <w:r w:rsidR="001B0034" w:rsidRPr="00502F00">
        <w:rPr>
          <w:rFonts w:ascii="Times" w:hAnsi="Times"/>
          <w:color w:val="000000" w:themeColor="text1"/>
        </w:rPr>
        <w:t>es règles de conflits de loi</w:t>
      </w:r>
      <w:r w:rsidRPr="00502F00">
        <w:rPr>
          <w:rFonts w:ascii="Times" w:hAnsi="Times"/>
          <w:color w:val="000000" w:themeColor="text1"/>
        </w:rPr>
        <w:t>s</w:t>
      </w:r>
      <w:r w:rsidR="001B0034" w:rsidRPr="00502F00">
        <w:rPr>
          <w:rFonts w:ascii="Times" w:hAnsi="Times"/>
          <w:color w:val="000000" w:themeColor="text1"/>
        </w:rPr>
        <w:t xml:space="preserve">, </w:t>
      </w:r>
      <w:r w:rsidRPr="00502F00">
        <w:rPr>
          <w:rFonts w:ascii="Times" w:hAnsi="Times"/>
          <w:color w:val="000000" w:themeColor="text1"/>
        </w:rPr>
        <w:t>celles</w:t>
      </w:r>
      <w:r w:rsidR="001B0034" w:rsidRPr="00502F00">
        <w:rPr>
          <w:rFonts w:ascii="Times" w:hAnsi="Times"/>
          <w:color w:val="000000" w:themeColor="text1"/>
        </w:rPr>
        <w:t xml:space="preserve"> qui permettent de déterminer quand et comment un juge ou un arbitre peut se prononcer sur un différend, </w:t>
      </w:r>
      <w:r w:rsidRPr="00502F00">
        <w:rPr>
          <w:rFonts w:ascii="Times" w:hAnsi="Times"/>
          <w:color w:val="000000" w:themeColor="text1"/>
        </w:rPr>
        <w:t>ou encore les</w:t>
      </w:r>
      <w:r w:rsidR="001B0034" w:rsidRPr="00502F00">
        <w:rPr>
          <w:rFonts w:ascii="Times" w:hAnsi="Times"/>
          <w:color w:val="000000" w:themeColor="text1"/>
        </w:rPr>
        <w:t xml:space="preserve"> règles d’interprétation</w:t>
      </w:r>
      <w:r w:rsidRPr="00502F00">
        <w:rPr>
          <w:rFonts w:ascii="Times" w:hAnsi="Times"/>
          <w:color w:val="000000" w:themeColor="text1"/>
        </w:rPr>
        <w:t xml:space="preserve"> </w:t>
      </w:r>
      <w:r w:rsidR="001B0034" w:rsidRPr="00502F00">
        <w:rPr>
          <w:rFonts w:ascii="Times" w:hAnsi="Times"/>
          <w:color w:val="000000" w:themeColor="text1"/>
        </w:rPr>
        <w:t>coutumières et codifiées</w:t>
      </w:r>
      <w:r w:rsidRPr="00502F00">
        <w:rPr>
          <w:rFonts w:ascii="Times" w:hAnsi="Times"/>
          <w:color w:val="000000" w:themeColor="text1"/>
        </w:rPr>
        <w:t xml:space="preserve"> réduisent, sans toujours l’annihiler, la marge d’incertitude préalable à leur application. </w:t>
      </w:r>
      <w:r w:rsidR="00BA57FF" w:rsidRPr="00502F00">
        <w:rPr>
          <w:rFonts w:ascii="Times" w:hAnsi="Times"/>
          <w:color w:val="000000" w:themeColor="text1"/>
        </w:rPr>
        <w:t>Face à telle ou telle situation</w:t>
      </w:r>
      <w:r w:rsidRPr="00502F00">
        <w:rPr>
          <w:rFonts w:ascii="Times" w:hAnsi="Times"/>
          <w:color w:val="000000" w:themeColor="text1"/>
        </w:rPr>
        <w:t>, le juge ou l’arbitre dispose</w:t>
      </w:r>
      <w:r w:rsidR="00BA57FF" w:rsidRPr="00502F00">
        <w:rPr>
          <w:rFonts w:ascii="Times" w:hAnsi="Times"/>
          <w:color w:val="000000" w:themeColor="text1"/>
        </w:rPr>
        <w:t xml:space="preserve"> généralement, dans des mesures variables,</w:t>
      </w:r>
      <w:r w:rsidRPr="00502F00">
        <w:rPr>
          <w:rFonts w:ascii="Times" w:hAnsi="Times"/>
          <w:color w:val="000000" w:themeColor="text1"/>
        </w:rPr>
        <w:t xml:space="preserve"> d’un référentiel juridique qui lui permet de déterminer la conduite à suivre ; </w:t>
      </w:r>
      <w:r w:rsidR="00BA57FF" w:rsidRPr="00502F00">
        <w:rPr>
          <w:rFonts w:ascii="Times" w:hAnsi="Times"/>
          <w:color w:val="000000" w:themeColor="text1"/>
        </w:rPr>
        <w:t xml:space="preserve">de sa densité et de sa précision dépend l’existence d’interstices que la norme éthique peut, entre autres, venir combler. Ces hypothèses donnent d’emblée matière à réflexion, bien qu’on doive admettre que </w:t>
      </w:r>
      <w:r w:rsidR="00A66A03" w:rsidRPr="00502F00">
        <w:rPr>
          <w:rFonts w:ascii="Times" w:hAnsi="Times"/>
          <w:color w:val="000000" w:themeColor="text1"/>
        </w:rPr>
        <w:t xml:space="preserve">l’identification cumulée de la marge résiduelle et de l’invocation de la normativité éthique est, en l’espère, peu aisée. </w:t>
      </w:r>
    </w:p>
    <w:p w14:paraId="1C44136C" w14:textId="7E945B03" w:rsidR="00BA57FF" w:rsidRPr="00502F00" w:rsidRDefault="00BA57FF" w:rsidP="001B0034">
      <w:pPr>
        <w:jc w:val="both"/>
        <w:rPr>
          <w:rFonts w:ascii="Times" w:hAnsi="Times"/>
          <w:color w:val="000000" w:themeColor="text1"/>
        </w:rPr>
      </w:pPr>
    </w:p>
    <w:p w14:paraId="69765E8D" w14:textId="7F98BC74" w:rsidR="001B0034" w:rsidRPr="00502F00" w:rsidRDefault="00BA57FF" w:rsidP="001B0034">
      <w:pPr>
        <w:jc w:val="both"/>
        <w:rPr>
          <w:rFonts w:ascii="Times" w:hAnsi="Times"/>
          <w:color w:val="000000" w:themeColor="text1"/>
        </w:rPr>
      </w:pPr>
      <w:r w:rsidRPr="00502F00">
        <w:rPr>
          <w:rFonts w:ascii="Times" w:hAnsi="Times"/>
          <w:color w:val="000000" w:themeColor="text1"/>
        </w:rPr>
        <w:t>Enfin</w:t>
      </w:r>
      <w:r w:rsidR="00A66A03" w:rsidRPr="00502F00">
        <w:rPr>
          <w:rFonts w:ascii="Times" w:hAnsi="Times"/>
          <w:color w:val="000000" w:themeColor="text1"/>
        </w:rPr>
        <w:t xml:space="preserve"> et dans la continuité de ce qui précède, la question de la place de l’éthique dans le raisonnement du juge </w:t>
      </w:r>
      <w:r w:rsidR="001B0034" w:rsidRPr="00502F00">
        <w:rPr>
          <w:rFonts w:ascii="Times" w:hAnsi="Times"/>
          <w:color w:val="000000" w:themeColor="text1"/>
        </w:rPr>
        <w:t>se pose</w:t>
      </w:r>
      <w:r w:rsidR="00A66A03" w:rsidRPr="00502F00">
        <w:rPr>
          <w:rFonts w:ascii="Times" w:hAnsi="Times"/>
          <w:color w:val="000000" w:themeColor="text1"/>
        </w:rPr>
        <w:t xml:space="preserve"> surtout</w:t>
      </w:r>
      <w:r w:rsidR="001B0034" w:rsidRPr="00502F00">
        <w:rPr>
          <w:rFonts w:ascii="Times" w:hAnsi="Times"/>
          <w:color w:val="000000" w:themeColor="text1"/>
        </w:rPr>
        <w:t xml:space="preserve"> au stade de l’incertitude qui suit l’application de ces normes juridiques</w:t>
      </w:r>
      <w:r w:rsidR="00A66A03" w:rsidRPr="00502F00">
        <w:rPr>
          <w:rFonts w:ascii="Times" w:hAnsi="Times"/>
          <w:color w:val="000000" w:themeColor="text1"/>
        </w:rPr>
        <w:t xml:space="preserve"> et référentiels</w:t>
      </w:r>
      <w:r w:rsidR="001B0034" w:rsidRPr="00502F00">
        <w:rPr>
          <w:rFonts w:ascii="Times" w:hAnsi="Times"/>
          <w:color w:val="000000" w:themeColor="text1"/>
        </w:rPr>
        <w:t xml:space="preserve"> : comment les appliquer concrètement ? Lorsque la situation factuelle </w:t>
      </w:r>
      <w:r w:rsidR="00A66A03" w:rsidRPr="00502F00">
        <w:rPr>
          <w:rFonts w:ascii="Times" w:hAnsi="Times"/>
          <w:color w:val="000000" w:themeColor="text1"/>
        </w:rPr>
        <w:t xml:space="preserve">– </w:t>
      </w:r>
      <w:r w:rsidR="001B0034" w:rsidRPr="00502F00">
        <w:rPr>
          <w:rFonts w:ascii="Times" w:hAnsi="Times"/>
          <w:color w:val="000000" w:themeColor="text1"/>
        </w:rPr>
        <w:t>ou juridique</w:t>
      </w:r>
      <w:r w:rsidR="00A66A03" w:rsidRPr="00502F00">
        <w:rPr>
          <w:rFonts w:ascii="Times" w:hAnsi="Times"/>
          <w:color w:val="000000" w:themeColor="text1"/>
        </w:rPr>
        <w:t xml:space="preserve"> –</w:t>
      </w:r>
      <w:r w:rsidR="001B0034" w:rsidRPr="00502F00">
        <w:rPr>
          <w:rFonts w:ascii="Times" w:hAnsi="Times"/>
          <w:color w:val="000000" w:themeColor="text1"/>
        </w:rPr>
        <w:t xml:space="preserve"> n’invite pas à </w:t>
      </w:r>
      <w:r w:rsidR="00A66A03" w:rsidRPr="00502F00">
        <w:rPr>
          <w:rFonts w:ascii="Times" w:hAnsi="Times"/>
          <w:color w:val="000000" w:themeColor="text1"/>
        </w:rPr>
        <w:t>appliquer de manière</w:t>
      </w:r>
      <w:r w:rsidR="001B0034" w:rsidRPr="00502F00">
        <w:rPr>
          <w:rFonts w:ascii="Times" w:hAnsi="Times"/>
          <w:color w:val="000000" w:themeColor="text1"/>
        </w:rPr>
        <w:t xml:space="preserve"> logique et </w:t>
      </w:r>
      <w:r w:rsidR="00A66A03" w:rsidRPr="00502F00">
        <w:rPr>
          <w:rFonts w:ascii="Times" w:hAnsi="Times"/>
          <w:color w:val="000000" w:themeColor="text1"/>
        </w:rPr>
        <w:t>mécanique</w:t>
      </w:r>
      <w:r w:rsidR="001B0034" w:rsidRPr="00502F00">
        <w:rPr>
          <w:rFonts w:ascii="Times" w:hAnsi="Times"/>
          <w:color w:val="000000" w:themeColor="text1"/>
        </w:rPr>
        <w:t xml:space="preserve"> </w:t>
      </w:r>
      <w:r w:rsidR="00A66A03" w:rsidRPr="00502F00">
        <w:rPr>
          <w:rFonts w:ascii="Times" w:hAnsi="Times"/>
          <w:color w:val="000000" w:themeColor="text1"/>
        </w:rPr>
        <w:t>les</w:t>
      </w:r>
      <w:r w:rsidR="001B0034" w:rsidRPr="00502F00">
        <w:rPr>
          <w:rFonts w:ascii="Times" w:hAnsi="Times"/>
          <w:color w:val="000000" w:themeColor="text1"/>
        </w:rPr>
        <w:t xml:space="preserve"> règles établies, comment le juge</w:t>
      </w:r>
      <w:r w:rsidR="00A66A03" w:rsidRPr="00502F00">
        <w:rPr>
          <w:rFonts w:ascii="Times" w:hAnsi="Times"/>
          <w:color w:val="000000" w:themeColor="text1"/>
        </w:rPr>
        <w:t xml:space="preserve"> </w:t>
      </w:r>
      <w:r w:rsidR="001B0034" w:rsidRPr="00502F00">
        <w:rPr>
          <w:rFonts w:ascii="Times" w:hAnsi="Times"/>
          <w:color w:val="000000" w:themeColor="text1"/>
        </w:rPr>
        <w:t xml:space="preserve">va-t-il se comporter ? </w:t>
      </w:r>
      <w:r w:rsidR="00A66A03" w:rsidRPr="00502F00">
        <w:rPr>
          <w:rFonts w:ascii="Times" w:hAnsi="Times"/>
          <w:color w:val="000000" w:themeColor="text1"/>
        </w:rPr>
        <w:t xml:space="preserve">Face à la liberté interprétative ou au cas fréquent dans lequel les règles d’interprétation ne conduisent pas à une réponse juridique évidente, impliquant de faire des </w:t>
      </w:r>
      <w:r w:rsidR="00A66A03" w:rsidRPr="00502F00">
        <w:rPr>
          <w:rFonts w:ascii="Times" w:hAnsi="Times"/>
          <w:i/>
          <w:iCs/>
          <w:color w:val="000000" w:themeColor="text1"/>
        </w:rPr>
        <w:t>choix</w:t>
      </w:r>
      <w:r w:rsidR="00A66A03" w:rsidRPr="00502F00">
        <w:rPr>
          <w:rFonts w:ascii="Times" w:hAnsi="Times"/>
          <w:color w:val="000000" w:themeColor="text1"/>
        </w:rPr>
        <w:t xml:space="preserve">, comment le juge procède-t-il ? </w:t>
      </w:r>
    </w:p>
    <w:p w14:paraId="2182B65D" w14:textId="2E9AC9F4" w:rsidR="00A66A03" w:rsidRPr="00502F00" w:rsidRDefault="00A66A03" w:rsidP="001B0034">
      <w:pPr>
        <w:jc w:val="both"/>
        <w:rPr>
          <w:rFonts w:ascii="Times" w:hAnsi="Times"/>
          <w:color w:val="000000" w:themeColor="text1"/>
        </w:rPr>
      </w:pPr>
    </w:p>
    <w:p w14:paraId="1168D5B3" w14:textId="5F9FE1A3" w:rsidR="001B0034" w:rsidRPr="00502F00" w:rsidRDefault="00A66A03" w:rsidP="001B0034">
      <w:pPr>
        <w:jc w:val="both"/>
        <w:rPr>
          <w:rFonts w:ascii="Times" w:hAnsi="Times"/>
          <w:color w:val="000000" w:themeColor="text1"/>
        </w:rPr>
      </w:pPr>
      <w:r w:rsidRPr="00502F00">
        <w:rPr>
          <w:rFonts w:ascii="Times" w:hAnsi="Times"/>
          <w:color w:val="000000" w:themeColor="text1"/>
        </w:rPr>
        <w:t>L’hypothèse de cette contribution réside dans l’idée que dans toutes ces situations, le juge international procède, de manière non exclusive d’autres raisonnements, à un « questionnement éthique », processus</w:t>
      </w:r>
      <w:r w:rsidRPr="00502F00">
        <w:rPr>
          <w:rStyle w:val="Appelnotedebasdep"/>
          <w:rFonts w:ascii="Times" w:hAnsi="Times"/>
          <w:color w:val="000000" w:themeColor="text1"/>
        </w:rPr>
        <w:footnoteReference w:id="7"/>
      </w:r>
      <w:r w:rsidRPr="00502F00">
        <w:rPr>
          <w:rFonts w:ascii="Times" w:hAnsi="Times"/>
          <w:color w:val="000000" w:themeColor="text1"/>
        </w:rPr>
        <w:t xml:space="preserve"> qui</w:t>
      </w:r>
      <w:r w:rsidR="001B0034" w:rsidRPr="00502F00">
        <w:rPr>
          <w:rFonts w:ascii="Times" w:hAnsi="Times"/>
          <w:color w:val="000000" w:themeColor="text1"/>
        </w:rPr>
        <w:t xml:space="preserve"> consiste à se demander ce qu’il faut faire, ce qu’il serait « bon » de faire face à la situation problématique</w:t>
      </w:r>
      <w:r w:rsidRPr="00502F00">
        <w:rPr>
          <w:rFonts w:ascii="Times" w:hAnsi="Times"/>
          <w:color w:val="000000" w:themeColor="text1"/>
        </w:rPr>
        <w:t xml:space="preserve"> –</w:t>
      </w:r>
      <w:r w:rsidR="001B0034" w:rsidRPr="00502F00">
        <w:rPr>
          <w:rFonts w:ascii="Times" w:hAnsi="Times"/>
          <w:color w:val="000000" w:themeColor="text1"/>
        </w:rPr>
        <w:t xml:space="preserve"> le « bon » se définissant </w:t>
      </w:r>
      <w:r w:rsidRPr="00502F00">
        <w:rPr>
          <w:rFonts w:ascii="Times" w:hAnsi="Times"/>
          <w:color w:val="000000" w:themeColor="text1"/>
        </w:rPr>
        <w:t xml:space="preserve">alors </w:t>
      </w:r>
      <w:r w:rsidR="001B0034" w:rsidRPr="00502F00">
        <w:rPr>
          <w:rFonts w:ascii="Times" w:hAnsi="Times"/>
          <w:color w:val="000000" w:themeColor="text1"/>
        </w:rPr>
        <w:t>par référence à un ensemble de valeur relatif, propre à l’époque et au contexte dans lesquels la situation est posée.</w:t>
      </w:r>
      <w:r w:rsidR="004C723D" w:rsidRPr="00502F00">
        <w:rPr>
          <w:rFonts w:ascii="Times" w:hAnsi="Times"/>
          <w:color w:val="000000" w:themeColor="text1"/>
        </w:rPr>
        <w:t xml:space="preserve"> Autrement dit, l’intuition qui a guidé cette réflexion est celle selon laquelle </w:t>
      </w:r>
      <w:r w:rsidR="001B0034" w:rsidRPr="00502F00">
        <w:rPr>
          <w:rFonts w:ascii="Times" w:hAnsi="Times"/>
          <w:color w:val="000000" w:themeColor="text1"/>
        </w:rPr>
        <w:t>lorsqu’il y a incertitude, le juge international fait</w:t>
      </w:r>
      <w:r w:rsidR="004C723D" w:rsidRPr="00502F00">
        <w:rPr>
          <w:rFonts w:ascii="Times" w:hAnsi="Times"/>
          <w:color w:val="000000" w:themeColor="text1"/>
        </w:rPr>
        <w:t xml:space="preserve"> </w:t>
      </w:r>
      <w:r w:rsidR="001B0034" w:rsidRPr="00502F00">
        <w:rPr>
          <w:rFonts w:ascii="Times" w:hAnsi="Times"/>
          <w:color w:val="000000" w:themeColor="text1"/>
        </w:rPr>
        <w:t>appel, formellement ou matériellement, consciemment ou inconsciemment, à la norme éthique pour le guider</w:t>
      </w:r>
      <w:r w:rsidR="004C723D" w:rsidRPr="00502F00">
        <w:rPr>
          <w:rFonts w:ascii="Times" w:hAnsi="Times"/>
          <w:color w:val="000000" w:themeColor="text1"/>
        </w:rPr>
        <w:t>.</w:t>
      </w:r>
      <w:r w:rsidR="00244698" w:rsidRPr="00502F00">
        <w:rPr>
          <w:rFonts w:ascii="Times" w:hAnsi="Times"/>
          <w:color w:val="000000" w:themeColor="text1"/>
        </w:rPr>
        <w:t xml:space="preserve"> </w:t>
      </w:r>
      <w:r w:rsidR="004C723D" w:rsidRPr="00502F00">
        <w:rPr>
          <w:rFonts w:ascii="Times" w:hAnsi="Times"/>
          <w:color w:val="000000" w:themeColor="text1"/>
        </w:rPr>
        <w:t>Cette intuition n’est évidemment pas totalement originale ; d</w:t>
      </w:r>
      <w:r w:rsidR="00244698" w:rsidRPr="00502F00">
        <w:rPr>
          <w:rFonts w:ascii="Times" w:hAnsi="Times"/>
          <w:color w:val="000000" w:themeColor="text1"/>
        </w:rPr>
        <w:t>es approches doctrinales, souvent non juridiques, ont pu montrer que tel était bien le cas du juge interne – par exemple canadien</w:t>
      </w:r>
      <w:r w:rsidR="00244698" w:rsidRPr="00502F00">
        <w:rPr>
          <w:rStyle w:val="Appelnotedebasdep"/>
          <w:rFonts w:ascii="Times" w:hAnsi="Times"/>
          <w:color w:val="000000" w:themeColor="text1"/>
        </w:rPr>
        <w:footnoteReference w:id="8"/>
      </w:r>
      <w:r w:rsidR="006434F4" w:rsidRPr="00502F00">
        <w:rPr>
          <w:rFonts w:ascii="Times" w:hAnsi="Times"/>
          <w:color w:val="000000" w:themeColor="text1"/>
        </w:rPr>
        <w:t>. La jurisprudence de la Cour internationale de justice a elle-même fait l’objet de quelques réflexions en ce sens</w:t>
      </w:r>
      <w:bookmarkStart w:id="0" w:name="_Ref91804936"/>
      <w:r w:rsidR="006434F4" w:rsidRPr="00502F00">
        <w:rPr>
          <w:rStyle w:val="Appelnotedebasdep"/>
          <w:rFonts w:ascii="Times" w:hAnsi="Times"/>
          <w:color w:val="000000" w:themeColor="text1"/>
        </w:rPr>
        <w:footnoteReference w:id="9"/>
      </w:r>
      <w:bookmarkEnd w:id="0"/>
      <w:r w:rsidR="006434F4" w:rsidRPr="00502F00">
        <w:rPr>
          <w:rFonts w:ascii="Times" w:hAnsi="Times"/>
          <w:color w:val="000000" w:themeColor="text1"/>
        </w:rPr>
        <w:t>.</w:t>
      </w:r>
    </w:p>
    <w:p w14:paraId="104272FE" w14:textId="60422295" w:rsidR="00CE6A5A" w:rsidRPr="00502F00" w:rsidRDefault="00CE6A5A" w:rsidP="001B0034">
      <w:pPr>
        <w:jc w:val="both"/>
        <w:rPr>
          <w:rFonts w:ascii="Times" w:hAnsi="Times"/>
          <w:color w:val="000000" w:themeColor="text1"/>
        </w:rPr>
      </w:pPr>
    </w:p>
    <w:p w14:paraId="77C540A6" w14:textId="3CD6ED34" w:rsidR="001F0BD6" w:rsidRPr="00502F00" w:rsidRDefault="00CE6A5A" w:rsidP="001B0034">
      <w:pPr>
        <w:jc w:val="both"/>
        <w:rPr>
          <w:rFonts w:ascii="Times" w:hAnsi="Times"/>
          <w:color w:val="000000" w:themeColor="text1"/>
        </w:rPr>
      </w:pPr>
      <w:r w:rsidRPr="00502F00">
        <w:rPr>
          <w:rFonts w:ascii="Times" w:hAnsi="Times"/>
          <w:color w:val="000000" w:themeColor="text1"/>
        </w:rPr>
        <w:lastRenderedPageBreak/>
        <w:t>Dans la « vie » d’une affaire à la Cour internationale de justice, on peut identifier, après les questionnements incombant aux parties – faut-il introduire une requête ? Faut-il déposer une demande en indication de mesures conservatoires ? Dans la positive, faut-il le faire en même temps ou après le dépôt de la requête initiale ? Faut-il protester contre la compétence et la recevabilité ou directement sur le fond ? Faut-il adopter une stratégie de non-participation à l’instance</w:t>
      </w:r>
      <w:r w:rsidRPr="00502F00">
        <w:rPr>
          <w:rStyle w:val="Appelnotedebasdep"/>
          <w:rFonts w:ascii="Times" w:hAnsi="Times"/>
          <w:color w:val="000000" w:themeColor="text1"/>
        </w:rPr>
        <w:footnoteReference w:id="10"/>
      </w:r>
      <w:r w:rsidRPr="00502F00">
        <w:rPr>
          <w:rFonts w:ascii="Times" w:hAnsi="Times"/>
          <w:color w:val="000000" w:themeColor="text1"/>
        </w:rPr>
        <w:t xml:space="preserve"> ? </w:t>
      </w:r>
      <w:r w:rsidRPr="00502F00">
        <w:rPr>
          <w:rFonts w:ascii="Times" w:hAnsi="Times"/>
          <w:i/>
          <w:iCs/>
          <w:color w:val="000000" w:themeColor="text1"/>
        </w:rPr>
        <w:t>etc.</w:t>
      </w:r>
      <w:r w:rsidRPr="00502F00">
        <w:rPr>
          <w:rFonts w:ascii="Times" w:hAnsi="Times"/>
          <w:color w:val="000000" w:themeColor="text1"/>
        </w:rPr>
        <w:t xml:space="preserve"> –, quatre grands « moments » d’incertitude propices à la recherche de l’existence d’un questionnement éthique par les juges.</w:t>
      </w:r>
      <w:r w:rsidR="001F0BD6" w:rsidRPr="00502F00">
        <w:rPr>
          <w:rFonts w:ascii="Times" w:hAnsi="Times"/>
          <w:color w:val="000000" w:themeColor="text1"/>
        </w:rPr>
        <w:t xml:space="preserve"> </w:t>
      </w:r>
      <w:r w:rsidR="00F34400" w:rsidRPr="00502F00">
        <w:rPr>
          <w:rFonts w:ascii="Times" w:hAnsi="Times"/>
          <w:color w:val="000000" w:themeColor="text1"/>
        </w:rPr>
        <w:t>D’autres « moments » pourraient certainement être identifiés ; le format de la présente étude ne permet toutefois pas de les envisager</w:t>
      </w:r>
      <w:r w:rsidR="00F34400" w:rsidRPr="00502F00">
        <w:rPr>
          <w:rFonts w:ascii="Times" w:hAnsi="Times"/>
          <w:color w:val="000000" w:themeColor="text1"/>
        </w:rPr>
        <w:t>.</w:t>
      </w:r>
    </w:p>
    <w:p w14:paraId="1C56C9DF" w14:textId="77777777" w:rsidR="00F34400" w:rsidRPr="00502F00" w:rsidRDefault="00F34400" w:rsidP="001B0034">
      <w:pPr>
        <w:jc w:val="both"/>
        <w:rPr>
          <w:rFonts w:ascii="Times" w:hAnsi="Times"/>
          <w:color w:val="000000" w:themeColor="text1"/>
        </w:rPr>
      </w:pPr>
    </w:p>
    <w:p w14:paraId="2EA98AD3" w14:textId="488B2BA8" w:rsidR="001B0034" w:rsidRPr="00502F00" w:rsidRDefault="001F0BD6" w:rsidP="001B0034">
      <w:pPr>
        <w:jc w:val="both"/>
        <w:rPr>
          <w:rFonts w:ascii="Times" w:hAnsi="Times"/>
          <w:color w:val="000000" w:themeColor="text1"/>
        </w:rPr>
      </w:pPr>
      <w:r w:rsidRPr="00502F00">
        <w:rPr>
          <w:rFonts w:ascii="Times" w:hAnsi="Times"/>
          <w:i/>
          <w:iCs/>
          <w:color w:val="000000" w:themeColor="text1"/>
        </w:rPr>
        <w:t>Primus</w:t>
      </w:r>
      <w:r w:rsidRPr="00502F00">
        <w:rPr>
          <w:rFonts w:ascii="Times" w:hAnsi="Times"/>
          <w:color w:val="000000" w:themeColor="text1"/>
        </w:rPr>
        <w:t xml:space="preserve">, une </w:t>
      </w:r>
      <w:r w:rsidR="001B0034" w:rsidRPr="00502F00">
        <w:rPr>
          <w:rFonts w:ascii="Times" w:hAnsi="Times"/>
          <w:color w:val="000000" w:themeColor="text1"/>
        </w:rPr>
        <w:t xml:space="preserve">incertitude </w:t>
      </w:r>
      <w:r w:rsidRPr="00502F00">
        <w:rPr>
          <w:rFonts w:ascii="Times" w:hAnsi="Times"/>
          <w:color w:val="000000" w:themeColor="text1"/>
        </w:rPr>
        <w:t>« </w:t>
      </w:r>
      <w:r w:rsidR="001B0034" w:rsidRPr="00502F00">
        <w:rPr>
          <w:rFonts w:ascii="Times" w:hAnsi="Times"/>
          <w:color w:val="000000" w:themeColor="text1"/>
        </w:rPr>
        <w:t>procédurale</w:t>
      </w:r>
      <w:r w:rsidRPr="00502F00">
        <w:rPr>
          <w:rFonts w:ascii="Times" w:hAnsi="Times"/>
          <w:color w:val="000000" w:themeColor="text1"/>
        </w:rPr>
        <w:t> »</w:t>
      </w:r>
      <w:r w:rsidR="001B0034" w:rsidRPr="00502F00">
        <w:rPr>
          <w:rFonts w:ascii="Times" w:hAnsi="Times"/>
          <w:color w:val="000000" w:themeColor="text1"/>
        </w:rPr>
        <w:t xml:space="preserve"> </w:t>
      </w:r>
      <w:r w:rsidRPr="00502F00">
        <w:rPr>
          <w:rFonts w:ascii="Times" w:hAnsi="Times"/>
          <w:color w:val="000000" w:themeColor="text1"/>
        </w:rPr>
        <w:t xml:space="preserve">est </w:t>
      </w:r>
      <w:r w:rsidR="001B0034" w:rsidRPr="00502F00">
        <w:rPr>
          <w:rFonts w:ascii="Times" w:hAnsi="Times"/>
          <w:color w:val="000000" w:themeColor="text1"/>
        </w:rPr>
        <w:t xml:space="preserve">générée lorsqu’une demande en indication de mesures conservatoires est formulée. </w:t>
      </w:r>
      <w:proofErr w:type="spellStart"/>
      <w:r w:rsidRPr="00502F00">
        <w:rPr>
          <w:rFonts w:ascii="Times" w:hAnsi="Times"/>
          <w:i/>
          <w:iCs/>
          <w:color w:val="000000" w:themeColor="text1"/>
        </w:rPr>
        <w:t>Secondus</w:t>
      </w:r>
      <w:proofErr w:type="spellEnd"/>
      <w:r w:rsidRPr="00502F00">
        <w:rPr>
          <w:rFonts w:ascii="Times" w:hAnsi="Times"/>
          <w:color w:val="000000" w:themeColor="text1"/>
        </w:rPr>
        <w:t>, une</w:t>
      </w:r>
      <w:r w:rsidR="001B0034" w:rsidRPr="00502F00">
        <w:rPr>
          <w:rFonts w:ascii="Times" w:hAnsi="Times"/>
          <w:color w:val="000000" w:themeColor="text1"/>
        </w:rPr>
        <w:t xml:space="preserve"> incertitude </w:t>
      </w:r>
      <w:r w:rsidRPr="00502F00">
        <w:rPr>
          <w:rFonts w:ascii="Times" w:hAnsi="Times"/>
          <w:color w:val="000000" w:themeColor="text1"/>
        </w:rPr>
        <w:t>« </w:t>
      </w:r>
      <w:r w:rsidR="001B0034" w:rsidRPr="00502F00">
        <w:rPr>
          <w:rFonts w:ascii="Times" w:hAnsi="Times"/>
          <w:color w:val="000000" w:themeColor="text1"/>
        </w:rPr>
        <w:t>matérielle</w:t>
      </w:r>
      <w:r w:rsidRPr="00502F00">
        <w:rPr>
          <w:rFonts w:ascii="Times" w:hAnsi="Times"/>
          <w:color w:val="000000" w:themeColor="text1"/>
        </w:rPr>
        <w:t xml:space="preserve"> » </w:t>
      </w:r>
      <w:r w:rsidR="00B0501E" w:rsidRPr="00502F00">
        <w:rPr>
          <w:rFonts w:ascii="Times" w:hAnsi="Times"/>
          <w:color w:val="000000" w:themeColor="text1"/>
        </w:rPr>
        <w:t>peut surgir</w:t>
      </w:r>
      <w:r w:rsidR="001B0034" w:rsidRPr="00502F00">
        <w:rPr>
          <w:rFonts w:ascii="Times" w:hAnsi="Times"/>
          <w:color w:val="000000" w:themeColor="text1"/>
        </w:rPr>
        <w:t xml:space="preserve"> lorsque le droit international est indéterminé au fond</w:t>
      </w:r>
      <w:r w:rsidRPr="00502F00">
        <w:rPr>
          <w:rFonts w:ascii="Times" w:hAnsi="Times"/>
          <w:color w:val="000000" w:themeColor="text1"/>
        </w:rPr>
        <w:t xml:space="preserve">. </w:t>
      </w:r>
      <w:proofErr w:type="spellStart"/>
      <w:r w:rsidRPr="00502F00">
        <w:rPr>
          <w:rFonts w:ascii="Times" w:hAnsi="Times"/>
          <w:i/>
          <w:iCs/>
          <w:color w:val="000000" w:themeColor="text1"/>
        </w:rPr>
        <w:t>Tertius</w:t>
      </w:r>
      <w:proofErr w:type="spellEnd"/>
      <w:r w:rsidRPr="00502F00">
        <w:rPr>
          <w:rFonts w:ascii="Times" w:hAnsi="Times"/>
          <w:color w:val="000000" w:themeColor="text1"/>
        </w:rPr>
        <w:t xml:space="preserve">, </w:t>
      </w:r>
      <w:r w:rsidR="00B0501E" w:rsidRPr="00502F00">
        <w:rPr>
          <w:rFonts w:ascii="Times" w:hAnsi="Times"/>
          <w:color w:val="000000" w:themeColor="text1"/>
        </w:rPr>
        <w:t xml:space="preserve">une incertitude « politique » – mais qui s’avère également matérielle – apparaît </w:t>
      </w:r>
      <w:r w:rsidR="001B0034" w:rsidRPr="00502F00">
        <w:rPr>
          <w:rFonts w:ascii="Times" w:hAnsi="Times"/>
          <w:color w:val="000000" w:themeColor="text1"/>
        </w:rPr>
        <w:t>lorsque les règles de droit international sont identifiables mais qu’elles peuvent, au regard des faits, être interprétées de plusieurs manières différentes</w:t>
      </w:r>
      <w:r w:rsidR="00B0501E" w:rsidRPr="00502F00">
        <w:rPr>
          <w:rFonts w:ascii="Times" w:hAnsi="Times"/>
          <w:color w:val="000000" w:themeColor="text1"/>
        </w:rPr>
        <w:t> ; à cet égard,</w:t>
      </w:r>
      <w:r w:rsidR="001B0034" w:rsidRPr="00502F00">
        <w:rPr>
          <w:rFonts w:ascii="Times" w:hAnsi="Times"/>
          <w:color w:val="000000" w:themeColor="text1"/>
        </w:rPr>
        <w:t xml:space="preserve"> le droit </w:t>
      </w:r>
      <w:r w:rsidR="00B0501E" w:rsidRPr="00502F00">
        <w:rPr>
          <w:rFonts w:ascii="Times" w:hAnsi="Times"/>
          <w:color w:val="000000" w:themeColor="text1"/>
        </w:rPr>
        <w:t>demeure</w:t>
      </w:r>
      <w:r w:rsidR="001B0034" w:rsidRPr="00502F00">
        <w:rPr>
          <w:rFonts w:ascii="Times" w:hAnsi="Times"/>
          <w:color w:val="000000" w:themeColor="text1"/>
        </w:rPr>
        <w:t xml:space="preserve"> un outil</w:t>
      </w:r>
      <w:r w:rsidR="00B0501E" w:rsidRPr="00502F00">
        <w:rPr>
          <w:rFonts w:ascii="Times" w:hAnsi="Times"/>
          <w:color w:val="000000" w:themeColor="text1"/>
        </w:rPr>
        <w:t xml:space="preserve"> susceptible d’</w:t>
      </w:r>
      <w:r w:rsidR="001B0034" w:rsidRPr="00502F00">
        <w:rPr>
          <w:rFonts w:ascii="Times" w:hAnsi="Times"/>
          <w:color w:val="000000" w:themeColor="text1"/>
        </w:rPr>
        <w:t>être utilisé</w:t>
      </w:r>
      <w:r w:rsidR="00B0501E" w:rsidRPr="00502F00">
        <w:rPr>
          <w:rFonts w:ascii="Times" w:hAnsi="Times"/>
          <w:color w:val="000000" w:themeColor="text1"/>
        </w:rPr>
        <w:t xml:space="preserve"> de manière dynamique,</w:t>
      </w:r>
      <w:r w:rsidR="001B0034" w:rsidRPr="00502F00">
        <w:rPr>
          <w:rFonts w:ascii="Times" w:hAnsi="Times"/>
          <w:color w:val="000000" w:themeColor="text1"/>
        </w:rPr>
        <w:t xml:space="preserve"> comme un outil politique de promotion de tel ou tel positionnement éthique.</w:t>
      </w:r>
      <w:r w:rsidR="00B0501E" w:rsidRPr="00502F00">
        <w:rPr>
          <w:rFonts w:ascii="Times" w:hAnsi="Times"/>
          <w:color w:val="000000" w:themeColor="text1"/>
        </w:rPr>
        <w:t xml:space="preserve"> </w:t>
      </w:r>
      <w:proofErr w:type="spellStart"/>
      <w:r w:rsidR="00B0501E" w:rsidRPr="00502F00">
        <w:rPr>
          <w:rFonts w:ascii="Times" w:hAnsi="Times"/>
          <w:i/>
          <w:iCs/>
          <w:color w:val="000000" w:themeColor="text1"/>
        </w:rPr>
        <w:t>Quartus</w:t>
      </w:r>
      <w:proofErr w:type="spellEnd"/>
      <w:r w:rsidR="00B0501E" w:rsidRPr="00502F00">
        <w:rPr>
          <w:rFonts w:ascii="Times" w:hAnsi="Times"/>
          <w:color w:val="000000" w:themeColor="text1"/>
        </w:rPr>
        <w:t xml:space="preserve">, une </w:t>
      </w:r>
      <w:r w:rsidR="001B0034" w:rsidRPr="00502F00">
        <w:rPr>
          <w:rFonts w:ascii="Times" w:hAnsi="Times"/>
          <w:color w:val="000000" w:themeColor="text1"/>
        </w:rPr>
        <w:t xml:space="preserve">incertitude méthodologique </w:t>
      </w:r>
      <w:r w:rsidR="00B0501E" w:rsidRPr="00502F00">
        <w:rPr>
          <w:rFonts w:ascii="Times" w:hAnsi="Times"/>
          <w:color w:val="000000" w:themeColor="text1"/>
        </w:rPr>
        <w:t>survient lorsqu’il s’agit</w:t>
      </w:r>
      <w:r w:rsidR="001B0034" w:rsidRPr="00502F00">
        <w:rPr>
          <w:rFonts w:ascii="Times" w:hAnsi="Times"/>
          <w:color w:val="000000" w:themeColor="text1"/>
        </w:rPr>
        <w:t xml:space="preserve"> de déterminer l’indemnisation due par une partie dont la responsabilité internationale a été engagée à une autre, à défaut d’accord entre ces parties</w:t>
      </w:r>
      <w:r w:rsidR="00B0501E" w:rsidRPr="00502F00">
        <w:rPr>
          <w:rFonts w:ascii="Times" w:hAnsi="Times"/>
          <w:color w:val="000000" w:themeColor="text1"/>
        </w:rPr>
        <w:t>. Sur ce dernier point,</w:t>
      </w:r>
      <w:r w:rsidR="00243EE9" w:rsidRPr="00502F00">
        <w:rPr>
          <w:rFonts w:ascii="Times" w:hAnsi="Times"/>
          <w:color w:val="000000" w:themeColor="text1"/>
        </w:rPr>
        <w:t xml:space="preserve"> l’incertitude peut être telle que la Cour peut requérir une expertise</w:t>
      </w:r>
      <w:bookmarkStart w:id="1" w:name="_Ref91412226"/>
      <w:r w:rsidR="00243EE9" w:rsidRPr="00502F00">
        <w:rPr>
          <w:rStyle w:val="Appelnotedebasdep"/>
          <w:rFonts w:ascii="Times" w:hAnsi="Times"/>
          <w:color w:val="000000" w:themeColor="text1"/>
        </w:rPr>
        <w:footnoteReference w:id="11"/>
      </w:r>
      <w:bookmarkEnd w:id="1"/>
      <w:r w:rsidR="00763CEB" w:rsidRPr="00502F00">
        <w:rPr>
          <w:rFonts w:ascii="Times" w:hAnsi="Times"/>
          <w:color w:val="000000" w:themeColor="text1"/>
        </w:rPr>
        <w:t xml:space="preserve"> ; encore lui faut-il, de manière peu juridique, choisir une </w:t>
      </w:r>
      <w:r w:rsidR="001B0034" w:rsidRPr="00502F00">
        <w:rPr>
          <w:rFonts w:ascii="Times" w:hAnsi="Times"/>
          <w:color w:val="000000" w:themeColor="text1"/>
        </w:rPr>
        <w:t>méthode de calcul de l’indemnisation</w:t>
      </w:r>
      <w:r w:rsidR="00763CEB" w:rsidRPr="00502F00">
        <w:rPr>
          <w:rStyle w:val="Appelnotedebasdep"/>
          <w:rFonts w:ascii="Times" w:hAnsi="Times"/>
          <w:color w:val="000000" w:themeColor="text1"/>
        </w:rPr>
        <w:footnoteReference w:id="12"/>
      </w:r>
      <w:r w:rsidR="00763CEB" w:rsidRPr="00502F00">
        <w:rPr>
          <w:rFonts w:ascii="Times" w:hAnsi="Times"/>
          <w:color w:val="000000" w:themeColor="text1"/>
        </w:rPr>
        <w:t xml:space="preserve"> et fixer le montant qu’elle juge raisonnable pour indemniser des violations parfois massives du droit international…ainsi, </w:t>
      </w:r>
      <w:r w:rsidR="001B0034" w:rsidRPr="00502F00">
        <w:rPr>
          <w:rFonts w:ascii="Times" w:hAnsi="Times"/>
          <w:color w:val="000000" w:themeColor="text1"/>
        </w:rPr>
        <w:t xml:space="preserve">quel </w:t>
      </w:r>
      <w:r w:rsidR="00763CEB" w:rsidRPr="00502F00">
        <w:rPr>
          <w:rFonts w:ascii="Times" w:hAnsi="Times"/>
          <w:color w:val="000000" w:themeColor="text1"/>
        </w:rPr>
        <w:t xml:space="preserve">est le </w:t>
      </w:r>
      <w:r w:rsidR="001B0034" w:rsidRPr="00502F00">
        <w:rPr>
          <w:rFonts w:ascii="Times" w:hAnsi="Times"/>
          <w:color w:val="000000" w:themeColor="text1"/>
        </w:rPr>
        <w:t xml:space="preserve">montant </w:t>
      </w:r>
      <w:r w:rsidR="00763CEB" w:rsidRPr="00502F00">
        <w:rPr>
          <w:rFonts w:ascii="Times" w:hAnsi="Times"/>
          <w:color w:val="000000" w:themeColor="text1"/>
        </w:rPr>
        <w:t xml:space="preserve">d’indemnités </w:t>
      </w:r>
      <w:r w:rsidR="001B0034" w:rsidRPr="00502F00">
        <w:rPr>
          <w:rFonts w:ascii="Times" w:hAnsi="Times"/>
          <w:color w:val="000000" w:themeColor="text1"/>
        </w:rPr>
        <w:t>raisonnable pour un génocide</w:t>
      </w:r>
      <w:r w:rsidR="00763CEB" w:rsidRPr="00502F00">
        <w:rPr>
          <w:rStyle w:val="Appelnotedebasdep"/>
          <w:rFonts w:ascii="Times" w:hAnsi="Times"/>
          <w:color w:val="000000" w:themeColor="text1"/>
        </w:rPr>
        <w:footnoteReference w:id="13"/>
      </w:r>
      <w:r w:rsidR="001B0034" w:rsidRPr="00502F00">
        <w:rPr>
          <w:rFonts w:ascii="Times" w:hAnsi="Times"/>
          <w:color w:val="000000" w:themeColor="text1"/>
        </w:rPr>
        <w:t xml:space="preserve"> ? </w:t>
      </w:r>
    </w:p>
    <w:p w14:paraId="1E1695FD" w14:textId="6384C919" w:rsidR="00F34400" w:rsidRPr="00502F00" w:rsidRDefault="00F34400" w:rsidP="001B0034">
      <w:pPr>
        <w:jc w:val="both"/>
        <w:rPr>
          <w:rFonts w:ascii="Times" w:hAnsi="Times"/>
          <w:color w:val="000000" w:themeColor="text1"/>
        </w:rPr>
      </w:pPr>
    </w:p>
    <w:p w14:paraId="1CD8CE84" w14:textId="484E7C1E" w:rsidR="002A2484" w:rsidRPr="00502F00" w:rsidRDefault="00680C0E" w:rsidP="004104FF">
      <w:pPr>
        <w:jc w:val="both"/>
        <w:rPr>
          <w:rFonts w:ascii="Times" w:hAnsi="Times"/>
          <w:color w:val="000000" w:themeColor="text1"/>
        </w:rPr>
      </w:pPr>
      <w:r w:rsidRPr="00502F00">
        <w:rPr>
          <w:rFonts w:ascii="Times" w:hAnsi="Times"/>
          <w:color w:val="000000" w:themeColor="text1"/>
        </w:rPr>
        <w:t xml:space="preserve">La présente contribution propose </w:t>
      </w:r>
      <w:r w:rsidR="00072265" w:rsidRPr="00502F00">
        <w:rPr>
          <w:rFonts w:ascii="Times" w:hAnsi="Times"/>
          <w:color w:val="000000" w:themeColor="text1"/>
        </w:rPr>
        <w:t>d’apporter quelques éléments de réponse</w:t>
      </w:r>
      <w:r w:rsidR="004E488E" w:rsidRPr="00502F00">
        <w:rPr>
          <w:rFonts w:ascii="Times" w:hAnsi="Times"/>
          <w:color w:val="000000" w:themeColor="text1"/>
        </w:rPr>
        <w:t xml:space="preserve"> à ces interrogations</w:t>
      </w:r>
      <w:r w:rsidR="00072265" w:rsidRPr="00502F00">
        <w:rPr>
          <w:rFonts w:ascii="Times" w:hAnsi="Times"/>
          <w:color w:val="000000" w:themeColor="text1"/>
        </w:rPr>
        <w:t>, en se livrant à</w:t>
      </w:r>
      <w:r w:rsidRPr="00502F00">
        <w:rPr>
          <w:rFonts w:ascii="Times" w:hAnsi="Times"/>
          <w:color w:val="000000" w:themeColor="text1"/>
        </w:rPr>
        <w:t xml:space="preserve"> un exercice de relecture</w:t>
      </w:r>
      <w:r w:rsidR="00D95208" w:rsidRPr="00502F00">
        <w:rPr>
          <w:rFonts w:ascii="Times" w:hAnsi="Times"/>
          <w:color w:val="000000" w:themeColor="text1"/>
        </w:rPr>
        <w:t xml:space="preserve"> </w:t>
      </w:r>
      <w:r w:rsidRPr="00502F00">
        <w:rPr>
          <w:rFonts w:ascii="Times" w:hAnsi="Times"/>
          <w:color w:val="000000" w:themeColor="text1"/>
        </w:rPr>
        <w:t>de la jurisprudence récente de la Cour</w:t>
      </w:r>
      <w:r w:rsidR="008A6965" w:rsidRPr="00502F00">
        <w:rPr>
          <w:rFonts w:ascii="Times" w:hAnsi="Times"/>
          <w:color w:val="000000" w:themeColor="text1"/>
        </w:rPr>
        <w:t xml:space="preserve"> </w:t>
      </w:r>
      <w:r w:rsidRPr="00502F00">
        <w:rPr>
          <w:rFonts w:ascii="Times" w:hAnsi="Times"/>
          <w:color w:val="000000" w:themeColor="text1"/>
        </w:rPr>
        <w:t>sous le prisme spécifique du rôle de l</w:t>
      </w:r>
      <w:r w:rsidR="00F44235" w:rsidRPr="00502F00">
        <w:rPr>
          <w:rFonts w:ascii="Times" w:hAnsi="Times"/>
          <w:color w:val="000000" w:themeColor="text1"/>
        </w:rPr>
        <w:t>’</w:t>
      </w:r>
      <w:r w:rsidRPr="00502F00">
        <w:rPr>
          <w:rFonts w:ascii="Times" w:hAnsi="Times"/>
          <w:color w:val="000000" w:themeColor="text1"/>
        </w:rPr>
        <w:t>éthique face à l</w:t>
      </w:r>
      <w:r w:rsidR="00F44235" w:rsidRPr="00502F00">
        <w:rPr>
          <w:rFonts w:ascii="Times" w:hAnsi="Times"/>
          <w:color w:val="000000" w:themeColor="text1"/>
        </w:rPr>
        <w:t>’</w:t>
      </w:r>
      <w:r w:rsidRPr="00502F00">
        <w:rPr>
          <w:rFonts w:ascii="Times" w:hAnsi="Times"/>
          <w:color w:val="000000" w:themeColor="text1"/>
        </w:rPr>
        <w:t>incertitude</w:t>
      </w:r>
      <w:r w:rsidR="008A6965" w:rsidRPr="00502F00">
        <w:rPr>
          <w:rFonts w:ascii="Times" w:hAnsi="Times"/>
          <w:color w:val="000000" w:themeColor="text1"/>
        </w:rPr>
        <w:t xml:space="preserve"> juridique, participant </w:t>
      </w:r>
      <w:r w:rsidR="00072265" w:rsidRPr="00502F00">
        <w:rPr>
          <w:rFonts w:ascii="Times" w:hAnsi="Times"/>
          <w:color w:val="000000" w:themeColor="text1"/>
        </w:rPr>
        <w:t>incidemment</w:t>
      </w:r>
      <w:r w:rsidR="008A6965" w:rsidRPr="00502F00">
        <w:rPr>
          <w:rFonts w:ascii="Times" w:hAnsi="Times"/>
          <w:color w:val="000000" w:themeColor="text1"/>
        </w:rPr>
        <w:t xml:space="preserve"> à la réflexion le rôle et les limites du juge international.</w:t>
      </w:r>
      <w:r w:rsidR="004E488E" w:rsidRPr="00502F00">
        <w:rPr>
          <w:rFonts w:ascii="Times" w:hAnsi="Times"/>
          <w:color w:val="000000" w:themeColor="text1"/>
        </w:rPr>
        <w:t xml:space="preserve"> Au regard de son volume, ne seront abordés que les deux premiers points identifiés </w:t>
      </w:r>
      <w:r w:rsidR="004E488E" w:rsidRPr="00502F00">
        <w:rPr>
          <w:rFonts w:ascii="Times" w:hAnsi="Times"/>
          <w:i/>
          <w:iCs/>
          <w:color w:val="000000" w:themeColor="text1"/>
        </w:rPr>
        <w:t>supra</w:t>
      </w:r>
      <w:r w:rsidR="004E488E" w:rsidRPr="00502F00">
        <w:rPr>
          <w:rFonts w:ascii="Times" w:hAnsi="Times"/>
          <w:color w:val="000000" w:themeColor="text1"/>
        </w:rPr>
        <w:t>, à savoir le positionnement éthique face à l’incertitude procédurale (</w:t>
      </w:r>
      <w:r w:rsidR="004E488E" w:rsidRPr="00502F00">
        <w:rPr>
          <w:rFonts w:ascii="Times" w:hAnsi="Times"/>
          <w:b/>
          <w:bCs/>
          <w:color w:val="000000" w:themeColor="text1"/>
        </w:rPr>
        <w:t>I</w:t>
      </w:r>
      <w:r w:rsidR="004E488E" w:rsidRPr="00502F00">
        <w:rPr>
          <w:rFonts w:ascii="Times" w:hAnsi="Times"/>
          <w:color w:val="000000" w:themeColor="text1"/>
        </w:rPr>
        <w:t>) puis matérielle (</w:t>
      </w:r>
      <w:r w:rsidR="004E488E" w:rsidRPr="00502F00">
        <w:rPr>
          <w:rFonts w:ascii="Times" w:hAnsi="Times"/>
          <w:b/>
          <w:bCs/>
          <w:color w:val="000000" w:themeColor="text1"/>
        </w:rPr>
        <w:t>II</w:t>
      </w:r>
      <w:r w:rsidR="004E488E" w:rsidRPr="00502F00">
        <w:rPr>
          <w:rFonts w:ascii="Times" w:hAnsi="Times"/>
          <w:color w:val="000000" w:themeColor="text1"/>
        </w:rPr>
        <w:t>).</w:t>
      </w:r>
    </w:p>
    <w:p w14:paraId="1844F326" w14:textId="77777777" w:rsidR="002A2484" w:rsidRPr="00502F00" w:rsidRDefault="002A2484" w:rsidP="002A2484">
      <w:pPr>
        <w:jc w:val="both"/>
        <w:rPr>
          <w:rFonts w:ascii="Times" w:hAnsi="Times"/>
          <w:color w:val="000000" w:themeColor="text1"/>
        </w:rPr>
      </w:pPr>
    </w:p>
    <w:p w14:paraId="0E95C267" w14:textId="66C0C6A4" w:rsidR="00DD6F7C" w:rsidRPr="00502F00" w:rsidRDefault="002A2484" w:rsidP="00DD6F7C">
      <w:pPr>
        <w:rPr>
          <w:rFonts w:ascii="Times" w:hAnsi="Times"/>
          <w:color w:val="000000" w:themeColor="text1"/>
        </w:rPr>
      </w:pPr>
      <w:r w:rsidRPr="00502F00">
        <w:rPr>
          <w:rFonts w:ascii="Times" w:hAnsi="Times"/>
          <w:b/>
          <w:bCs/>
          <w:color w:val="000000" w:themeColor="text1"/>
        </w:rPr>
        <w:t>I. L’éthique, un outil de protection face à l’incertitude procédurale</w:t>
      </w:r>
    </w:p>
    <w:p w14:paraId="0C9171AD" w14:textId="2339348F" w:rsidR="00DD6F7C" w:rsidRPr="00502F00" w:rsidRDefault="00DD6F7C" w:rsidP="00DD6F7C">
      <w:pPr>
        <w:rPr>
          <w:rFonts w:ascii="Times" w:hAnsi="Times"/>
          <w:color w:val="000000" w:themeColor="text1"/>
        </w:rPr>
      </w:pPr>
    </w:p>
    <w:p w14:paraId="5517E133" w14:textId="274250E9" w:rsidR="00DD6F7C" w:rsidRPr="00502F00" w:rsidRDefault="00DD6F7C" w:rsidP="00DD6F7C">
      <w:pPr>
        <w:jc w:val="both"/>
        <w:rPr>
          <w:rFonts w:ascii="Times" w:hAnsi="Times"/>
          <w:color w:val="000000" w:themeColor="text1"/>
        </w:rPr>
      </w:pPr>
      <w:r w:rsidRPr="00502F00">
        <w:rPr>
          <w:rFonts w:ascii="Times" w:hAnsi="Times"/>
          <w:color w:val="000000" w:themeColor="text1"/>
        </w:rPr>
        <w:t xml:space="preserve">Le postulat de ce développement est </w:t>
      </w:r>
      <w:r w:rsidR="002A2484" w:rsidRPr="00502F00">
        <w:rPr>
          <w:rFonts w:ascii="Times" w:hAnsi="Times"/>
          <w:color w:val="000000" w:themeColor="text1"/>
        </w:rPr>
        <w:t xml:space="preserve">que l’introduction d’une demande en indication de mesures conservatoires, qui vise à demander à la Cour de se prononcer en urgence sur des mesures pour garantir que le différend ne s’aggrave pas avant même de se prononcer sur sa compétence et le </w:t>
      </w:r>
      <w:r w:rsidR="002A2484" w:rsidRPr="00502F00">
        <w:rPr>
          <w:rFonts w:ascii="Times" w:hAnsi="Times"/>
          <w:color w:val="000000" w:themeColor="text1"/>
        </w:rPr>
        <w:lastRenderedPageBreak/>
        <w:t>fond de l’affaire, génère une incertitude procédurale</w:t>
      </w:r>
      <w:r w:rsidRPr="00502F00">
        <w:rPr>
          <w:rFonts w:ascii="Times" w:hAnsi="Times"/>
          <w:color w:val="000000" w:themeColor="text1"/>
        </w:rPr>
        <w:t>.</w:t>
      </w:r>
      <w:r w:rsidR="00B21854" w:rsidRPr="00502F00">
        <w:rPr>
          <w:rFonts w:ascii="Times" w:hAnsi="Times"/>
          <w:color w:val="000000" w:themeColor="text1"/>
        </w:rPr>
        <w:t xml:space="preserve"> </w:t>
      </w:r>
      <w:r w:rsidR="00B21854" w:rsidRPr="00502F00">
        <w:rPr>
          <w:rFonts w:ascii="Times" w:hAnsi="Times"/>
          <w:color w:val="000000" w:themeColor="text1"/>
        </w:rPr>
        <w:t xml:space="preserve">Sauf dans le cas où la demande est en réalité une </w:t>
      </w:r>
      <w:r w:rsidR="00B21854" w:rsidRPr="00502F00">
        <w:rPr>
          <w:rFonts w:ascii="Times" w:hAnsi="Times"/>
          <w:i/>
          <w:iCs/>
          <w:color w:val="000000" w:themeColor="text1"/>
        </w:rPr>
        <w:t>nouvelle</w:t>
      </w:r>
      <w:r w:rsidR="00B21854" w:rsidRPr="00502F00">
        <w:rPr>
          <w:rFonts w:ascii="Times" w:hAnsi="Times"/>
          <w:color w:val="000000" w:themeColor="text1"/>
        </w:rPr>
        <w:t xml:space="preserve"> demande de mesures conservatoires, intervenant après que la Cour s’est estimée compétente au stade des exceptions préliminaires, la Cour ne </w:t>
      </w:r>
      <w:r w:rsidR="00B21854" w:rsidRPr="00502F00">
        <w:rPr>
          <w:rFonts w:ascii="Times" w:hAnsi="Times"/>
          <w:i/>
          <w:iCs/>
          <w:color w:val="000000" w:themeColor="text1"/>
        </w:rPr>
        <w:t>sait</w:t>
      </w:r>
      <w:r w:rsidR="00B21854" w:rsidRPr="00502F00">
        <w:rPr>
          <w:rFonts w:ascii="Times" w:hAnsi="Times"/>
          <w:color w:val="000000" w:themeColor="text1"/>
        </w:rPr>
        <w:t xml:space="preserve"> pas définitivement, à ce stade, si elle sera ou non compétente, ni si les parties se prévalent à raison des droits invoqués. Autrement dit, elle ne peut que modérément se fonder sur le droit positif, qui reste </w:t>
      </w:r>
      <w:r w:rsidR="008133A8">
        <w:rPr>
          <w:rFonts w:ascii="Times" w:hAnsi="Times"/>
          <w:color w:val="000000" w:themeColor="text1"/>
        </w:rPr>
        <w:t>incertain</w:t>
      </w:r>
      <w:r w:rsidR="00B21854" w:rsidRPr="00502F00">
        <w:rPr>
          <w:rFonts w:ascii="Times" w:hAnsi="Times"/>
          <w:color w:val="000000" w:themeColor="text1"/>
        </w:rPr>
        <w:t>, pour déterminer si elle peut et doit, ou non, indiquer des mesures conservatoires. Leur existence implique que les juges fassent appel à d’autres éléments que le droit international pour y faire droit.</w:t>
      </w:r>
      <w:r w:rsidR="00B21854" w:rsidRPr="00502F00">
        <w:rPr>
          <w:rFonts w:ascii="Times" w:hAnsi="Times"/>
          <w:color w:val="000000" w:themeColor="text1"/>
        </w:rPr>
        <w:t xml:space="preserve"> Ce raisonnement</w:t>
      </w:r>
      <w:r w:rsidRPr="00502F00">
        <w:rPr>
          <w:rFonts w:ascii="Times" w:hAnsi="Times"/>
          <w:color w:val="000000" w:themeColor="text1"/>
        </w:rPr>
        <w:t xml:space="preserve"> donne lieu à des questionnements éthiques, </w:t>
      </w:r>
      <w:r w:rsidR="00B21854" w:rsidRPr="00502F00">
        <w:rPr>
          <w:rFonts w:ascii="Times" w:hAnsi="Times"/>
          <w:color w:val="000000" w:themeColor="text1"/>
        </w:rPr>
        <w:t>qui</w:t>
      </w:r>
      <w:r w:rsidRPr="00502F00">
        <w:rPr>
          <w:rFonts w:ascii="Times" w:hAnsi="Times"/>
          <w:color w:val="000000" w:themeColor="text1"/>
        </w:rPr>
        <w:t xml:space="preserve"> sont particulièrement visibles à l’aune de leurs « résultats » juridiques</w:t>
      </w:r>
      <w:r w:rsidR="008133A8">
        <w:rPr>
          <w:rFonts w:ascii="Times" w:hAnsi="Times"/>
          <w:color w:val="000000" w:themeColor="text1"/>
        </w:rPr>
        <w:t>. On peut à cet égard évoquer</w:t>
      </w:r>
      <w:r w:rsidRPr="00502F00">
        <w:rPr>
          <w:rFonts w:ascii="Times" w:hAnsi="Times"/>
          <w:color w:val="000000" w:themeColor="text1"/>
        </w:rPr>
        <w:t xml:space="preserve"> l’assouplissement des critères de leur indication</w:t>
      </w:r>
      <w:r w:rsidR="00B21854" w:rsidRPr="00502F00">
        <w:rPr>
          <w:rFonts w:ascii="Times" w:hAnsi="Times"/>
          <w:color w:val="000000" w:themeColor="text1"/>
        </w:rPr>
        <w:t xml:space="preserve"> que sont la plausibilité des droits invoqués (</w:t>
      </w:r>
      <w:r w:rsidR="00B21854" w:rsidRPr="00502F00">
        <w:rPr>
          <w:rFonts w:ascii="Times" w:hAnsi="Times"/>
          <w:b/>
          <w:bCs/>
          <w:color w:val="000000" w:themeColor="text1"/>
        </w:rPr>
        <w:t>A</w:t>
      </w:r>
      <w:r w:rsidR="00B21854" w:rsidRPr="00502F00">
        <w:rPr>
          <w:rFonts w:ascii="Times" w:hAnsi="Times"/>
          <w:color w:val="000000" w:themeColor="text1"/>
        </w:rPr>
        <w:t>) et l’existence d’un risque imminent de commission d’un préjudice irréparable</w:t>
      </w:r>
      <w:r w:rsidRPr="00502F00">
        <w:rPr>
          <w:rFonts w:ascii="Times" w:hAnsi="Times"/>
          <w:color w:val="000000" w:themeColor="text1"/>
        </w:rPr>
        <w:t xml:space="preserve"> (</w:t>
      </w:r>
      <w:r w:rsidRPr="00502F00">
        <w:rPr>
          <w:rFonts w:ascii="Times" w:hAnsi="Times"/>
          <w:b/>
          <w:bCs/>
          <w:color w:val="000000" w:themeColor="text1"/>
        </w:rPr>
        <w:t>B</w:t>
      </w:r>
      <w:r w:rsidRPr="00502F00">
        <w:rPr>
          <w:rFonts w:ascii="Times" w:hAnsi="Times"/>
          <w:color w:val="000000" w:themeColor="text1"/>
        </w:rPr>
        <w:t>).</w:t>
      </w:r>
    </w:p>
    <w:p w14:paraId="758C59CB" w14:textId="45F97842" w:rsidR="00B21854" w:rsidRPr="00502F00" w:rsidRDefault="00B21854" w:rsidP="00B21854">
      <w:pPr>
        <w:jc w:val="both"/>
        <w:rPr>
          <w:rFonts w:ascii="Times" w:hAnsi="Times"/>
          <w:b/>
          <w:bCs/>
          <w:color w:val="000000" w:themeColor="text1"/>
        </w:rPr>
      </w:pPr>
    </w:p>
    <w:p w14:paraId="0E874ACE" w14:textId="455C8C5A" w:rsidR="00B21854" w:rsidRPr="00502F00" w:rsidRDefault="00B21854" w:rsidP="00B21854">
      <w:pPr>
        <w:pStyle w:val="Paragraphedeliste"/>
        <w:numPr>
          <w:ilvl w:val="0"/>
          <w:numId w:val="6"/>
        </w:numPr>
        <w:jc w:val="both"/>
        <w:rPr>
          <w:rFonts w:ascii="Times" w:hAnsi="Times"/>
          <w:b/>
          <w:bCs/>
          <w:color w:val="000000" w:themeColor="text1"/>
        </w:rPr>
      </w:pPr>
      <w:r w:rsidRPr="00502F00">
        <w:rPr>
          <w:rFonts w:ascii="Times" w:hAnsi="Times"/>
          <w:b/>
          <w:bCs/>
          <w:color w:val="000000" w:themeColor="text1"/>
        </w:rPr>
        <w:t>L’assouplissement du critère de la plausibilité des droits invoqués</w:t>
      </w:r>
    </w:p>
    <w:p w14:paraId="0A813636" w14:textId="15EC7916" w:rsidR="00B21854" w:rsidRPr="00502F00" w:rsidRDefault="00B21854" w:rsidP="00B21854">
      <w:pPr>
        <w:jc w:val="both"/>
        <w:rPr>
          <w:rFonts w:ascii="Times" w:hAnsi="Times"/>
          <w:color w:val="000000" w:themeColor="text1"/>
        </w:rPr>
      </w:pPr>
    </w:p>
    <w:p w14:paraId="5FF79015" w14:textId="1B71AC56" w:rsidR="001B7A57" w:rsidRPr="00502F00" w:rsidRDefault="001B7A57" w:rsidP="00B21854">
      <w:pPr>
        <w:jc w:val="both"/>
        <w:rPr>
          <w:rFonts w:ascii="Times" w:hAnsi="Times"/>
          <w:color w:val="000000" w:themeColor="text1"/>
        </w:rPr>
      </w:pPr>
      <w:r w:rsidRPr="00502F00">
        <w:rPr>
          <w:rFonts w:ascii="Times" w:hAnsi="Times"/>
          <w:color w:val="000000" w:themeColor="text1"/>
        </w:rPr>
        <w:t xml:space="preserve">Une fois la compétence de la Cour établie </w:t>
      </w:r>
      <w:r w:rsidRPr="00502F00">
        <w:rPr>
          <w:rFonts w:ascii="Times" w:hAnsi="Times"/>
          <w:i/>
          <w:iCs/>
          <w:color w:val="000000" w:themeColor="text1"/>
        </w:rPr>
        <w:t xml:space="preserve">prima </w:t>
      </w:r>
      <w:proofErr w:type="spellStart"/>
      <w:r w:rsidRPr="00502F00">
        <w:rPr>
          <w:rFonts w:ascii="Times" w:hAnsi="Times"/>
          <w:i/>
          <w:iCs/>
          <w:color w:val="000000" w:themeColor="text1"/>
        </w:rPr>
        <w:t>facie</w:t>
      </w:r>
      <w:proofErr w:type="spellEnd"/>
      <w:r w:rsidRPr="00502F00">
        <w:rPr>
          <w:rFonts w:ascii="Times" w:hAnsi="Times"/>
          <w:color w:val="000000" w:themeColor="text1"/>
        </w:rPr>
        <w:t xml:space="preserve"> – donc non définitivement, comme le montrent les quelques exemples d’affaires où la Cour a indiqué des mesures conservatoires avant de juger, au stade des exceptions préliminaires, qu’elle n’était finalement pas compétente</w:t>
      </w:r>
      <w:bookmarkStart w:id="2" w:name="_Ref91799558"/>
      <w:r w:rsidRPr="00502F00">
        <w:rPr>
          <w:rStyle w:val="Appelnotedebasdep"/>
          <w:rFonts w:ascii="Times" w:hAnsi="Times"/>
          <w:color w:val="000000" w:themeColor="text1"/>
        </w:rPr>
        <w:footnoteReference w:id="14"/>
      </w:r>
      <w:bookmarkEnd w:id="2"/>
      <w:r w:rsidRPr="00502F00">
        <w:rPr>
          <w:rFonts w:ascii="Times" w:hAnsi="Times"/>
          <w:color w:val="000000" w:themeColor="text1"/>
        </w:rPr>
        <w:t xml:space="preserve"> –, elle examine si les droits allégués par la partie demandeuse apparaissent au moins plausibles. Il ne serait en effet pas acceptable qu’un État réclame d’un autre, sur le fondement d’une base de compétence solide, le respect, même à titre provisoire, de droits dont il ne peut à l’évidence pas se prévaloir. La Cour juge donc qu’elle ne </w:t>
      </w:r>
      <w:r w:rsidRPr="00502F00">
        <w:rPr>
          <w:rFonts w:ascii="Times" w:hAnsi="Times"/>
          <w:color w:val="000000" w:themeColor="text1"/>
        </w:rPr>
        <w:t>peut exercer son pouvoir d’indiquer des mesures conservatoires « que si elle est convaincue que les droits revendiqués par la partie demanderesse sont à tout le moins plausibles »</w:t>
      </w:r>
      <w:bookmarkStart w:id="3" w:name="_Ref91799682"/>
      <w:r w:rsidRPr="00502F00">
        <w:rPr>
          <w:rStyle w:val="Appelnotedebasdep"/>
          <w:rFonts w:ascii="Times" w:hAnsi="Times"/>
          <w:color w:val="000000" w:themeColor="text1"/>
        </w:rPr>
        <w:footnoteReference w:id="15"/>
      </w:r>
      <w:bookmarkEnd w:id="3"/>
      <w:r w:rsidRPr="00502F00">
        <w:rPr>
          <w:rFonts w:ascii="Times" w:hAnsi="Times"/>
          <w:color w:val="000000" w:themeColor="text1"/>
        </w:rPr>
        <w:t>.</w:t>
      </w:r>
      <w:r w:rsidR="001A1D26" w:rsidRPr="00502F00">
        <w:rPr>
          <w:rFonts w:ascii="Times" w:hAnsi="Times"/>
          <w:color w:val="000000" w:themeColor="text1"/>
        </w:rPr>
        <w:t xml:space="preserve"> Deux exemples récents témoignent d’une forme d’assouplissement jurisprudentiel que l’on peut rattacher à une volonté</w:t>
      </w:r>
      <w:r w:rsidR="008133A8">
        <w:rPr>
          <w:rFonts w:ascii="Times" w:hAnsi="Times"/>
          <w:color w:val="000000" w:themeColor="text1"/>
        </w:rPr>
        <w:t>,</w:t>
      </w:r>
      <w:r w:rsidR="001A1D26" w:rsidRPr="00502F00">
        <w:rPr>
          <w:rFonts w:ascii="Times" w:hAnsi="Times"/>
          <w:color w:val="000000" w:themeColor="text1"/>
        </w:rPr>
        <w:t xml:space="preserve"> </w:t>
      </w:r>
      <w:r w:rsidR="008133A8">
        <w:rPr>
          <w:rFonts w:ascii="Times" w:hAnsi="Times"/>
          <w:color w:val="000000" w:themeColor="text1"/>
        </w:rPr>
        <w:t>non exclusivement</w:t>
      </w:r>
      <w:r w:rsidR="001A1D26" w:rsidRPr="00502F00">
        <w:rPr>
          <w:rFonts w:ascii="Times" w:hAnsi="Times"/>
          <w:color w:val="000000" w:themeColor="text1"/>
        </w:rPr>
        <w:t xml:space="preserve"> juridique</w:t>
      </w:r>
      <w:r w:rsidR="008133A8">
        <w:rPr>
          <w:rFonts w:ascii="Times" w:hAnsi="Times"/>
          <w:color w:val="000000" w:themeColor="text1"/>
        </w:rPr>
        <w:t>,</w:t>
      </w:r>
      <w:r w:rsidR="001A1D26" w:rsidRPr="00502F00">
        <w:rPr>
          <w:rFonts w:ascii="Times" w:hAnsi="Times"/>
          <w:color w:val="000000" w:themeColor="text1"/>
        </w:rPr>
        <w:t xml:space="preserve"> de garantir aux États demandeurs que leurs demandes tendant à la sauvegarde provisoire des droits invoqués ont des chances d’aboutir</w:t>
      </w:r>
      <w:r w:rsidR="00FC4E8F" w:rsidRPr="00502F00">
        <w:rPr>
          <w:rStyle w:val="Appelnotedebasdep"/>
          <w:rFonts w:ascii="Times" w:hAnsi="Times"/>
          <w:color w:val="000000" w:themeColor="text1"/>
        </w:rPr>
        <w:footnoteReference w:id="16"/>
      </w:r>
      <w:r w:rsidR="008133A8">
        <w:rPr>
          <w:rFonts w:ascii="Times" w:hAnsi="Times"/>
          <w:color w:val="000000" w:themeColor="text1"/>
        </w:rPr>
        <w:t>.</w:t>
      </w:r>
    </w:p>
    <w:p w14:paraId="5FEB4F95" w14:textId="77777777" w:rsidR="001B7A57" w:rsidRPr="00502F00" w:rsidRDefault="001B7A57" w:rsidP="00B21854">
      <w:pPr>
        <w:jc w:val="both"/>
        <w:rPr>
          <w:rFonts w:ascii="Times" w:hAnsi="Times"/>
          <w:color w:val="000000" w:themeColor="text1"/>
        </w:rPr>
      </w:pPr>
    </w:p>
    <w:p w14:paraId="1C6F3C1A" w14:textId="59854DAD" w:rsidR="001A1D26" w:rsidRPr="00502F00" w:rsidRDefault="00B21854" w:rsidP="00B21854">
      <w:pPr>
        <w:jc w:val="both"/>
        <w:rPr>
          <w:rFonts w:ascii="Times" w:hAnsi="Times"/>
          <w:color w:val="000000" w:themeColor="text1"/>
        </w:rPr>
      </w:pPr>
      <w:r w:rsidRPr="00502F00">
        <w:rPr>
          <w:rFonts w:ascii="Times" w:hAnsi="Times"/>
          <w:color w:val="000000" w:themeColor="text1"/>
        </w:rPr>
        <w:t xml:space="preserve">Dans l’affaire </w:t>
      </w:r>
      <w:r w:rsidRPr="00502F00">
        <w:rPr>
          <w:rFonts w:ascii="Times" w:hAnsi="Times"/>
          <w:i/>
          <w:color w:val="000000" w:themeColor="text1"/>
        </w:rPr>
        <w:t>Qatar c. Émirats</w:t>
      </w:r>
      <w:r w:rsidR="001A1D26" w:rsidRPr="00502F00">
        <w:rPr>
          <w:rFonts w:ascii="Times" w:hAnsi="Times"/>
          <w:i/>
          <w:color w:val="000000" w:themeColor="text1"/>
        </w:rPr>
        <w:t xml:space="preserve"> arabes unis</w:t>
      </w:r>
      <w:r w:rsidRPr="00502F00">
        <w:rPr>
          <w:rFonts w:ascii="Times" w:hAnsi="Times"/>
          <w:color w:val="000000" w:themeColor="text1"/>
        </w:rPr>
        <w:t xml:space="preserve">, </w:t>
      </w:r>
      <w:r w:rsidR="001A1D26" w:rsidRPr="00502F00">
        <w:rPr>
          <w:rFonts w:ascii="Times" w:hAnsi="Times"/>
          <w:color w:val="000000" w:themeColor="text1"/>
        </w:rPr>
        <w:t>ces</w:t>
      </w:r>
      <w:r w:rsidRPr="00502F00">
        <w:rPr>
          <w:rFonts w:ascii="Times" w:hAnsi="Times"/>
          <w:color w:val="000000" w:themeColor="text1"/>
        </w:rPr>
        <w:t xml:space="preserve"> </w:t>
      </w:r>
      <w:r w:rsidR="001A1D26" w:rsidRPr="00502F00">
        <w:rPr>
          <w:rFonts w:ascii="Times" w:hAnsi="Times"/>
          <w:color w:val="000000" w:themeColor="text1"/>
        </w:rPr>
        <w:t>derniers</w:t>
      </w:r>
      <w:r w:rsidRPr="00502F00">
        <w:rPr>
          <w:rFonts w:ascii="Times" w:hAnsi="Times"/>
          <w:color w:val="000000" w:themeColor="text1"/>
        </w:rPr>
        <w:t xml:space="preserve"> contestaient</w:t>
      </w:r>
      <w:r w:rsidR="008133A8">
        <w:rPr>
          <w:rFonts w:ascii="Times" w:hAnsi="Times"/>
          <w:color w:val="000000" w:themeColor="text1"/>
        </w:rPr>
        <w:t xml:space="preserve"> notamment</w:t>
      </w:r>
      <w:r w:rsidRPr="00502F00">
        <w:rPr>
          <w:rFonts w:ascii="Times" w:hAnsi="Times"/>
          <w:color w:val="000000" w:themeColor="text1"/>
        </w:rPr>
        <w:t xml:space="preserve"> la plausibilité des droits allégués par le Qatar</w:t>
      </w:r>
      <w:r w:rsidR="008133A8">
        <w:rPr>
          <w:rFonts w:ascii="Times" w:hAnsi="Times"/>
          <w:color w:val="000000" w:themeColor="text1"/>
        </w:rPr>
        <w:t>. Celui-ci</w:t>
      </w:r>
      <w:r w:rsidRPr="00502F00">
        <w:rPr>
          <w:rFonts w:ascii="Times" w:hAnsi="Times"/>
          <w:color w:val="000000" w:themeColor="text1"/>
        </w:rPr>
        <w:t xml:space="preserve"> se fondait essentiellement, pour démontrer cette plausibilité, sur un rapport du Haut-Commissariat des Nations Unies aux droits de l’homme évoquant un « risque » d’entrave à l’exercice de droits et libertés des Qatariens</w:t>
      </w:r>
      <w:r w:rsidRPr="00502F00">
        <w:rPr>
          <w:rStyle w:val="Appelnotedebasdep"/>
          <w:rFonts w:ascii="Times" w:hAnsi="Times"/>
          <w:color w:val="000000" w:themeColor="text1"/>
        </w:rPr>
        <w:footnoteReference w:id="17"/>
      </w:r>
      <w:r w:rsidRPr="00502F00">
        <w:rPr>
          <w:rFonts w:ascii="Times" w:hAnsi="Times"/>
          <w:color w:val="000000" w:themeColor="text1"/>
        </w:rPr>
        <w:t xml:space="preserve"> du fait d’une série de mesures législatives prises par les Émirats. La Cour </w:t>
      </w:r>
      <w:r w:rsidR="008133A8">
        <w:rPr>
          <w:rFonts w:ascii="Times" w:hAnsi="Times"/>
          <w:color w:val="000000" w:themeColor="text1"/>
        </w:rPr>
        <w:t>traite très rapidement de</w:t>
      </w:r>
      <w:r w:rsidRPr="00502F00">
        <w:rPr>
          <w:rFonts w:ascii="Times" w:hAnsi="Times"/>
          <w:color w:val="000000" w:themeColor="text1"/>
        </w:rPr>
        <w:t xml:space="preserve"> ce point en jugeant « qu’au moins certains des droits revendiqués […] sont plausibles »</w:t>
      </w:r>
      <w:r w:rsidRPr="00502F00">
        <w:rPr>
          <w:rStyle w:val="Appelnotedebasdep"/>
          <w:rFonts w:ascii="Times" w:hAnsi="Times"/>
          <w:color w:val="000000" w:themeColor="text1"/>
        </w:rPr>
        <w:footnoteReference w:id="18"/>
      </w:r>
      <w:r w:rsidRPr="00502F00">
        <w:rPr>
          <w:rFonts w:ascii="Times" w:hAnsi="Times"/>
          <w:color w:val="000000" w:themeColor="text1"/>
        </w:rPr>
        <w:t xml:space="preserve">. Le lien entre ces droits et les mesures conservatoires sollicitées est ensuite validé </w:t>
      </w:r>
      <w:r w:rsidR="001A1D26" w:rsidRPr="00502F00">
        <w:rPr>
          <w:rFonts w:ascii="Times" w:hAnsi="Times"/>
          <w:color w:val="000000" w:themeColor="text1"/>
        </w:rPr>
        <w:t xml:space="preserve">par la Cour </w:t>
      </w:r>
      <w:r w:rsidRPr="00502F00">
        <w:rPr>
          <w:rFonts w:ascii="Times" w:hAnsi="Times"/>
          <w:color w:val="000000" w:themeColor="text1"/>
        </w:rPr>
        <w:t xml:space="preserve">sans aucune </w:t>
      </w:r>
      <w:r w:rsidRPr="00502F00">
        <w:rPr>
          <w:rFonts w:ascii="Times" w:hAnsi="Times"/>
          <w:color w:val="000000" w:themeColor="text1"/>
        </w:rPr>
        <w:lastRenderedPageBreak/>
        <w:t>difficulté</w:t>
      </w:r>
      <w:r w:rsidR="008133A8">
        <w:rPr>
          <w:rFonts w:ascii="Times" w:hAnsi="Times"/>
          <w:color w:val="000000" w:themeColor="text1"/>
        </w:rPr>
        <w:t>,</w:t>
      </w:r>
      <w:r w:rsidRPr="00502F00">
        <w:rPr>
          <w:rFonts w:ascii="Times" w:hAnsi="Times"/>
          <w:color w:val="000000" w:themeColor="text1"/>
        </w:rPr>
        <w:t xml:space="preserve"> là aussi de manière expéditive</w:t>
      </w:r>
      <w:r w:rsidRPr="00502F00">
        <w:rPr>
          <w:rStyle w:val="Appelnotedebasdep"/>
          <w:rFonts w:ascii="Times" w:hAnsi="Times"/>
          <w:color w:val="000000" w:themeColor="text1"/>
        </w:rPr>
        <w:footnoteReference w:id="19"/>
      </w:r>
      <w:r w:rsidR="001A1D26" w:rsidRPr="00502F00">
        <w:rPr>
          <w:rFonts w:ascii="Times" w:hAnsi="Times"/>
          <w:color w:val="000000" w:themeColor="text1"/>
        </w:rPr>
        <w:t>. Il en résulte</w:t>
      </w:r>
      <w:r w:rsidRPr="00502F00">
        <w:rPr>
          <w:rFonts w:ascii="Times" w:hAnsi="Times"/>
          <w:color w:val="000000" w:themeColor="text1"/>
        </w:rPr>
        <w:t xml:space="preserve"> un abaissement du degré de preuve exigé, même au stade des mesures conservatoires, au bénéfice du demandeur</w:t>
      </w:r>
      <w:r w:rsidR="001A1D26" w:rsidRPr="00502F00">
        <w:rPr>
          <w:rFonts w:ascii="Times" w:hAnsi="Times"/>
          <w:color w:val="000000" w:themeColor="text1"/>
        </w:rPr>
        <w:t xml:space="preserve">. Il n’est, d’ailleurs, pas anodin que la Cour se soit finalement déclarée incompétente </w:t>
      </w:r>
      <w:proofErr w:type="spellStart"/>
      <w:r w:rsidR="001A1D26" w:rsidRPr="00502F00">
        <w:rPr>
          <w:rFonts w:ascii="Times" w:hAnsi="Times"/>
          <w:i/>
          <w:iCs/>
          <w:color w:val="000000" w:themeColor="text1"/>
        </w:rPr>
        <w:t>ratione</w:t>
      </w:r>
      <w:proofErr w:type="spellEnd"/>
      <w:r w:rsidR="001A1D26" w:rsidRPr="00502F00">
        <w:rPr>
          <w:rFonts w:ascii="Times" w:hAnsi="Times"/>
          <w:i/>
          <w:iCs/>
          <w:color w:val="000000" w:themeColor="text1"/>
        </w:rPr>
        <w:t xml:space="preserve"> materiae</w:t>
      </w:r>
      <w:r w:rsidR="001A1D26" w:rsidRPr="00502F00">
        <w:rPr>
          <w:rFonts w:ascii="Times" w:hAnsi="Times"/>
          <w:color w:val="000000" w:themeColor="text1"/>
        </w:rPr>
        <w:t xml:space="preserve"> début 2021 dans la même affaire</w:t>
      </w:r>
      <w:r w:rsidR="001A1D26" w:rsidRPr="00502F00">
        <w:rPr>
          <w:rStyle w:val="Appelnotedebasdep"/>
          <w:rFonts w:ascii="Times" w:hAnsi="Times"/>
          <w:color w:val="000000" w:themeColor="text1"/>
        </w:rPr>
        <w:footnoteReference w:id="20"/>
      </w:r>
      <w:r w:rsidR="001A1D26" w:rsidRPr="00502F00">
        <w:rPr>
          <w:rFonts w:ascii="Times" w:hAnsi="Times"/>
          <w:color w:val="000000" w:themeColor="text1"/>
        </w:rPr>
        <w:t>.</w:t>
      </w:r>
    </w:p>
    <w:p w14:paraId="20D35C18" w14:textId="77777777" w:rsidR="001A1D26" w:rsidRPr="00502F00" w:rsidRDefault="001A1D26" w:rsidP="00B21854">
      <w:pPr>
        <w:jc w:val="both"/>
        <w:rPr>
          <w:rFonts w:ascii="Times" w:hAnsi="Times"/>
          <w:color w:val="000000" w:themeColor="text1"/>
        </w:rPr>
      </w:pPr>
    </w:p>
    <w:p w14:paraId="45B27008" w14:textId="19065300" w:rsidR="0015194C" w:rsidRPr="00502F00" w:rsidRDefault="00B21854" w:rsidP="00B21854">
      <w:pPr>
        <w:jc w:val="both"/>
        <w:rPr>
          <w:rFonts w:ascii="Times" w:hAnsi="Times"/>
          <w:color w:val="000000" w:themeColor="text1"/>
        </w:rPr>
      </w:pPr>
      <w:r w:rsidRPr="00502F00">
        <w:rPr>
          <w:rFonts w:ascii="Times" w:hAnsi="Times"/>
          <w:color w:val="000000" w:themeColor="text1"/>
        </w:rPr>
        <w:t xml:space="preserve">Dans l’ordonnance </w:t>
      </w:r>
      <w:r w:rsidRPr="00502F00">
        <w:rPr>
          <w:rFonts w:ascii="Times" w:hAnsi="Times"/>
          <w:i/>
          <w:color w:val="000000" w:themeColor="text1"/>
        </w:rPr>
        <w:t>Iran c. États-Unis</w:t>
      </w:r>
      <w:r w:rsidRPr="00502F00">
        <w:rPr>
          <w:rFonts w:ascii="Times" w:hAnsi="Times"/>
          <w:iCs/>
          <w:color w:val="000000" w:themeColor="text1"/>
        </w:rPr>
        <w:t xml:space="preserve"> </w:t>
      </w:r>
      <w:r w:rsidR="001042EB" w:rsidRPr="00502F00">
        <w:rPr>
          <w:rFonts w:ascii="Times" w:hAnsi="Times"/>
          <w:iCs/>
          <w:color w:val="000000" w:themeColor="text1"/>
        </w:rPr>
        <w:t xml:space="preserve">rendue </w:t>
      </w:r>
      <w:r w:rsidR="008133A8">
        <w:rPr>
          <w:rFonts w:ascii="Times" w:hAnsi="Times"/>
          <w:iCs/>
          <w:color w:val="000000" w:themeColor="text1"/>
        </w:rPr>
        <w:t>en 2018 également</w:t>
      </w:r>
      <w:r w:rsidRPr="00502F00">
        <w:rPr>
          <w:rFonts w:ascii="Times" w:hAnsi="Times"/>
          <w:color w:val="000000" w:themeColor="text1"/>
        </w:rPr>
        <w:t xml:space="preserve">, la Cour conclut </w:t>
      </w:r>
      <w:r w:rsidR="008133A8">
        <w:rPr>
          <w:rFonts w:ascii="Times" w:hAnsi="Times"/>
          <w:color w:val="000000" w:themeColor="text1"/>
        </w:rPr>
        <w:t>de la même manière</w:t>
      </w:r>
      <w:r w:rsidRPr="00502F00">
        <w:rPr>
          <w:rFonts w:ascii="Times" w:hAnsi="Times"/>
          <w:color w:val="000000" w:themeColor="text1"/>
        </w:rPr>
        <w:t xml:space="preserve"> que certains </w:t>
      </w:r>
      <w:r w:rsidR="001042EB" w:rsidRPr="00502F00">
        <w:rPr>
          <w:rFonts w:ascii="Times" w:hAnsi="Times"/>
          <w:color w:val="000000" w:themeColor="text1"/>
        </w:rPr>
        <w:t xml:space="preserve">des </w:t>
      </w:r>
      <w:r w:rsidRPr="00502F00">
        <w:rPr>
          <w:rFonts w:ascii="Times" w:hAnsi="Times"/>
          <w:color w:val="000000" w:themeColor="text1"/>
        </w:rPr>
        <w:t>droits revendiqués par l’Iran sont plausibles</w:t>
      </w:r>
      <w:r w:rsidR="001042EB" w:rsidRPr="00502F00">
        <w:rPr>
          <w:rStyle w:val="Appelnotedebasdep"/>
          <w:rFonts w:ascii="Times" w:hAnsi="Times"/>
          <w:color w:val="000000" w:themeColor="text1"/>
        </w:rPr>
        <w:footnoteReference w:id="21"/>
      </w:r>
      <w:r w:rsidR="001042EB" w:rsidRPr="00502F00">
        <w:rPr>
          <w:rFonts w:ascii="Times" w:hAnsi="Times"/>
          <w:color w:val="000000" w:themeColor="text1"/>
        </w:rPr>
        <w:t xml:space="preserve"> – mais, à la différence de l’affaire précédente, conclut dans un arrêt du 3 février 2021 sur les exceptions préliminaires qu’elle est bien compétente</w:t>
      </w:r>
      <w:r w:rsidR="001042EB" w:rsidRPr="00502F00">
        <w:rPr>
          <w:rStyle w:val="Appelnotedebasdep"/>
          <w:rFonts w:ascii="Times" w:hAnsi="Times"/>
          <w:color w:val="000000" w:themeColor="text1"/>
        </w:rPr>
        <w:footnoteReference w:id="22"/>
      </w:r>
      <w:r w:rsidR="001042EB" w:rsidRPr="00502F00">
        <w:rPr>
          <w:rFonts w:ascii="Times" w:hAnsi="Times"/>
          <w:color w:val="000000" w:themeColor="text1"/>
        </w:rPr>
        <w:t xml:space="preserve">. </w:t>
      </w:r>
      <w:r w:rsidR="009F1B9F" w:rsidRPr="00502F00">
        <w:rPr>
          <w:rFonts w:ascii="Times" w:hAnsi="Times"/>
          <w:color w:val="000000" w:themeColor="text1"/>
        </w:rPr>
        <w:t xml:space="preserve">La formulation de la Cour, dans l’ordonnance du 3 octobre 2018, est cependant </w:t>
      </w:r>
      <w:r w:rsidRPr="00502F00">
        <w:rPr>
          <w:rFonts w:ascii="Times" w:hAnsi="Times"/>
          <w:color w:val="000000" w:themeColor="text1"/>
        </w:rPr>
        <w:t xml:space="preserve">assez absconse, </w:t>
      </w:r>
      <w:r w:rsidR="009F1B9F" w:rsidRPr="00502F00">
        <w:rPr>
          <w:rFonts w:ascii="Times" w:hAnsi="Times"/>
          <w:color w:val="000000" w:themeColor="text1"/>
        </w:rPr>
        <w:t>en particulier lorsqu’elle</w:t>
      </w:r>
      <w:r w:rsidRPr="00502F00">
        <w:rPr>
          <w:rFonts w:ascii="Times" w:hAnsi="Times"/>
          <w:color w:val="000000" w:themeColor="text1"/>
        </w:rPr>
        <w:t xml:space="preserve"> </w:t>
      </w:r>
      <w:r w:rsidR="0015194C" w:rsidRPr="00502F00">
        <w:rPr>
          <w:rFonts w:ascii="Times" w:hAnsi="Times"/>
          <w:color w:val="000000" w:themeColor="text1"/>
        </w:rPr>
        <w:t>développe</w:t>
      </w:r>
      <w:r w:rsidRPr="00502F00">
        <w:rPr>
          <w:rFonts w:ascii="Times" w:hAnsi="Times"/>
          <w:color w:val="000000" w:themeColor="text1"/>
        </w:rPr>
        <w:t xml:space="preserve"> l’idée de « </w:t>
      </w:r>
      <w:r w:rsidRPr="00502F00">
        <w:rPr>
          <w:rFonts w:ascii="Times" w:hAnsi="Times"/>
          <w:i/>
          <w:iCs/>
          <w:color w:val="000000" w:themeColor="text1"/>
        </w:rPr>
        <w:t>droits</w:t>
      </w:r>
      <w:r w:rsidRPr="00502F00">
        <w:rPr>
          <w:rFonts w:ascii="Times" w:hAnsi="Times"/>
          <w:color w:val="000000" w:themeColor="text1"/>
        </w:rPr>
        <w:t xml:space="preserve"> </w:t>
      </w:r>
      <w:r w:rsidRPr="00502F00">
        <w:rPr>
          <w:rFonts w:ascii="Times" w:hAnsi="Times"/>
          <w:i/>
          <w:iCs/>
          <w:color w:val="000000" w:themeColor="text1"/>
        </w:rPr>
        <w:t>plausiblement</w:t>
      </w:r>
      <w:r w:rsidRPr="00502F00">
        <w:rPr>
          <w:rFonts w:ascii="Times" w:hAnsi="Times"/>
          <w:color w:val="000000" w:themeColor="text1"/>
        </w:rPr>
        <w:t xml:space="preserve"> </w:t>
      </w:r>
      <w:r w:rsidRPr="00502F00">
        <w:rPr>
          <w:rFonts w:ascii="Times" w:hAnsi="Times"/>
          <w:i/>
          <w:iCs/>
          <w:color w:val="000000" w:themeColor="text1"/>
        </w:rPr>
        <w:t>considérés</w:t>
      </w:r>
      <w:r w:rsidRPr="00502F00">
        <w:rPr>
          <w:rFonts w:ascii="Times" w:hAnsi="Times"/>
          <w:color w:val="000000" w:themeColor="text1"/>
        </w:rPr>
        <w:t xml:space="preserve"> comme pouvant donner lieu à l’invocation d’exceptions »</w:t>
      </w:r>
      <w:r w:rsidR="009F1B9F" w:rsidRPr="00502F00">
        <w:rPr>
          <w:rStyle w:val="Appelnotedebasdep"/>
          <w:rFonts w:ascii="Times" w:hAnsi="Times"/>
          <w:color w:val="000000" w:themeColor="text1"/>
        </w:rPr>
        <w:footnoteReference w:id="23"/>
      </w:r>
      <w:r w:rsidR="00FC4E8F" w:rsidRPr="00502F00">
        <w:rPr>
          <w:rFonts w:ascii="Times" w:hAnsi="Times"/>
          <w:color w:val="000000" w:themeColor="text1"/>
        </w:rPr>
        <w:t xml:space="preserve">. </w:t>
      </w:r>
      <w:r w:rsidR="0015194C" w:rsidRPr="00502F00">
        <w:rPr>
          <w:rFonts w:ascii="Times" w:hAnsi="Times"/>
          <w:color w:val="000000" w:themeColor="text1"/>
        </w:rPr>
        <w:t>L’ordonnance</w:t>
      </w:r>
      <w:r w:rsidR="00A614C2" w:rsidRPr="00502F00">
        <w:rPr>
          <w:rFonts w:ascii="Times" w:hAnsi="Times"/>
          <w:color w:val="000000" w:themeColor="text1"/>
        </w:rPr>
        <w:t xml:space="preserve"> révèle surtout une</w:t>
      </w:r>
      <w:r w:rsidR="0015194C" w:rsidRPr="00502F00">
        <w:rPr>
          <w:rFonts w:ascii="Times" w:hAnsi="Times"/>
          <w:color w:val="000000" w:themeColor="text1"/>
        </w:rPr>
        <w:t xml:space="preserve"> double</w:t>
      </w:r>
      <w:r w:rsidR="00A614C2" w:rsidRPr="00502F00">
        <w:rPr>
          <w:rFonts w:ascii="Times" w:hAnsi="Times"/>
          <w:color w:val="000000" w:themeColor="text1"/>
        </w:rPr>
        <w:t xml:space="preserve"> incertitude quant à la plausibilité </w:t>
      </w:r>
      <w:r w:rsidRPr="00502F00">
        <w:rPr>
          <w:rFonts w:ascii="Times" w:hAnsi="Times"/>
          <w:color w:val="000000" w:themeColor="text1"/>
        </w:rPr>
        <w:t>des droits allégués</w:t>
      </w:r>
      <w:r w:rsidR="0015194C" w:rsidRPr="00502F00">
        <w:rPr>
          <w:rFonts w:ascii="Times" w:hAnsi="Times"/>
          <w:color w:val="000000" w:themeColor="text1"/>
        </w:rPr>
        <w:t xml:space="preserve"> et aux liens entre ces droits et les mesures requises. Or, dans cette affaire, la Cour comble cette incertitude manifeste en optant pour une posture</w:t>
      </w:r>
      <w:r w:rsidRPr="00502F00">
        <w:rPr>
          <w:rFonts w:ascii="Times" w:hAnsi="Times"/>
          <w:color w:val="000000" w:themeColor="text1"/>
        </w:rPr>
        <w:t xml:space="preserve"> </w:t>
      </w:r>
      <w:r w:rsidR="0015194C" w:rsidRPr="00502F00">
        <w:rPr>
          <w:rFonts w:ascii="Times" w:hAnsi="Times"/>
          <w:color w:val="000000" w:themeColor="text1"/>
        </w:rPr>
        <w:t>libérale conduisant à</w:t>
      </w:r>
      <w:r w:rsidRPr="00502F00">
        <w:rPr>
          <w:rFonts w:ascii="Times" w:hAnsi="Times"/>
          <w:color w:val="000000" w:themeColor="text1"/>
        </w:rPr>
        <w:t xml:space="preserve"> assoupl</w:t>
      </w:r>
      <w:r w:rsidR="0015194C" w:rsidRPr="00502F00">
        <w:rPr>
          <w:rFonts w:ascii="Times" w:hAnsi="Times"/>
          <w:color w:val="000000" w:themeColor="text1"/>
        </w:rPr>
        <w:t xml:space="preserve">ir, dans le doute, </w:t>
      </w:r>
      <w:r w:rsidRPr="00502F00">
        <w:rPr>
          <w:rFonts w:ascii="Times" w:hAnsi="Times"/>
          <w:color w:val="000000" w:themeColor="text1"/>
        </w:rPr>
        <w:t xml:space="preserve">le seuil à partir duquel </w:t>
      </w:r>
      <w:r w:rsidR="00A614C2" w:rsidRPr="00502F00">
        <w:rPr>
          <w:rFonts w:ascii="Times" w:hAnsi="Times"/>
          <w:color w:val="000000" w:themeColor="text1"/>
        </w:rPr>
        <w:t>c</w:t>
      </w:r>
      <w:r w:rsidRPr="00502F00">
        <w:rPr>
          <w:rFonts w:ascii="Times" w:hAnsi="Times"/>
          <w:color w:val="000000" w:themeColor="text1"/>
        </w:rPr>
        <w:t xml:space="preserve">es droits </w:t>
      </w:r>
      <w:r w:rsidR="00A614C2" w:rsidRPr="00502F00">
        <w:rPr>
          <w:rFonts w:ascii="Times" w:hAnsi="Times"/>
          <w:color w:val="000000" w:themeColor="text1"/>
        </w:rPr>
        <w:t xml:space="preserve">invoqués peuvent être </w:t>
      </w:r>
      <w:r w:rsidRPr="00502F00">
        <w:rPr>
          <w:rFonts w:ascii="Times" w:hAnsi="Times"/>
          <w:color w:val="000000" w:themeColor="text1"/>
        </w:rPr>
        <w:t>considérés comme plausibles et</w:t>
      </w:r>
      <w:r w:rsidR="00A614C2" w:rsidRPr="00502F00">
        <w:rPr>
          <w:rFonts w:ascii="Times" w:hAnsi="Times"/>
          <w:color w:val="000000" w:themeColor="text1"/>
        </w:rPr>
        <w:t>, plus encore,</w:t>
      </w:r>
      <w:r w:rsidRPr="00502F00">
        <w:rPr>
          <w:rFonts w:ascii="Times" w:hAnsi="Times"/>
          <w:color w:val="000000" w:themeColor="text1"/>
        </w:rPr>
        <w:t xml:space="preserve"> liés à la demande de mesures conservatoire</w:t>
      </w:r>
      <w:r w:rsidR="00A614C2" w:rsidRPr="00502F00">
        <w:rPr>
          <w:rFonts w:ascii="Times" w:hAnsi="Times"/>
          <w:color w:val="000000" w:themeColor="text1"/>
        </w:rPr>
        <w:t>s</w:t>
      </w:r>
      <w:r w:rsidR="00A614C2" w:rsidRPr="00502F00">
        <w:rPr>
          <w:rStyle w:val="Appelnotedebasdep"/>
          <w:rFonts w:ascii="Times" w:hAnsi="Times"/>
          <w:color w:val="000000" w:themeColor="text1"/>
        </w:rPr>
        <w:footnoteReference w:id="24"/>
      </w:r>
      <w:r w:rsidR="00A614C2" w:rsidRPr="00502F00">
        <w:rPr>
          <w:rFonts w:ascii="Times" w:hAnsi="Times"/>
          <w:color w:val="000000" w:themeColor="text1"/>
        </w:rPr>
        <w:t>.</w:t>
      </w:r>
      <w:r w:rsidR="0015194C" w:rsidRPr="00502F00">
        <w:rPr>
          <w:rFonts w:ascii="Times" w:hAnsi="Times"/>
          <w:color w:val="000000" w:themeColor="text1"/>
        </w:rPr>
        <w:t xml:space="preserve"> </w:t>
      </w:r>
    </w:p>
    <w:p w14:paraId="090708E3" w14:textId="77777777" w:rsidR="0015194C" w:rsidRPr="00502F00" w:rsidRDefault="0015194C" w:rsidP="00B21854">
      <w:pPr>
        <w:jc w:val="both"/>
        <w:rPr>
          <w:rFonts w:ascii="Times" w:hAnsi="Times"/>
          <w:color w:val="000000" w:themeColor="text1"/>
        </w:rPr>
      </w:pPr>
    </w:p>
    <w:p w14:paraId="2BEE0328" w14:textId="120DC077" w:rsidR="00B21854" w:rsidRPr="00502F00" w:rsidRDefault="0015194C" w:rsidP="00B21854">
      <w:pPr>
        <w:jc w:val="both"/>
        <w:rPr>
          <w:rFonts w:ascii="Times" w:hAnsi="Times"/>
          <w:color w:val="000000" w:themeColor="text1"/>
        </w:rPr>
      </w:pPr>
      <w:r w:rsidRPr="00502F00">
        <w:rPr>
          <w:rFonts w:ascii="Times" w:hAnsi="Times"/>
          <w:color w:val="000000" w:themeColor="text1"/>
        </w:rPr>
        <w:t xml:space="preserve">Ces éléments </w:t>
      </w:r>
      <w:r w:rsidR="000F620E" w:rsidRPr="00502F00">
        <w:rPr>
          <w:rFonts w:ascii="Times" w:hAnsi="Times"/>
          <w:color w:val="000000" w:themeColor="text1"/>
        </w:rPr>
        <w:t>révèlent</w:t>
      </w:r>
      <w:r w:rsidRPr="00502F00">
        <w:rPr>
          <w:rFonts w:ascii="Times" w:hAnsi="Times"/>
          <w:color w:val="000000" w:themeColor="text1"/>
        </w:rPr>
        <w:t xml:space="preserve"> une certaine souplesse</w:t>
      </w:r>
      <w:r w:rsidR="00B21854" w:rsidRPr="00502F00">
        <w:rPr>
          <w:rFonts w:ascii="Times" w:hAnsi="Times"/>
          <w:color w:val="000000" w:themeColor="text1"/>
        </w:rPr>
        <w:t xml:space="preserve"> face aux incertitudes</w:t>
      </w:r>
      <w:r w:rsidRPr="00502F00">
        <w:rPr>
          <w:rFonts w:ascii="Times" w:hAnsi="Times"/>
          <w:color w:val="000000" w:themeColor="text1"/>
        </w:rPr>
        <w:t xml:space="preserve"> à demi-</w:t>
      </w:r>
      <w:r w:rsidR="00B21854" w:rsidRPr="00502F00">
        <w:rPr>
          <w:rFonts w:ascii="Times" w:hAnsi="Times"/>
          <w:color w:val="000000" w:themeColor="text1"/>
        </w:rPr>
        <w:t xml:space="preserve">avouées par la Cour, </w:t>
      </w:r>
      <w:r w:rsidRPr="00502F00">
        <w:rPr>
          <w:rFonts w:ascii="Times" w:hAnsi="Times"/>
          <w:color w:val="000000" w:themeColor="text1"/>
        </w:rPr>
        <w:t>laquelle peut être considérée comme</w:t>
      </w:r>
      <w:r w:rsidR="00B21854" w:rsidRPr="00502F00">
        <w:rPr>
          <w:rFonts w:ascii="Times" w:hAnsi="Times"/>
          <w:color w:val="000000" w:themeColor="text1"/>
        </w:rPr>
        <w:t xml:space="preserve"> guidée par des positionnements éthiques</w:t>
      </w:r>
      <w:r w:rsidRPr="00502F00">
        <w:rPr>
          <w:rFonts w:ascii="Times" w:hAnsi="Times"/>
          <w:color w:val="000000" w:themeColor="text1"/>
        </w:rPr>
        <w:t xml:space="preserve">. On peut en effet analyser la solution de la Cour comme traduisant l’idée selon laquelle dès lors que certains </w:t>
      </w:r>
      <w:r w:rsidR="00B21854" w:rsidRPr="00502F00">
        <w:rPr>
          <w:rFonts w:ascii="Times" w:hAnsi="Times"/>
          <w:color w:val="000000" w:themeColor="text1"/>
        </w:rPr>
        <w:t xml:space="preserve">droits </w:t>
      </w:r>
      <w:r w:rsidR="00B21854" w:rsidRPr="00502F00">
        <w:rPr>
          <w:rFonts w:ascii="Times" w:hAnsi="Times"/>
          <w:i/>
          <w:iCs/>
          <w:color w:val="000000" w:themeColor="text1"/>
        </w:rPr>
        <w:t>semblent</w:t>
      </w:r>
      <w:r w:rsidR="00B21854" w:rsidRPr="00502F00">
        <w:rPr>
          <w:rFonts w:ascii="Times" w:hAnsi="Times"/>
          <w:color w:val="000000" w:themeColor="text1"/>
        </w:rPr>
        <w:t xml:space="preserve"> liés à </w:t>
      </w:r>
      <w:r w:rsidR="00B21854" w:rsidRPr="00502F00">
        <w:rPr>
          <w:rFonts w:ascii="Times" w:hAnsi="Times"/>
          <w:i/>
          <w:iCs/>
          <w:color w:val="000000" w:themeColor="text1"/>
        </w:rPr>
        <w:t>certains aspects</w:t>
      </w:r>
      <w:r w:rsidR="00B21854" w:rsidRPr="00502F00">
        <w:rPr>
          <w:rFonts w:ascii="Times" w:hAnsi="Times"/>
          <w:color w:val="000000" w:themeColor="text1"/>
        </w:rPr>
        <w:t xml:space="preserve"> des mesures requises, la condition est considérée comme remplie</w:t>
      </w:r>
      <w:r w:rsidRPr="00502F00">
        <w:rPr>
          <w:rFonts w:ascii="Times" w:hAnsi="Times"/>
          <w:color w:val="000000" w:themeColor="text1"/>
        </w:rPr>
        <w:t xml:space="preserve"> par la Cour, si cette solution va </w:t>
      </w:r>
      <w:r w:rsidR="00B21854" w:rsidRPr="00502F00">
        <w:rPr>
          <w:rFonts w:ascii="Times" w:hAnsi="Times"/>
          <w:color w:val="000000" w:themeColor="text1"/>
        </w:rPr>
        <w:t>dans le sens de la protection des droits des personnes</w:t>
      </w:r>
      <w:r w:rsidRPr="00502F00">
        <w:rPr>
          <w:rFonts w:ascii="Times" w:hAnsi="Times"/>
          <w:color w:val="000000" w:themeColor="text1"/>
        </w:rPr>
        <w:t xml:space="preserve"> – ce qui est souvent, mais pas toujours, le cas lorsqu’il est question de mesures conservatoires. Plus encore</w:t>
      </w:r>
      <w:r w:rsidR="0036524D" w:rsidRPr="00502F00">
        <w:rPr>
          <w:rFonts w:ascii="Times" w:hAnsi="Times"/>
          <w:color w:val="000000" w:themeColor="text1"/>
        </w:rPr>
        <w:t xml:space="preserve"> et plus simplement</w:t>
      </w:r>
      <w:r w:rsidRPr="00502F00">
        <w:rPr>
          <w:rFonts w:ascii="Times" w:hAnsi="Times"/>
          <w:color w:val="000000" w:themeColor="text1"/>
        </w:rPr>
        <w:t>, il est possible de considérer</w:t>
      </w:r>
      <w:r w:rsidR="0036524D" w:rsidRPr="00502F00">
        <w:rPr>
          <w:rFonts w:ascii="Times" w:hAnsi="Times"/>
          <w:color w:val="000000" w:themeColor="text1"/>
        </w:rPr>
        <w:t xml:space="preserve"> </w:t>
      </w:r>
      <w:r w:rsidRPr="00502F00">
        <w:rPr>
          <w:rFonts w:ascii="Times" w:hAnsi="Times"/>
          <w:color w:val="000000" w:themeColor="text1"/>
        </w:rPr>
        <w:t xml:space="preserve">que la Cour </w:t>
      </w:r>
      <w:r w:rsidR="00276BF7" w:rsidRPr="00502F00">
        <w:rPr>
          <w:rFonts w:ascii="Times" w:hAnsi="Times"/>
          <w:color w:val="000000" w:themeColor="text1"/>
        </w:rPr>
        <w:t xml:space="preserve">a </w:t>
      </w:r>
      <w:r w:rsidRPr="00502F00">
        <w:rPr>
          <w:rFonts w:ascii="Times" w:hAnsi="Times"/>
          <w:color w:val="000000" w:themeColor="text1"/>
        </w:rPr>
        <w:t>assoupli</w:t>
      </w:r>
      <w:r w:rsidR="00276BF7" w:rsidRPr="00502F00">
        <w:rPr>
          <w:rFonts w:ascii="Times" w:hAnsi="Times"/>
          <w:color w:val="000000" w:themeColor="text1"/>
        </w:rPr>
        <w:t xml:space="preserve"> </w:t>
      </w:r>
      <w:r w:rsidR="0036524D" w:rsidRPr="00502F00">
        <w:rPr>
          <w:rFonts w:ascii="Times" w:hAnsi="Times"/>
          <w:color w:val="000000" w:themeColor="text1"/>
        </w:rPr>
        <w:t>ce</w:t>
      </w:r>
      <w:r w:rsidRPr="00502F00">
        <w:rPr>
          <w:rFonts w:ascii="Times" w:hAnsi="Times"/>
          <w:color w:val="000000" w:themeColor="text1"/>
        </w:rPr>
        <w:t xml:space="preserve"> critère</w:t>
      </w:r>
      <w:r w:rsidR="00276BF7" w:rsidRPr="00502F00">
        <w:rPr>
          <w:rFonts w:ascii="Times" w:hAnsi="Times"/>
          <w:color w:val="000000" w:themeColor="text1"/>
        </w:rPr>
        <w:t xml:space="preserve"> – au-delà de cette affaire puisque l’ordonnance </w:t>
      </w:r>
      <w:r w:rsidR="00276BF7" w:rsidRPr="00502F00">
        <w:rPr>
          <w:rFonts w:ascii="Times" w:hAnsi="Times"/>
          <w:i/>
          <w:iCs/>
          <w:color w:val="000000" w:themeColor="text1"/>
        </w:rPr>
        <w:t>Gambie c. Myanmar</w:t>
      </w:r>
      <w:r w:rsidRPr="00502F00">
        <w:rPr>
          <w:rFonts w:ascii="Times" w:hAnsi="Times"/>
          <w:color w:val="000000" w:themeColor="text1"/>
        </w:rPr>
        <w:t xml:space="preserve"> </w:t>
      </w:r>
      <w:r w:rsidR="00276BF7" w:rsidRPr="00502F00">
        <w:rPr>
          <w:rFonts w:ascii="Times" w:hAnsi="Times"/>
          <w:color w:val="000000" w:themeColor="text1"/>
        </w:rPr>
        <w:t>confirme cette tendance</w:t>
      </w:r>
      <w:bookmarkStart w:id="4" w:name="_Ref91803245"/>
      <w:r w:rsidR="00276BF7" w:rsidRPr="00502F00">
        <w:rPr>
          <w:rStyle w:val="Appelnotedebasdep"/>
          <w:rFonts w:ascii="Times" w:hAnsi="Times"/>
          <w:color w:val="000000" w:themeColor="text1"/>
        </w:rPr>
        <w:footnoteReference w:id="25"/>
      </w:r>
      <w:bookmarkEnd w:id="4"/>
      <w:r w:rsidR="00276BF7" w:rsidRPr="00502F00">
        <w:rPr>
          <w:rFonts w:ascii="Times" w:hAnsi="Times"/>
          <w:color w:val="000000" w:themeColor="text1"/>
        </w:rPr>
        <w:t xml:space="preserve"> – </w:t>
      </w:r>
      <w:r w:rsidRPr="00502F00">
        <w:rPr>
          <w:rFonts w:ascii="Times" w:hAnsi="Times"/>
          <w:color w:val="000000" w:themeColor="text1"/>
        </w:rPr>
        <w:t>car ce</w:t>
      </w:r>
      <w:r w:rsidR="0036524D" w:rsidRPr="00502F00">
        <w:rPr>
          <w:rFonts w:ascii="Times" w:hAnsi="Times"/>
          <w:color w:val="000000" w:themeColor="text1"/>
        </w:rPr>
        <w:t xml:space="preserve">tte position </w:t>
      </w:r>
      <w:r w:rsidRPr="00502F00">
        <w:rPr>
          <w:rFonts w:ascii="Times" w:hAnsi="Times"/>
          <w:color w:val="000000" w:themeColor="text1"/>
        </w:rPr>
        <w:t xml:space="preserve">correspond à </w:t>
      </w:r>
      <w:r w:rsidR="00B21854" w:rsidRPr="00502F00">
        <w:rPr>
          <w:rFonts w:ascii="Times" w:hAnsi="Times"/>
          <w:color w:val="000000" w:themeColor="text1"/>
        </w:rPr>
        <w:t>ce qui est attendu, aujourd’hui</w:t>
      </w:r>
      <w:r w:rsidR="0036524D" w:rsidRPr="00502F00">
        <w:rPr>
          <w:rFonts w:ascii="Times" w:hAnsi="Times"/>
          <w:color w:val="000000" w:themeColor="text1"/>
        </w:rPr>
        <w:t xml:space="preserve"> et dans un contexte d’humanisation du droit international</w:t>
      </w:r>
      <w:bookmarkStart w:id="5" w:name="_Ref91807061"/>
      <w:r w:rsidR="0036524D" w:rsidRPr="00502F00">
        <w:rPr>
          <w:rStyle w:val="Appelnotedebasdep"/>
          <w:rFonts w:ascii="Times" w:hAnsi="Times"/>
          <w:color w:val="000000" w:themeColor="text1"/>
        </w:rPr>
        <w:footnoteReference w:id="26"/>
      </w:r>
      <w:bookmarkEnd w:id="5"/>
      <w:r w:rsidR="00B21854" w:rsidRPr="00502F00">
        <w:rPr>
          <w:rFonts w:ascii="Times" w:hAnsi="Times"/>
          <w:color w:val="000000" w:themeColor="text1"/>
        </w:rPr>
        <w:t>, d’une juridiction internationale – sans préjudice du raisonnement juridique déployé pour y parvenir</w:t>
      </w:r>
      <w:r w:rsidR="008133A8">
        <w:rPr>
          <w:rFonts w:ascii="Times" w:hAnsi="Times"/>
          <w:color w:val="000000" w:themeColor="text1"/>
        </w:rPr>
        <w:t>. Te</w:t>
      </w:r>
      <w:r w:rsidRPr="00502F00">
        <w:rPr>
          <w:rFonts w:ascii="Times" w:hAnsi="Times"/>
          <w:color w:val="000000" w:themeColor="text1"/>
        </w:rPr>
        <w:t>lle est</w:t>
      </w:r>
      <w:r w:rsidR="008133A8">
        <w:rPr>
          <w:rFonts w:ascii="Times" w:hAnsi="Times"/>
          <w:color w:val="000000" w:themeColor="text1"/>
        </w:rPr>
        <w:t>,</w:t>
      </w:r>
      <w:r w:rsidRPr="00502F00">
        <w:rPr>
          <w:rFonts w:ascii="Times" w:hAnsi="Times"/>
          <w:color w:val="000000" w:themeColor="text1"/>
        </w:rPr>
        <w:t xml:space="preserve"> justement</w:t>
      </w:r>
      <w:r w:rsidR="008133A8">
        <w:rPr>
          <w:rFonts w:ascii="Times" w:hAnsi="Times"/>
          <w:color w:val="000000" w:themeColor="text1"/>
        </w:rPr>
        <w:t>,</w:t>
      </w:r>
      <w:r w:rsidRPr="00502F00">
        <w:rPr>
          <w:rFonts w:ascii="Times" w:hAnsi="Times"/>
          <w:color w:val="000000" w:themeColor="text1"/>
        </w:rPr>
        <w:t xml:space="preserve"> la définition d’un comportement éthique.</w:t>
      </w:r>
    </w:p>
    <w:p w14:paraId="0AD4457D" w14:textId="0C7A8B47" w:rsidR="007358F5" w:rsidRPr="00502F00" w:rsidRDefault="007358F5" w:rsidP="00DD6F7C">
      <w:pPr>
        <w:rPr>
          <w:rFonts w:ascii="Times" w:hAnsi="Times"/>
          <w:color w:val="000000" w:themeColor="text1"/>
        </w:rPr>
      </w:pPr>
    </w:p>
    <w:p w14:paraId="543DE57A" w14:textId="56E58420" w:rsidR="007358F5" w:rsidRPr="00502F00" w:rsidRDefault="007358F5" w:rsidP="007358F5">
      <w:pPr>
        <w:ind w:firstLine="708"/>
        <w:rPr>
          <w:rFonts w:ascii="Times" w:hAnsi="Times"/>
          <w:b/>
          <w:bCs/>
          <w:color w:val="000000" w:themeColor="text1"/>
        </w:rPr>
      </w:pPr>
      <w:r w:rsidRPr="00502F00">
        <w:rPr>
          <w:rFonts w:ascii="Times" w:hAnsi="Times"/>
          <w:b/>
          <w:bCs/>
          <w:color w:val="000000" w:themeColor="text1"/>
        </w:rPr>
        <w:lastRenderedPageBreak/>
        <w:t xml:space="preserve">B. </w:t>
      </w:r>
      <w:r w:rsidR="00B21854" w:rsidRPr="00502F00">
        <w:rPr>
          <w:rFonts w:ascii="Times" w:hAnsi="Times"/>
          <w:b/>
          <w:bCs/>
          <w:color w:val="000000" w:themeColor="text1"/>
        </w:rPr>
        <w:t>L’assouplissement du critère du risque imminent de préjudice irréparable</w:t>
      </w:r>
    </w:p>
    <w:p w14:paraId="21CBA223" w14:textId="77777777" w:rsidR="002A2484" w:rsidRPr="00502F00" w:rsidRDefault="002A2484" w:rsidP="002A2484">
      <w:pPr>
        <w:rPr>
          <w:rFonts w:ascii="Times" w:hAnsi="Times"/>
          <w:color w:val="000000" w:themeColor="text1"/>
        </w:rPr>
      </w:pPr>
    </w:p>
    <w:p w14:paraId="1176BFC2" w14:textId="49F0AF10" w:rsidR="005E73EF" w:rsidRPr="00502F00" w:rsidRDefault="005E73EF" w:rsidP="002A2484">
      <w:pPr>
        <w:jc w:val="both"/>
        <w:rPr>
          <w:rFonts w:ascii="Times" w:hAnsi="Times"/>
          <w:color w:val="000000" w:themeColor="text1"/>
        </w:rPr>
      </w:pPr>
      <w:r w:rsidRPr="00502F00">
        <w:rPr>
          <w:rFonts w:ascii="Times" w:hAnsi="Times"/>
          <w:color w:val="000000" w:themeColor="text1"/>
        </w:rPr>
        <w:t xml:space="preserve">L’assouplissement, que l’on propose ici d’étudier en tant qu’il révèle un positionnement éthique, concerne, peut-être de manière plus évidente encore, un autre critère d’indication des mesures conservatoires – lesquelles se caractérisent toujours, au stade de </w:t>
      </w:r>
      <w:r w:rsidR="008133A8">
        <w:rPr>
          <w:rFonts w:ascii="Times" w:hAnsi="Times"/>
          <w:color w:val="000000" w:themeColor="text1"/>
        </w:rPr>
        <w:t>leur</w:t>
      </w:r>
      <w:r w:rsidRPr="00502F00">
        <w:rPr>
          <w:rFonts w:ascii="Times" w:hAnsi="Times"/>
          <w:color w:val="000000" w:themeColor="text1"/>
        </w:rPr>
        <w:t xml:space="preserve"> examen, par l’incertitude procédurale que leur demande génère.</w:t>
      </w:r>
      <w:r w:rsidR="002A2484" w:rsidRPr="00502F00">
        <w:rPr>
          <w:rFonts w:ascii="Times" w:hAnsi="Times"/>
          <w:color w:val="000000" w:themeColor="text1"/>
        </w:rPr>
        <w:t xml:space="preserve"> </w:t>
      </w:r>
      <w:r w:rsidRPr="00502F00">
        <w:rPr>
          <w:rFonts w:ascii="Times" w:hAnsi="Times"/>
          <w:color w:val="000000" w:themeColor="text1"/>
        </w:rPr>
        <w:t xml:space="preserve">Aux termes de la jurisprudence de la Cour, les mesures </w:t>
      </w:r>
      <w:r w:rsidR="002A2484" w:rsidRPr="00502F00">
        <w:rPr>
          <w:rFonts w:ascii="Times" w:hAnsi="Times"/>
          <w:color w:val="000000" w:themeColor="text1"/>
        </w:rPr>
        <w:t>conservatoires ne sont « justifiées que s’il y a urgence, c’est-à-dire s’il est probable qu’une action préjudiciable aux droits de l’une ou de l’autre Partie sera commise avant qu’un […] arrêt définitif ne soit rendu »</w:t>
      </w:r>
      <w:r w:rsidR="002A2484" w:rsidRPr="00502F00">
        <w:rPr>
          <w:rStyle w:val="Appelnotedebasdep"/>
          <w:rFonts w:ascii="Times" w:hAnsi="Times"/>
          <w:color w:val="000000" w:themeColor="text1"/>
        </w:rPr>
        <w:t xml:space="preserve"> </w:t>
      </w:r>
      <w:r w:rsidR="002A2484" w:rsidRPr="00502F00">
        <w:rPr>
          <w:rStyle w:val="Appelnotedebasdep"/>
          <w:rFonts w:ascii="Times" w:hAnsi="Times"/>
          <w:color w:val="000000" w:themeColor="text1"/>
        </w:rPr>
        <w:footnoteReference w:id="27"/>
      </w:r>
      <w:r w:rsidR="002A2484" w:rsidRPr="00502F00">
        <w:rPr>
          <w:rFonts w:ascii="Times" w:hAnsi="Times"/>
          <w:color w:val="000000" w:themeColor="text1"/>
        </w:rPr>
        <w:t xml:space="preserve">. </w:t>
      </w:r>
      <w:r w:rsidR="000F620E" w:rsidRPr="00502F00">
        <w:rPr>
          <w:rFonts w:ascii="Times" w:hAnsi="Times"/>
          <w:color w:val="000000" w:themeColor="text1"/>
        </w:rPr>
        <w:t xml:space="preserve">Une fois que la Cour a admis sa compétence </w:t>
      </w:r>
      <w:r w:rsidR="000F620E" w:rsidRPr="00502F00">
        <w:rPr>
          <w:rFonts w:ascii="Times" w:hAnsi="Times"/>
          <w:i/>
          <w:iCs/>
          <w:color w:val="000000" w:themeColor="text1"/>
        </w:rPr>
        <w:t xml:space="preserve">prima </w:t>
      </w:r>
      <w:proofErr w:type="spellStart"/>
      <w:r w:rsidR="000F620E" w:rsidRPr="00502F00">
        <w:rPr>
          <w:rFonts w:ascii="Times" w:hAnsi="Times"/>
          <w:i/>
          <w:iCs/>
          <w:color w:val="000000" w:themeColor="text1"/>
        </w:rPr>
        <w:t>facie</w:t>
      </w:r>
      <w:proofErr w:type="spellEnd"/>
      <w:r w:rsidR="000F620E" w:rsidRPr="00502F00">
        <w:rPr>
          <w:rFonts w:ascii="Times" w:hAnsi="Times"/>
          <w:color w:val="000000" w:themeColor="text1"/>
        </w:rPr>
        <w:t xml:space="preserve"> et identifié des droits plausibles en lien avec les mesures demandées, elle recherche donc « </w:t>
      </w:r>
      <w:r w:rsidR="000F620E" w:rsidRPr="00502F00">
        <w:rPr>
          <w:rFonts w:ascii="Times" w:hAnsi="Times"/>
          <w:color w:val="000000" w:themeColor="text1"/>
        </w:rPr>
        <w:t>si un préjudice irréparable pourrait être causé à ces droits et s’il y a urgence, c’est-à-dire s’il existe un risque réel et imminent qu’un tel préjudice leur soit causé avant qu’elle ne rende sa décision définitive</w:t>
      </w:r>
      <w:r w:rsidR="000F620E" w:rsidRPr="00502F00">
        <w:rPr>
          <w:rFonts w:ascii="Times" w:hAnsi="Times"/>
          <w:color w:val="000000" w:themeColor="text1"/>
        </w:rPr>
        <w:t> »</w:t>
      </w:r>
      <w:bookmarkStart w:id="6" w:name="_Ref91803710"/>
      <w:r w:rsidR="000F620E" w:rsidRPr="00502F00">
        <w:rPr>
          <w:rStyle w:val="Appelnotedebasdep"/>
          <w:rFonts w:ascii="Times" w:hAnsi="Times"/>
          <w:color w:val="000000" w:themeColor="text1"/>
        </w:rPr>
        <w:footnoteReference w:id="28"/>
      </w:r>
      <w:bookmarkEnd w:id="6"/>
      <w:r w:rsidR="000F620E" w:rsidRPr="00502F00">
        <w:rPr>
          <w:rFonts w:ascii="Times" w:hAnsi="Times"/>
          <w:color w:val="000000" w:themeColor="text1"/>
        </w:rPr>
        <w:t>.</w:t>
      </w:r>
    </w:p>
    <w:p w14:paraId="1219A4F1" w14:textId="77777777" w:rsidR="005E73EF" w:rsidRPr="00502F00" w:rsidRDefault="005E73EF" w:rsidP="002A2484">
      <w:pPr>
        <w:jc w:val="both"/>
        <w:rPr>
          <w:rFonts w:ascii="Times" w:hAnsi="Times"/>
          <w:color w:val="000000" w:themeColor="text1"/>
        </w:rPr>
      </w:pPr>
    </w:p>
    <w:p w14:paraId="72EA4C6A" w14:textId="684D7173" w:rsidR="00FC6A7C" w:rsidRPr="00502F00" w:rsidRDefault="000F620E" w:rsidP="002A2484">
      <w:pPr>
        <w:jc w:val="both"/>
        <w:rPr>
          <w:rFonts w:ascii="Times" w:hAnsi="Times"/>
          <w:color w:val="000000" w:themeColor="text1"/>
        </w:rPr>
      </w:pPr>
      <w:r w:rsidRPr="00502F00">
        <w:rPr>
          <w:rFonts w:ascii="Times" w:hAnsi="Times"/>
          <w:color w:val="000000" w:themeColor="text1"/>
        </w:rPr>
        <w:t>D</w:t>
      </w:r>
      <w:r w:rsidR="002A2484" w:rsidRPr="00502F00">
        <w:rPr>
          <w:rFonts w:ascii="Times" w:hAnsi="Times"/>
          <w:color w:val="000000" w:themeColor="text1"/>
        </w:rPr>
        <w:t xml:space="preserve">ans l’affaire </w:t>
      </w:r>
      <w:r w:rsidR="002A2484" w:rsidRPr="00502F00">
        <w:rPr>
          <w:rFonts w:ascii="Times" w:hAnsi="Times"/>
          <w:i/>
          <w:color w:val="000000" w:themeColor="text1"/>
        </w:rPr>
        <w:t>Qatar c. Émirats</w:t>
      </w:r>
      <w:r w:rsidRPr="00502F00">
        <w:rPr>
          <w:rFonts w:ascii="Times" w:hAnsi="Times"/>
          <w:color w:val="000000" w:themeColor="text1"/>
        </w:rPr>
        <w:t xml:space="preserve">, la Cour </w:t>
      </w:r>
      <w:r w:rsidR="005E73EF" w:rsidRPr="00502F00">
        <w:rPr>
          <w:rFonts w:ascii="Times" w:hAnsi="Times"/>
          <w:color w:val="000000" w:themeColor="text1"/>
        </w:rPr>
        <w:t xml:space="preserve">s’appuie </w:t>
      </w:r>
      <w:r w:rsidR="002A2484" w:rsidRPr="00502F00">
        <w:rPr>
          <w:rFonts w:ascii="Times" w:hAnsi="Times"/>
          <w:color w:val="000000" w:themeColor="text1"/>
        </w:rPr>
        <w:t>bien plus</w:t>
      </w:r>
      <w:r w:rsidR="005E73EF" w:rsidRPr="00502F00">
        <w:rPr>
          <w:rFonts w:ascii="Times" w:hAnsi="Times"/>
          <w:color w:val="000000" w:themeColor="text1"/>
        </w:rPr>
        <w:t>, pour indiquer les mesures,</w:t>
      </w:r>
      <w:r w:rsidR="002A2484" w:rsidRPr="00502F00">
        <w:rPr>
          <w:rFonts w:ascii="Times" w:hAnsi="Times"/>
          <w:color w:val="000000" w:themeColor="text1"/>
        </w:rPr>
        <w:t xml:space="preserve"> sur les circonstances</w:t>
      </w:r>
      <w:r w:rsidR="00FC6A7C" w:rsidRPr="00502F00">
        <w:rPr>
          <w:rFonts w:ascii="Times" w:hAnsi="Times"/>
          <w:color w:val="000000" w:themeColor="text1"/>
        </w:rPr>
        <w:t xml:space="preserve"> générales</w:t>
      </w:r>
      <w:r w:rsidR="005E73EF" w:rsidRPr="00502F00">
        <w:rPr>
          <w:rFonts w:ascii="Times" w:hAnsi="Times"/>
          <w:color w:val="000000" w:themeColor="text1"/>
        </w:rPr>
        <w:t xml:space="preserve"> </w:t>
      </w:r>
      <w:r w:rsidR="008133A8">
        <w:rPr>
          <w:rFonts w:ascii="Times" w:hAnsi="Times"/>
          <w:color w:val="000000" w:themeColor="text1"/>
        </w:rPr>
        <w:t>entourant les</w:t>
      </w:r>
      <w:r w:rsidR="005E73EF" w:rsidRPr="00502F00">
        <w:rPr>
          <w:rFonts w:ascii="Times" w:hAnsi="Times"/>
          <w:color w:val="000000" w:themeColor="text1"/>
        </w:rPr>
        <w:t xml:space="preserve"> demandes</w:t>
      </w:r>
      <w:r w:rsidR="002A2484" w:rsidRPr="00502F00">
        <w:rPr>
          <w:rFonts w:ascii="Times" w:hAnsi="Times"/>
          <w:color w:val="000000" w:themeColor="text1"/>
        </w:rPr>
        <w:t xml:space="preserve"> que sur des données objectives et juridiques, ce qui </w:t>
      </w:r>
      <w:r w:rsidR="005E73EF" w:rsidRPr="00502F00">
        <w:rPr>
          <w:rFonts w:ascii="Times" w:hAnsi="Times"/>
          <w:color w:val="000000" w:themeColor="text1"/>
        </w:rPr>
        <w:t>tend à confirmer</w:t>
      </w:r>
      <w:r w:rsidR="002A2484" w:rsidRPr="00502F00">
        <w:rPr>
          <w:rFonts w:ascii="Times" w:hAnsi="Times"/>
          <w:color w:val="000000" w:themeColor="text1"/>
        </w:rPr>
        <w:t xml:space="preserve"> qu’une réflexion éthique </w:t>
      </w:r>
      <w:r w:rsidR="005E73EF" w:rsidRPr="00502F00">
        <w:rPr>
          <w:rFonts w:ascii="Times" w:hAnsi="Times"/>
          <w:color w:val="000000" w:themeColor="text1"/>
        </w:rPr>
        <w:t xml:space="preserve">– </w:t>
      </w:r>
      <w:r w:rsidR="005E73EF" w:rsidRPr="00502F00">
        <w:rPr>
          <w:rFonts w:ascii="Times" w:hAnsi="Times"/>
          <w:i/>
          <w:iCs/>
          <w:color w:val="000000" w:themeColor="text1"/>
        </w:rPr>
        <w:t xml:space="preserve">i.e. </w:t>
      </w:r>
      <w:r w:rsidR="002A2484" w:rsidRPr="00502F00">
        <w:rPr>
          <w:rFonts w:ascii="Times" w:hAnsi="Times"/>
          <w:color w:val="000000" w:themeColor="text1"/>
        </w:rPr>
        <w:t>ce qui est jugé bon à un certain moment et en un certain lieu</w:t>
      </w:r>
      <w:r w:rsidR="005E73EF" w:rsidRPr="00502F00">
        <w:rPr>
          <w:rFonts w:ascii="Times" w:hAnsi="Times"/>
          <w:color w:val="000000" w:themeColor="text1"/>
        </w:rPr>
        <w:t xml:space="preserve"> – </w:t>
      </w:r>
      <w:r w:rsidR="002A2484" w:rsidRPr="00502F00">
        <w:rPr>
          <w:rFonts w:ascii="Times" w:hAnsi="Times"/>
          <w:color w:val="000000" w:themeColor="text1"/>
        </w:rPr>
        <w:t>y a présidé</w:t>
      </w:r>
      <w:r w:rsidR="005E73EF" w:rsidRPr="00502F00">
        <w:rPr>
          <w:rFonts w:ascii="Times" w:hAnsi="Times"/>
          <w:color w:val="000000" w:themeColor="text1"/>
        </w:rPr>
        <w:t xml:space="preserve">. Elle juge </w:t>
      </w:r>
      <w:r w:rsidR="008133A8">
        <w:rPr>
          <w:rFonts w:ascii="Times" w:hAnsi="Times"/>
          <w:color w:val="000000" w:themeColor="text1"/>
        </w:rPr>
        <w:t>ainsi</w:t>
      </w:r>
      <w:r w:rsidR="005E73EF" w:rsidRPr="00502F00">
        <w:rPr>
          <w:rFonts w:ascii="Times" w:hAnsi="Times"/>
          <w:color w:val="000000" w:themeColor="text1"/>
        </w:rPr>
        <w:t xml:space="preserve"> qu’un </w:t>
      </w:r>
      <w:r w:rsidR="002A2484" w:rsidRPr="00502F00">
        <w:rPr>
          <w:rFonts w:ascii="Times" w:hAnsi="Times"/>
          <w:color w:val="000000" w:themeColor="text1"/>
        </w:rPr>
        <w:t xml:space="preserve">préjudice peut être considéré comme irréparable </w:t>
      </w:r>
      <w:r w:rsidR="005E73EF" w:rsidRPr="00502F00">
        <w:rPr>
          <w:rFonts w:ascii="Times" w:hAnsi="Times"/>
          <w:color w:val="000000" w:themeColor="text1"/>
        </w:rPr>
        <w:t>« </w:t>
      </w:r>
      <w:r w:rsidR="002A2484" w:rsidRPr="00502F00">
        <w:rPr>
          <w:rFonts w:ascii="Times" w:hAnsi="Times"/>
          <w:color w:val="000000" w:themeColor="text1"/>
        </w:rPr>
        <w:t>lorsqu’il touche des personnes séparées de leur famille, de manière temporaire ou potentiellement continue, qui, de ce fait, endurent une souffrance psychologique ; lorsqu’il touche des élèves ou étudiants qui sont empêchés de se présenter à des examens parce qu’ils ont été obligés de partir ou qui ne peuvent poursuivre leurs études parce que les écoles ou universités refusent de leur communiquer leur dossier scolaire ou universitaire ; et lorsqu’il touche des personnes qui sont empêchées de comparaître dans le cadre d’une procédure ou de contester toute mesure qu’elles jugent discriminatoire »</w:t>
      </w:r>
      <w:r w:rsidR="002A2484" w:rsidRPr="00502F00">
        <w:rPr>
          <w:rStyle w:val="Appelnotedebasdep"/>
          <w:rFonts w:ascii="Times" w:hAnsi="Times"/>
          <w:color w:val="000000" w:themeColor="text1"/>
        </w:rPr>
        <w:footnoteReference w:id="29"/>
      </w:r>
      <w:r w:rsidR="002A2484" w:rsidRPr="00502F00">
        <w:rPr>
          <w:rFonts w:ascii="Times" w:hAnsi="Times"/>
          <w:color w:val="000000" w:themeColor="text1"/>
        </w:rPr>
        <w:t>.</w:t>
      </w:r>
      <w:r w:rsidR="00FC6A7C" w:rsidRPr="00502F00">
        <w:rPr>
          <w:rFonts w:ascii="Times" w:hAnsi="Times"/>
          <w:color w:val="000000" w:themeColor="text1"/>
        </w:rPr>
        <w:t xml:space="preserve"> Le contraste </w:t>
      </w:r>
      <w:r w:rsidR="002A2484" w:rsidRPr="00502F00">
        <w:rPr>
          <w:rFonts w:ascii="Times" w:hAnsi="Times"/>
          <w:color w:val="000000" w:themeColor="text1"/>
        </w:rPr>
        <w:t>avec certains préjudices considérés comme irréparables dans le passé</w:t>
      </w:r>
      <w:r w:rsidR="00FC6A7C" w:rsidRPr="00502F00">
        <w:rPr>
          <w:rFonts w:ascii="Times" w:hAnsi="Times"/>
          <w:color w:val="000000" w:themeColor="text1"/>
        </w:rPr>
        <w:t>, comme une exécution programmée</w:t>
      </w:r>
      <w:r w:rsidR="00FC6A7C" w:rsidRPr="00502F00">
        <w:rPr>
          <w:rStyle w:val="Appelnotedebasdep"/>
          <w:rFonts w:ascii="Times" w:hAnsi="Times"/>
          <w:color w:val="000000" w:themeColor="text1"/>
        </w:rPr>
        <w:footnoteReference w:id="30"/>
      </w:r>
      <w:r w:rsidR="00FC6A7C" w:rsidRPr="00502F00">
        <w:rPr>
          <w:rFonts w:ascii="Times" w:hAnsi="Times"/>
          <w:color w:val="000000" w:themeColor="text1"/>
        </w:rPr>
        <w:t>, est manifeste. Alors qu’u</w:t>
      </w:r>
      <w:r w:rsidR="002A2484" w:rsidRPr="00502F00">
        <w:rPr>
          <w:rFonts w:ascii="Times" w:hAnsi="Times"/>
          <w:color w:val="000000" w:themeColor="text1"/>
        </w:rPr>
        <w:t xml:space="preserve">ne exécution </w:t>
      </w:r>
      <w:r w:rsidR="00FC6A7C" w:rsidRPr="00502F00">
        <w:rPr>
          <w:rFonts w:ascii="Times" w:hAnsi="Times"/>
          <w:color w:val="000000" w:themeColor="text1"/>
        </w:rPr>
        <w:t xml:space="preserve">constitue incontestablement un préjudice </w:t>
      </w:r>
      <w:r w:rsidR="002A2484" w:rsidRPr="00502F00">
        <w:rPr>
          <w:rFonts w:ascii="Times" w:hAnsi="Times"/>
          <w:color w:val="000000" w:themeColor="text1"/>
        </w:rPr>
        <w:t>irréparable</w:t>
      </w:r>
      <w:r w:rsidR="00FC6A7C" w:rsidRPr="00502F00">
        <w:rPr>
          <w:rFonts w:ascii="Times" w:hAnsi="Times"/>
          <w:color w:val="000000" w:themeColor="text1"/>
        </w:rPr>
        <w:t>,</w:t>
      </w:r>
      <w:r w:rsidR="002A2484" w:rsidRPr="00502F00">
        <w:rPr>
          <w:rFonts w:ascii="Times" w:hAnsi="Times"/>
          <w:color w:val="000000" w:themeColor="text1"/>
        </w:rPr>
        <w:t xml:space="preserve"> la souffrance psychologique d’avoir été temporairement séparé de sa famille</w:t>
      </w:r>
      <w:r w:rsidR="00FC6A7C" w:rsidRPr="00502F00">
        <w:rPr>
          <w:rFonts w:ascii="Times" w:hAnsi="Times"/>
          <w:color w:val="000000" w:themeColor="text1"/>
        </w:rPr>
        <w:t>, bien que</w:t>
      </w:r>
      <w:r w:rsidR="002A2484" w:rsidRPr="00502F00">
        <w:rPr>
          <w:rFonts w:ascii="Times" w:hAnsi="Times"/>
          <w:color w:val="000000" w:themeColor="text1"/>
        </w:rPr>
        <w:t xml:space="preserve"> difficilement réparable</w:t>
      </w:r>
      <w:r w:rsidR="00FC6A7C" w:rsidRPr="00502F00">
        <w:rPr>
          <w:rFonts w:ascii="Times" w:hAnsi="Times"/>
          <w:color w:val="000000" w:themeColor="text1"/>
        </w:rPr>
        <w:t>, ne peut être appréhendé</w:t>
      </w:r>
      <w:r w:rsidR="008133A8">
        <w:rPr>
          <w:rFonts w:ascii="Times" w:hAnsi="Times"/>
          <w:color w:val="000000" w:themeColor="text1"/>
        </w:rPr>
        <w:t>e</w:t>
      </w:r>
      <w:r w:rsidR="00FC6A7C" w:rsidRPr="00502F00">
        <w:rPr>
          <w:rFonts w:ascii="Times" w:hAnsi="Times"/>
          <w:color w:val="000000" w:themeColor="text1"/>
        </w:rPr>
        <w:t xml:space="preserve"> de la même manière. </w:t>
      </w:r>
      <w:r w:rsidR="002A2484" w:rsidRPr="00502F00">
        <w:rPr>
          <w:rFonts w:ascii="Times" w:hAnsi="Times"/>
          <w:color w:val="000000" w:themeColor="text1"/>
        </w:rPr>
        <w:t xml:space="preserve">Ce contraste indique une souplesse </w:t>
      </w:r>
      <w:r w:rsidR="00FC6A7C" w:rsidRPr="00502F00">
        <w:rPr>
          <w:rFonts w:ascii="Times" w:hAnsi="Times"/>
          <w:color w:val="000000" w:themeColor="text1"/>
        </w:rPr>
        <w:t>elle aussi relativement</w:t>
      </w:r>
      <w:r w:rsidR="002A2484" w:rsidRPr="00502F00">
        <w:rPr>
          <w:rFonts w:ascii="Times" w:hAnsi="Times"/>
          <w:color w:val="000000" w:themeColor="text1"/>
        </w:rPr>
        <w:t xml:space="preserve"> nouvelle</w:t>
      </w:r>
      <w:r w:rsidR="00FC6A7C" w:rsidRPr="00502F00">
        <w:rPr>
          <w:rFonts w:ascii="Times" w:hAnsi="Times"/>
          <w:color w:val="000000" w:themeColor="text1"/>
        </w:rPr>
        <w:t>, bien qu’issue d’une évolution continue,</w:t>
      </w:r>
      <w:r w:rsidR="002A2484" w:rsidRPr="00502F00">
        <w:rPr>
          <w:rFonts w:ascii="Times" w:hAnsi="Times"/>
          <w:color w:val="000000" w:themeColor="text1"/>
        </w:rPr>
        <w:t xml:space="preserve"> dans l’appréciation du caractère irréparable du préjudice</w:t>
      </w:r>
      <w:r w:rsidR="00FC6A7C" w:rsidRPr="00502F00">
        <w:rPr>
          <w:rFonts w:ascii="Times" w:hAnsi="Times"/>
          <w:color w:val="000000" w:themeColor="text1"/>
        </w:rPr>
        <w:t xml:space="preserve"> invoqué à l’appui d’une demande en indication de mesures conservatoires. </w:t>
      </w:r>
    </w:p>
    <w:p w14:paraId="21FCAF37" w14:textId="77777777" w:rsidR="00FC6A7C" w:rsidRPr="00502F00" w:rsidRDefault="00FC6A7C" w:rsidP="002A2484">
      <w:pPr>
        <w:jc w:val="both"/>
        <w:rPr>
          <w:rFonts w:ascii="Times" w:hAnsi="Times"/>
          <w:color w:val="000000" w:themeColor="text1"/>
        </w:rPr>
      </w:pPr>
    </w:p>
    <w:p w14:paraId="6B0ED54A" w14:textId="269C64BC" w:rsidR="000F620E" w:rsidRPr="00502F00" w:rsidRDefault="00FC6A7C" w:rsidP="002A2484">
      <w:pPr>
        <w:jc w:val="both"/>
        <w:rPr>
          <w:rFonts w:ascii="Times" w:hAnsi="Times"/>
          <w:color w:val="000000" w:themeColor="text1"/>
        </w:rPr>
      </w:pPr>
      <w:r w:rsidRPr="00502F00">
        <w:rPr>
          <w:rFonts w:ascii="Times" w:hAnsi="Times"/>
          <w:color w:val="000000" w:themeColor="text1"/>
        </w:rPr>
        <w:t xml:space="preserve">Au demeurant dans cette affaire – dont il faut rappeler qu’elle a conduit la Cour </w:t>
      </w:r>
      <w:r w:rsidR="008133A8">
        <w:rPr>
          <w:rFonts w:ascii="Times" w:hAnsi="Times"/>
          <w:color w:val="000000" w:themeColor="text1"/>
        </w:rPr>
        <w:t>à</w:t>
      </w:r>
      <w:r w:rsidRPr="00502F00">
        <w:rPr>
          <w:rFonts w:ascii="Times" w:hAnsi="Times"/>
          <w:color w:val="000000" w:themeColor="text1"/>
        </w:rPr>
        <w:t xml:space="preserve"> retenir la première exception préliminaire des Émirats arabes unis au stade procédural ultérieur – </w:t>
      </w:r>
      <w:r w:rsidR="002A2484" w:rsidRPr="00502F00">
        <w:rPr>
          <w:rFonts w:ascii="Times" w:hAnsi="Times"/>
          <w:color w:val="000000" w:themeColor="text1"/>
        </w:rPr>
        <w:t xml:space="preserve">les violations alléguées </w:t>
      </w:r>
      <w:r w:rsidRPr="00502F00">
        <w:rPr>
          <w:rFonts w:ascii="Times" w:hAnsi="Times"/>
          <w:color w:val="000000" w:themeColor="text1"/>
        </w:rPr>
        <w:t>s’avèrent</w:t>
      </w:r>
      <w:r w:rsidR="002A2484" w:rsidRPr="00502F00">
        <w:rPr>
          <w:rFonts w:ascii="Times" w:hAnsi="Times"/>
          <w:color w:val="000000" w:themeColor="text1"/>
        </w:rPr>
        <w:t xml:space="preserve"> introuvables</w:t>
      </w:r>
      <w:r w:rsidRPr="00502F00">
        <w:rPr>
          <w:rFonts w:ascii="Times" w:hAnsi="Times"/>
          <w:color w:val="000000" w:themeColor="text1"/>
        </w:rPr>
        <w:t>. Malgré une absence quasi-totale de preuves</w:t>
      </w:r>
      <w:r w:rsidR="000F620E" w:rsidRPr="00502F00">
        <w:rPr>
          <w:rFonts w:ascii="Times" w:hAnsi="Times"/>
          <w:color w:val="000000" w:themeColor="text1"/>
        </w:rPr>
        <w:t xml:space="preserve"> et la déclaratio</w:t>
      </w:r>
      <w:r w:rsidR="008133A8">
        <w:rPr>
          <w:rFonts w:ascii="Times" w:hAnsi="Times"/>
          <w:color w:val="000000" w:themeColor="text1"/>
        </w:rPr>
        <w:t>n</w:t>
      </w:r>
      <w:r w:rsidR="000F620E" w:rsidRPr="00502F00">
        <w:rPr>
          <w:rFonts w:ascii="Times" w:hAnsi="Times"/>
          <w:color w:val="000000" w:themeColor="text1"/>
        </w:rPr>
        <w:t xml:space="preserve"> des Émirats selon laquelle aucune décision d’expulsion touchant des Qatariens n’avait été prise en application de la loi litigieuse</w:t>
      </w:r>
      <w:r w:rsidRPr="00502F00">
        <w:rPr>
          <w:rFonts w:ascii="Times" w:hAnsi="Times"/>
          <w:color w:val="000000" w:themeColor="text1"/>
        </w:rPr>
        <w:t xml:space="preserve">, la Cour </w:t>
      </w:r>
      <w:r w:rsidR="002A2484" w:rsidRPr="00502F00">
        <w:rPr>
          <w:rFonts w:ascii="Times" w:hAnsi="Times"/>
          <w:color w:val="000000" w:themeColor="text1"/>
        </w:rPr>
        <w:t>relève</w:t>
      </w:r>
      <w:r w:rsidRPr="00502F00">
        <w:rPr>
          <w:rFonts w:ascii="Times" w:hAnsi="Times"/>
          <w:color w:val="000000" w:themeColor="text1"/>
        </w:rPr>
        <w:t xml:space="preserve"> finalement</w:t>
      </w:r>
      <w:r w:rsidR="002A2484" w:rsidRPr="00502F00">
        <w:rPr>
          <w:rFonts w:ascii="Times" w:hAnsi="Times"/>
          <w:color w:val="000000" w:themeColor="text1"/>
        </w:rPr>
        <w:t xml:space="preserve"> « qu’il apparaît, que les Qatariens se sont </w:t>
      </w:r>
      <w:r w:rsidR="002A2484" w:rsidRPr="00502F00">
        <w:rPr>
          <w:rFonts w:ascii="Times" w:hAnsi="Times"/>
          <w:i/>
          <w:color w:val="000000" w:themeColor="text1"/>
        </w:rPr>
        <w:t>sentis obligés de quitter</w:t>
      </w:r>
      <w:r w:rsidR="002A2484" w:rsidRPr="00502F00">
        <w:rPr>
          <w:rFonts w:ascii="Times" w:hAnsi="Times"/>
          <w:color w:val="000000" w:themeColor="text1"/>
        </w:rPr>
        <w:t xml:space="preserve"> les Émirats arabes unis, subissant en </w:t>
      </w:r>
      <w:r w:rsidR="002A2484" w:rsidRPr="00502F00">
        <w:rPr>
          <w:rFonts w:ascii="Times" w:hAnsi="Times"/>
          <w:color w:val="000000" w:themeColor="text1"/>
        </w:rPr>
        <w:lastRenderedPageBreak/>
        <w:t>conséquence les atteintes caractérisées à leurs droits […] »</w:t>
      </w:r>
      <w:r w:rsidR="002A2484" w:rsidRPr="00502F00">
        <w:rPr>
          <w:rStyle w:val="Appelnotedebasdep"/>
          <w:rFonts w:ascii="Times" w:hAnsi="Times"/>
          <w:color w:val="000000" w:themeColor="text1"/>
        </w:rPr>
        <w:footnoteReference w:id="31"/>
      </w:r>
      <w:r w:rsidR="000F620E" w:rsidRPr="00502F00">
        <w:rPr>
          <w:rFonts w:ascii="Times" w:hAnsi="Times"/>
          <w:color w:val="000000" w:themeColor="text1"/>
        </w:rPr>
        <w:t xml:space="preserve"> </w:t>
      </w:r>
      <w:r w:rsidRPr="00502F00">
        <w:rPr>
          <w:rFonts w:ascii="Times" w:hAnsi="Times"/>
          <w:color w:val="000000" w:themeColor="text1"/>
        </w:rPr>
        <w:t>pour conclure</w:t>
      </w:r>
      <w:r w:rsidR="008133A8">
        <w:rPr>
          <w:rFonts w:ascii="Times" w:hAnsi="Times"/>
          <w:color w:val="000000" w:themeColor="text1"/>
        </w:rPr>
        <w:t xml:space="preserve"> sans transition</w:t>
      </w:r>
      <w:r w:rsidR="002A2484" w:rsidRPr="00502F00">
        <w:rPr>
          <w:rFonts w:ascii="Times" w:hAnsi="Times"/>
          <w:color w:val="000000" w:themeColor="text1"/>
        </w:rPr>
        <w:t xml:space="preserve"> qu’il existe un risque imminent que les mesures adoptées par les Émirats </w:t>
      </w:r>
      <w:r w:rsidRPr="00502F00">
        <w:rPr>
          <w:rFonts w:ascii="Times" w:hAnsi="Times"/>
          <w:color w:val="000000" w:themeColor="text1"/>
        </w:rPr>
        <w:t>« </w:t>
      </w:r>
      <w:r w:rsidR="002A2484" w:rsidRPr="00502F00">
        <w:rPr>
          <w:rFonts w:ascii="Times" w:hAnsi="Times"/>
          <w:color w:val="000000" w:themeColor="text1"/>
        </w:rPr>
        <w:t>puissent causer un préjudice irréparable aux droits invoqués par le Qatar »</w:t>
      </w:r>
      <w:r w:rsidR="002A2484" w:rsidRPr="00502F00">
        <w:rPr>
          <w:rStyle w:val="Appelnotedebasdep"/>
          <w:rFonts w:ascii="Times" w:hAnsi="Times"/>
          <w:color w:val="000000" w:themeColor="text1"/>
        </w:rPr>
        <w:footnoteReference w:id="32"/>
      </w:r>
      <w:r w:rsidRPr="00502F00">
        <w:rPr>
          <w:rFonts w:ascii="Times" w:hAnsi="Times"/>
          <w:color w:val="000000" w:themeColor="text1"/>
        </w:rPr>
        <w:t xml:space="preserve">. </w:t>
      </w:r>
      <w:r w:rsidR="000F620E" w:rsidRPr="00502F00">
        <w:rPr>
          <w:rFonts w:ascii="Times" w:hAnsi="Times"/>
          <w:color w:val="000000" w:themeColor="text1"/>
        </w:rPr>
        <w:t>En l’espèce, l’incertitude n’est pas seulement procédurale : elle porte sur l’effet même des mesures prises par les Émirats et leur capacité à causer un préjudice alors mêmes qu’elles ne seraient pas appliquées. Autrement dit, l</w:t>
      </w:r>
      <w:r w:rsidR="002A2484" w:rsidRPr="00502F00">
        <w:rPr>
          <w:rFonts w:ascii="Times" w:hAnsi="Times"/>
          <w:color w:val="000000" w:themeColor="text1"/>
        </w:rPr>
        <w:t>’incertitude est totale et</w:t>
      </w:r>
      <w:r w:rsidR="000F620E" w:rsidRPr="00502F00">
        <w:rPr>
          <w:rFonts w:ascii="Times" w:hAnsi="Times"/>
          <w:color w:val="000000" w:themeColor="text1"/>
        </w:rPr>
        <w:t>,</w:t>
      </w:r>
      <w:r w:rsidR="002A2484" w:rsidRPr="00502F00">
        <w:rPr>
          <w:rFonts w:ascii="Times" w:hAnsi="Times"/>
          <w:color w:val="000000" w:themeColor="text1"/>
        </w:rPr>
        <w:t xml:space="preserve"> pourtant, la Cour assouplit ses critères pour indiquer des mesures conservatoires</w:t>
      </w:r>
      <w:r w:rsidR="000F620E" w:rsidRPr="00502F00">
        <w:rPr>
          <w:rFonts w:ascii="Times" w:hAnsi="Times"/>
          <w:color w:val="000000" w:themeColor="text1"/>
        </w:rPr>
        <w:t>.</w:t>
      </w:r>
    </w:p>
    <w:p w14:paraId="7371321D" w14:textId="77777777" w:rsidR="000F620E" w:rsidRPr="00502F00" w:rsidRDefault="000F620E" w:rsidP="002A2484">
      <w:pPr>
        <w:jc w:val="both"/>
        <w:rPr>
          <w:rFonts w:ascii="Times" w:hAnsi="Times"/>
          <w:color w:val="000000" w:themeColor="text1"/>
        </w:rPr>
      </w:pPr>
    </w:p>
    <w:p w14:paraId="4177E343" w14:textId="25733AAB" w:rsidR="000F620E" w:rsidRPr="00502F00" w:rsidRDefault="000F620E" w:rsidP="002A2484">
      <w:pPr>
        <w:jc w:val="both"/>
        <w:rPr>
          <w:rFonts w:ascii="Times" w:hAnsi="Times"/>
          <w:color w:val="000000" w:themeColor="text1"/>
        </w:rPr>
      </w:pPr>
      <w:r w:rsidRPr="00502F00">
        <w:rPr>
          <w:rFonts w:ascii="Times" w:hAnsi="Times"/>
          <w:color w:val="000000" w:themeColor="text1"/>
        </w:rPr>
        <w:t>Il est ici possible d’identifier une</w:t>
      </w:r>
      <w:r w:rsidR="002A2484" w:rsidRPr="00502F00">
        <w:rPr>
          <w:rFonts w:ascii="Times" w:hAnsi="Times"/>
          <w:color w:val="000000" w:themeColor="text1"/>
        </w:rPr>
        <w:t xml:space="preserve"> politique jurisprudentielle</w:t>
      </w:r>
      <w:r w:rsidRPr="00502F00">
        <w:rPr>
          <w:rFonts w:ascii="Times" w:hAnsi="Times"/>
          <w:color w:val="000000" w:themeColor="text1"/>
        </w:rPr>
        <w:t xml:space="preserve"> tendant à écarter progressivement</w:t>
      </w:r>
      <w:r w:rsidR="002A2484" w:rsidRPr="00502F00">
        <w:rPr>
          <w:rFonts w:ascii="Times" w:hAnsi="Times"/>
          <w:color w:val="000000" w:themeColor="text1"/>
        </w:rPr>
        <w:t xml:space="preserve"> </w:t>
      </w:r>
      <w:r w:rsidRPr="00502F00">
        <w:rPr>
          <w:rFonts w:ascii="Times" w:hAnsi="Times"/>
          <w:color w:val="000000" w:themeColor="text1"/>
        </w:rPr>
        <w:t xml:space="preserve">le critère du risque imminent de préjudice irréparable de l’équation. La jurisprudence postérieure le confirme ; si ce risque est assez évident dans l’affaire </w:t>
      </w:r>
      <w:r w:rsidRPr="00502F00">
        <w:rPr>
          <w:rFonts w:ascii="Times" w:hAnsi="Times"/>
          <w:i/>
          <w:iCs/>
          <w:color w:val="000000" w:themeColor="text1"/>
        </w:rPr>
        <w:t>Gambie c. Myanmar</w:t>
      </w:r>
      <w:r w:rsidRPr="00502F00">
        <w:rPr>
          <w:rStyle w:val="Appelnotedebasdep"/>
          <w:rFonts w:ascii="Times" w:hAnsi="Times"/>
          <w:color w:val="000000" w:themeColor="text1"/>
        </w:rPr>
        <w:footnoteReference w:id="33"/>
      </w:r>
      <w:r w:rsidRPr="00502F00">
        <w:rPr>
          <w:rFonts w:ascii="Times" w:hAnsi="Times"/>
          <w:color w:val="000000" w:themeColor="text1"/>
        </w:rPr>
        <w:t xml:space="preserve">, </w:t>
      </w:r>
      <w:r w:rsidR="005F63C6" w:rsidRPr="00502F00">
        <w:rPr>
          <w:rFonts w:ascii="Times" w:hAnsi="Times"/>
          <w:color w:val="000000" w:themeColor="text1"/>
        </w:rPr>
        <w:t xml:space="preserve">tel n’est pas nécessairement le cas dans la récente affaire </w:t>
      </w:r>
      <w:r w:rsidR="005F63C6" w:rsidRPr="00502F00">
        <w:rPr>
          <w:rFonts w:ascii="Times" w:hAnsi="Times"/>
          <w:i/>
          <w:iCs/>
          <w:color w:val="000000" w:themeColor="text1"/>
        </w:rPr>
        <w:t>Azerbaïdjan c. Arménie</w:t>
      </w:r>
      <w:r w:rsidR="005F63C6" w:rsidRPr="00502F00">
        <w:rPr>
          <w:rFonts w:ascii="Times" w:hAnsi="Times"/>
          <w:color w:val="000000" w:themeColor="text1"/>
        </w:rPr>
        <w:t xml:space="preserve">. La Cour considère en effet que les actes prohibés par l’article 4 de la Convention </w:t>
      </w:r>
      <w:r w:rsidR="005F63C6" w:rsidRPr="00502F00">
        <w:rPr>
          <w:rFonts w:ascii="Times" w:hAnsi="Times"/>
          <w:color w:val="000000" w:themeColor="text1"/>
        </w:rPr>
        <w:t>internationale sur l’élimination de toutes les formes de discrimination raciale</w:t>
      </w:r>
      <w:r w:rsidR="005F63C6" w:rsidRPr="00502F00">
        <w:rPr>
          <w:rFonts w:ascii="Times" w:hAnsi="Times"/>
          <w:color w:val="000000" w:themeColor="text1"/>
        </w:rPr>
        <w:t xml:space="preserve"> (CIEDR), c’est-à-dire la propagande encourageant la haine raciale et l’incitation à une telle haine, « peuvent propager un climat imprégné de racisme.</w:t>
      </w:r>
      <w:r w:rsidR="005F63C6" w:rsidRPr="00502F00">
        <w:rPr>
          <w:color w:val="000000" w:themeColor="text1"/>
        </w:rPr>
        <w:t xml:space="preserve"> </w:t>
      </w:r>
      <w:r w:rsidR="005F63C6" w:rsidRPr="00502F00">
        <w:rPr>
          <w:rFonts w:ascii="Times" w:hAnsi="Times"/>
          <w:color w:val="000000" w:themeColor="text1"/>
        </w:rPr>
        <w:t>Pareille situation pourrait avoir de graves effets préjudiciables sur les personnes appartenant au groupe protégé. Ces effets préjudiciables peuvent être notamment, mais pas seulement, le risque de sévices ou de souffrances et de détresse psychologiques</w:t>
      </w:r>
      <w:r w:rsidR="005F63C6" w:rsidRPr="00502F00">
        <w:rPr>
          <w:rFonts w:ascii="Times" w:hAnsi="Times"/>
          <w:color w:val="000000" w:themeColor="text1"/>
        </w:rPr>
        <w:t> »</w:t>
      </w:r>
      <w:r w:rsidR="005F63C6" w:rsidRPr="00502F00">
        <w:rPr>
          <w:rStyle w:val="Appelnotedebasdep"/>
          <w:rFonts w:ascii="Times" w:hAnsi="Times"/>
          <w:color w:val="000000" w:themeColor="text1"/>
        </w:rPr>
        <w:footnoteReference w:id="34"/>
      </w:r>
      <w:r w:rsidR="005F63C6" w:rsidRPr="00502F00">
        <w:rPr>
          <w:rFonts w:ascii="Times" w:hAnsi="Times"/>
          <w:color w:val="000000" w:themeColor="text1"/>
        </w:rPr>
        <w:t>.</w:t>
      </w:r>
      <w:r w:rsidR="00DA5132" w:rsidRPr="00502F00">
        <w:rPr>
          <w:rFonts w:ascii="Times" w:hAnsi="Times"/>
          <w:color w:val="000000" w:themeColor="text1"/>
        </w:rPr>
        <w:t xml:space="preserve"> Le juge international s’appuie sur cet unique argument – formulé comme on le voit au conditionnel – pour considérer que la violation alléguée de l’article 4 pourrait entraîner un préjudice irréparable et qu’il y a urgence – ce dernier critère étant pourtant ignoré du raisonnement</w:t>
      </w:r>
      <w:r w:rsidR="008133A8">
        <w:rPr>
          <w:rFonts w:ascii="Times" w:hAnsi="Times"/>
          <w:color w:val="000000" w:themeColor="text1"/>
        </w:rPr>
        <w:t>, en l’espèce</w:t>
      </w:r>
      <w:r w:rsidR="00DA5132" w:rsidRPr="00502F00">
        <w:rPr>
          <w:rStyle w:val="Appelnotedebasdep"/>
          <w:rFonts w:ascii="Times" w:hAnsi="Times"/>
          <w:color w:val="000000" w:themeColor="text1"/>
        </w:rPr>
        <w:footnoteReference w:id="35"/>
      </w:r>
      <w:r w:rsidR="00DA5132" w:rsidRPr="00502F00">
        <w:rPr>
          <w:rFonts w:ascii="Times" w:hAnsi="Times"/>
          <w:color w:val="000000" w:themeColor="text1"/>
        </w:rPr>
        <w:t>.</w:t>
      </w:r>
    </w:p>
    <w:p w14:paraId="671CAFAB" w14:textId="528C2742" w:rsidR="00DA5132" w:rsidRPr="00502F00" w:rsidRDefault="00DA5132" w:rsidP="002A2484">
      <w:pPr>
        <w:jc w:val="both"/>
        <w:rPr>
          <w:rFonts w:ascii="Times" w:hAnsi="Times"/>
          <w:color w:val="000000" w:themeColor="text1"/>
        </w:rPr>
      </w:pPr>
    </w:p>
    <w:p w14:paraId="638BD8A1" w14:textId="43D1DA53" w:rsidR="002A2484" w:rsidRPr="00502F00" w:rsidRDefault="00DA5132" w:rsidP="002A2484">
      <w:pPr>
        <w:jc w:val="both"/>
        <w:rPr>
          <w:rFonts w:ascii="Times" w:hAnsi="Times"/>
          <w:color w:val="000000" w:themeColor="text1"/>
        </w:rPr>
      </w:pPr>
      <w:r w:rsidRPr="00502F00">
        <w:rPr>
          <w:rFonts w:ascii="Times" w:hAnsi="Times"/>
          <w:color w:val="000000" w:themeColor="text1"/>
        </w:rPr>
        <w:t xml:space="preserve">Là encore, il est loisible de considérer que cet assouplissement </w:t>
      </w:r>
      <w:r w:rsidR="002A2484" w:rsidRPr="00502F00">
        <w:rPr>
          <w:rFonts w:ascii="Times" w:hAnsi="Times"/>
          <w:color w:val="000000" w:themeColor="text1"/>
        </w:rPr>
        <w:t>tient au moins en partie</w:t>
      </w:r>
      <w:r w:rsidR="00761DD5" w:rsidRPr="00502F00">
        <w:rPr>
          <w:rFonts w:ascii="Times" w:hAnsi="Times"/>
          <w:color w:val="000000" w:themeColor="text1"/>
        </w:rPr>
        <w:t>, sinon majoritairement,</w:t>
      </w:r>
      <w:r w:rsidR="002A2484" w:rsidRPr="00502F00">
        <w:rPr>
          <w:rFonts w:ascii="Times" w:hAnsi="Times"/>
          <w:color w:val="000000" w:themeColor="text1"/>
        </w:rPr>
        <w:t xml:space="preserve"> compte des impératifs éthiques du moment</w:t>
      </w:r>
      <w:r w:rsidRPr="00502F00">
        <w:rPr>
          <w:rFonts w:ascii="Times" w:hAnsi="Times"/>
          <w:color w:val="000000" w:themeColor="text1"/>
        </w:rPr>
        <w:t>.</w:t>
      </w:r>
      <w:r w:rsidR="002A2484" w:rsidRPr="00502F00">
        <w:rPr>
          <w:rFonts w:ascii="Times" w:hAnsi="Times"/>
          <w:color w:val="000000" w:themeColor="text1"/>
        </w:rPr>
        <w:t xml:space="preserve"> </w:t>
      </w:r>
      <w:r w:rsidRPr="00502F00">
        <w:rPr>
          <w:rFonts w:ascii="Times" w:hAnsi="Times"/>
          <w:color w:val="000000" w:themeColor="text1"/>
        </w:rPr>
        <w:t>F</w:t>
      </w:r>
      <w:r w:rsidR="002A2484" w:rsidRPr="00502F00">
        <w:rPr>
          <w:rFonts w:ascii="Times" w:hAnsi="Times"/>
          <w:color w:val="000000" w:themeColor="text1"/>
        </w:rPr>
        <w:t>ace à l’incertitude procédurale</w:t>
      </w:r>
      <w:r w:rsidRPr="00502F00">
        <w:rPr>
          <w:rFonts w:ascii="Times" w:hAnsi="Times"/>
          <w:color w:val="000000" w:themeColor="text1"/>
        </w:rPr>
        <w:t xml:space="preserve"> et en l’absence de règles contraignantes</w:t>
      </w:r>
      <w:r w:rsidR="002A2484" w:rsidRPr="00502F00">
        <w:rPr>
          <w:rFonts w:ascii="Times" w:hAnsi="Times"/>
          <w:color w:val="000000" w:themeColor="text1"/>
        </w:rPr>
        <w:t xml:space="preserve">, la Cour </w:t>
      </w:r>
      <w:r w:rsidRPr="00502F00">
        <w:rPr>
          <w:rFonts w:ascii="Times" w:hAnsi="Times"/>
          <w:color w:val="000000" w:themeColor="text1"/>
        </w:rPr>
        <w:t>fait</w:t>
      </w:r>
      <w:r w:rsidR="002A2484" w:rsidRPr="00502F00">
        <w:rPr>
          <w:rFonts w:ascii="Times" w:hAnsi="Times"/>
          <w:color w:val="000000" w:themeColor="text1"/>
        </w:rPr>
        <w:t xml:space="preserve"> ce qu’elle juge « bon »</w:t>
      </w:r>
      <w:r w:rsidRPr="00502F00">
        <w:rPr>
          <w:rFonts w:ascii="Times" w:hAnsi="Times"/>
          <w:color w:val="000000" w:themeColor="text1"/>
        </w:rPr>
        <w:t xml:space="preserve"> au terme d’un questionnement éthique au moins sous-jacent. Celui-ci, lorsqu’il est formulé – le secret du délibéré empêchant de le confirmer –, est vraisemblablement confronté aux autres facteurs </w:t>
      </w:r>
      <w:proofErr w:type="spellStart"/>
      <w:r w:rsidRPr="00502F00">
        <w:rPr>
          <w:rFonts w:ascii="Times" w:hAnsi="Times"/>
          <w:color w:val="000000" w:themeColor="text1"/>
        </w:rPr>
        <w:t>extrajuridiques</w:t>
      </w:r>
      <w:proofErr w:type="spellEnd"/>
      <w:r w:rsidRPr="00502F00">
        <w:rPr>
          <w:rFonts w:ascii="Times" w:hAnsi="Times"/>
          <w:color w:val="000000" w:themeColor="text1"/>
        </w:rPr>
        <w:t xml:space="preserve"> de décision : la nécessité de</w:t>
      </w:r>
      <w:r w:rsidR="002A2484" w:rsidRPr="00502F00">
        <w:rPr>
          <w:rFonts w:ascii="Times" w:hAnsi="Times"/>
          <w:color w:val="000000" w:themeColor="text1"/>
        </w:rPr>
        <w:t xml:space="preserve"> maintenir la confiance des États dans la juridiction internationale </w:t>
      </w:r>
      <w:r w:rsidRPr="00502F00">
        <w:rPr>
          <w:rFonts w:ascii="Times" w:hAnsi="Times"/>
          <w:color w:val="000000" w:themeColor="text1"/>
        </w:rPr>
        <w:t>et l’importance de générer une forme</w:t>
      </w:r>
      <w:r w:rsidR="002A2484" w:rsidRPr="00502F00">
        <w:rPr>
          <w:rFonts w:ascii="Times" w:hAnsi="Times"/>
          <w:color w:val="000000" w:themeColor="text1"/>
        </w:rPr>
        <w:t xml:space="preserve"> de sécurité juridique par une jurisprudence stable</w:t>
      </w:r>
      <w:r w:rsidRPr="00502F00">
        <w:rPr>
          <w:rFonts w:ascii="Times" w:hAnsi="Times"/>
          <w:color w:val="000000" w:themeColor="text1"/>
        </w:rPr>
        <w:t xml:space="preserve"> en sont deux exemples.</w:t>
      </w:r>
    </w:p>
    <w:p w14:paraId="05E59B4D" w14:textId="77777777" w:rsidR="002A2484" w:rsidRPr="00502F00" w:rsidRDefault="002A2484" w:rsidP="002A2484">
      <w:pPr>
        <w:jc w:val="both"/>
        <w:rPr>
          <w:rFonts w:ascii="Times" w:hAnsi="Times"/>
          <w:color w:val="000000" w:themeColor="text1"/>
        </w:rPr>
      </w:pPr>
    </w:p>
    <w:p w14:paraId="54838B79" w14:textId="17EED717" w:rsidR="002A2484" w:rsidRPr="00502F00" w:rsidRDefault="002A2484" w:rsidP="002A2484">
      <w:pPr>
        <w:rPr>
          <w:rFonts w:ascii="Times" w:hAnsi="Times"/>
          <w:b/>
          <w:bCs/>
          <w:color w:val="000000" w:themeColor="text1"/>
        </w:rPr>
      </w:pPr>
      <w:r w:rsidRPr="00502F00">
        <w:rPr>
          <w:rFonts w:ascii="Times" w:hAnsi="Times"/>
          <w:b/>
          <w:bCs/>
          <w:color w:val="000000" w:themeColor="text1"/>
        </w:rPr>
        <w:t>II. L’éthique, un référentiel face à l’incertitude au fond</w:t>
      </w:r>
    </w:p>
    <w:p w14:paraId="7FE5AEA9" w14:textId="77777777" w:rsidR="00F34400" w:rsidRPr="00502F00" w:rsidRDefault="00F34400" w:rsidP="00F34400">
      <w:pPr>
        <w:jc w:val="both"/>
        <w:rPr>
          <w:rFonts w:ascii="Times" w:hAnsi="Times"/>
          <w:color w:val="000000" w:themeColor="text1"/>
        </w:rPr>
      </w:pPr>
    </w:p>
    <w:p w14:paraId="315921BF" w14:textId="509E82E5" w:rsidR="00BC332F" w:rsidRPr="00502F00" w:rsidRDefault="00F34400" w:rsidP="00F34400">
      <w:pPr>
        <w:jc w:val="both"/>
        <w:rPr>
          <w:rFonts w:ascii="Times" w:hAnsi="Times"/>
          <w:color w:val="000000" w:themeColor="text1"/>
        </w:rPr>
      </w:pPr>
      <w:r w:rsidRPr="00502F00">
        <w:rPr>
          <w:rFonts w:ascii="Times" w:hAnsi="Times"/>
          <w:color w:val="000000" w:themeColor="text1"/>
        </w:rPr>
        <w:t xml:space="preserve">Au fond, il arrive fréquemment que le droit international soit parfaitement indéterminé. La doctrine a déjà pu relever qu’en cas d’incertitude sur le droit applicable ou sur la solution juridique à donner, l’éthique peut constituer </w:t>
      </w:r>
      <w:r w:rsidR="00761DD5" w:rsidRPr="00502F00">
        <w:rPr>
          <w:rFonts w:ascii="Times" w:hAnsi="Times"/>
          <w:color w:val="000000" w:themeColor="text1"/>
        </w:rPr>
        <w:t>une</w:t>
      </w:r>
      <w:r w:rsidRPr="00502F00">
        <w:rPr>
          <w:rFonts w:ascii="Times" w:hAnsi="Times"/>
          <w:color w:val="000000" w:themeColor="text1"/>
        </w:rPr>
        <w:t xml:space="preserve"> boussole du juge</w:t>
      </w:r>
      <w:r w:rsidR="00BC332F" w:rsidRPr="00502F00">
        <w:rPr>
          <w:rFonts w:ascii="Times" w:hAnsi="Times"/>
          <w:color w:val="000000" w:themeColor="text1"/>
        </w:rPr>
        <w:t xml:space="preserve"> (</w:t>
      </w:r>
      <w:r w:rsidR="00BC332F" w:rsidRPr="00502F00">
        <w:rPr>
          <w:rFonts w:ascii="Times" w:hAnsi="Times"/>
          <w:b/>
          <w:bCs/>
          <w:color w:val="000000" w:themeColor="text1"/>
        </w:rPr>
        <w:t>A</w:t>
      </w:r>
      <w:r w:rsidR="00BC332F" w:rsidRPr="00502F00">
        <w:rPr>
          <w:rFonts w:ascii="Times" w:hAnsi="Times"/>
          <w:color w:val="000000" w:themeColor="text1"/>
        </w:rPr>
        <w:t>). Cela est vérifiable par l’examen de la jurisprudence récente de la Cour, bien qu’il soit difficile d’affirmer avec certitude en la matière (</w:t>
      </w:r>
      <w:r w:rsidR="00BC332F" w:rsidRPr="00502F00">
        <w:rPr>
          <w:rFonts w:ascii="Times" w:hAnsi="Times"/>
          <w:b/>
          <w:bCs/>
          <w:color w:val="000000" w:themeColor="text1"/>
        </w:rPr>
        <w:t>B</w:t>
      </w:r>
      <w:r w:rsidR="00BC332F" w:rsidRPr="00502F00">
        <w:rPr>
          <w:rFonts w:ascii="Times" w:hAnsi="Times"/>
          <w:color w:val="000000" w:themeColor="text1"/>
        </w:rPr>
        <w:t>).</w:t>
      </w:r>
    </w:p>
    <w:p w14:paraId="7F478628" w14:textId="75F2B3EC" w:rsidR="00BC332F" w:rsidRPr="00502F00" w:rsidRDefault="00BC332F" w:rsidP="00F34400">
      <w:pPr>
        <w:jc w:val="both"/>
        <w:rPr>
          <w:rFonts w:ascii="Times" w:hAnsi="Times"/>
          <w:color w:val="000000" w:themeColor="text1"/>
        </w:rPr>
      </w:pPr>
    </w:p>
    <w:p w14:paraId="28DC914E" w14:textId="6A31D3AF" w:rsidR="00F236D9" w:rsidRPr="00502F00" w:rsidRDefault="00BC332F" w:rsidP="007A2885">
      <w:pPr>
        <w:pStyle w:val="Paragraphedeliste"/>
        <w:numPr>
          <w:ilvl w:val="0"/>
          <w:numId w:val="7"/>
        </w:numPr>
        <w:jc w:val="both"/>
        <w:rPr>
          <w:rFonts w:ascii="Times" w:hAnsi="Times"/>
          <w:color w:val="000000" w:themeColor="text1"/>
        </w:rPr>
      </w:pPr>
      <w:r w:rsidRPr="00502F00">
        <w:rPr>
          <w:rFonts w:ascii="Times" w:hAnsi="Times"/>
          <w:b/>
          <w:bCs/>
          <w:color w:val="000000" w:themeColor="text1"/>
        </w:rPr>
        <w:t>L</w:t>
      </w:r>
      <w:r w:rsidR="00B23884" w:rsidRPr="00502F00">
        <w:rPr>
          <w:rFonts w:ascii="Times" w:hAnsi="Times"/>
          <w:b/>
          <w:bCs/>
          <w:color w:val="000000" w:themeColor="text1"/>
        </w:rPr>
        <w:t>a place de l’</w:t>
      </w:r>
      <w:r w:rsidRPr="00502F00">
        <w:rPr>
          <w:rFonts w:ascii="Times" w:hAnsi="Times"/>
          <w:b/>
          <w:bCs/>
          <w:color w:val="000000" w:themeColor="text1"/>
        </w:rPr>
        <w:t xml:space="preserve">éthique </w:t>
      </w:r>
      <w:r w:rsidR="00B23884" w:rsidRPr="00502F00">
        <w:rPr>
          <w:rFonts w:ascii="Times" w:hAnsi="Times"/>
          <w:b/>
          <w:bCs/>
          <w:color w:val="000000" w:themeColor="text1"/>
        </w:rPr>
        <w:t>dans l’analyse de la jurisprudence de la Cour</w:t>
      </w:r>
    </w:p>
    <w:p w14:paraId="5954C57C" w14:textId="79E7373D" w:rsidR="00F236D9" w:rsidRPr="00502F00" w:rsidRDefault="00BC332F" w:rsidP="002A2484">
      <w:pPr>
        <w:jc w:val="both"/>
        <w:rPr>
          <w:rFonts w:ascii="Times" w:hAnsi="Times"/>
          <w:color w:val="000000" w:themeColor="text1"/>
        </w:rPr>
      </w:pPr>
      <w:r w:rsidRPr="00502F00">
        <w:rPr>
          <w:rFonts w:ascii="Times" w:hAnsi="Times"/>
          <w:color w:val="000000" w:themeColor="text1"/>
        </w:rPr>
        <w:lastRenderedPageBreak/>
        <w:t>Contrairement à ce que l’on pourrait penser de prime abord, la</w:t>
      </w:r>
      <w:r w:rsidR="002A2484" w:rsidRPr="00502F00">
        <w:rPr>
          <w:rFonts w:ascii="Times" w:hAnsi="Times"/>
          <w:color w:val="000000" w:themeColor="text1"/>
        </w:rPr>
        <w:t xml:space="preserve"> doctrine a</w:t>
      </w:r>
      <w:r w:rsidR="00F236D9" w:rsidRPr="00502F00">
        <w:rPr>
          <w:rFonts w:ascii="Times" w:hAnsi="Times"/>
          <w:color w:val="000000" w:themeColor="text1"/>
        </w:rPr>
        <w:t xml:space="preserve"> de longue date</w:t>
      </w:r>
      <w:r w:rsidR="002A2484" w:rsidRPr="00502F00">
        <w:rPr>
          <w:rFonts w:ascii="Times" w:hAnsi="Times"/>
          <w:color w:val="000000" w:themeColor="text1"/>
        </w:rPr>
        <w:t xml:space="preserve"> </w:t>
      </w:r>
      <w:proofErr w:type="gramStart"/>
      <w:r w:rsidR="008133A8">
        <w:rPr>
          <w:rFonts w:ascii="Times" w:hAnsi="Times"/>
          <w:color w:val="000000" w:themeColor="text1"/>
        </w:rPr>
        <w:t xml:space="preserve">montré </w:t>
      </w:r>
      <w:r w:rsidR="002A2484" w:rsidRPr="00502F00">
        <w:rPr>
          <w:rFonts w:ascii="Times" w:hAnsi="Times"/>
          <w:color w:val="000000" w:themeColor="text1"/>
        </w:rPr>
        <w:t xml:space="preserve"> qu’en</w:t>
      </w:r>
      <w:proofErr w:type="gramEnd"/>
      <w:r w:rsidR="002A2484" w:rsidRPr="00502F00">
        <w:rPr>
          <w:rFonts w:ascii="Times" w:hAnsi="Times"/>
          <w:color w:val="000000" w:themeColor="text1"/>
        </w:rPr>
        <w:t xml:space="preserve"> cas d’incertitude</w:t>
      </w:r>
      <w:r w:rsidR="008133A8">
        <w:rPr>
          <w:rFonts w:ascii="Times" w:hAnsi="Times"/>
          <w:color w:val="000000" w:themeColor="text1"/>
        </w:rPr>
        <w:t xml:space="preserve"> – mais pas uniquement –, le questionnement éthique pouvait jouer un rôle prégnant dans la décision</w:t>
      </w:r>
      <w:r w:rsidR="002A2484" w:rsidRPr="00502F00">
        <w:rPr>
          <w:rFonts w:ascii="Times" w:hAnsi="Times"/>
          <w:color w:val="000000" w:themeColor="text1"/>
        </w:rPr>
        <w:t xml:space="preserve"> du juge. </w:t>
      </w:r>
    </w:p>
    <w:p w14:paraId="5894F37E" w14:textId="77777777" w:rsidR="00F236D9" w:rsidRPr="00502F00" w:rsidRDefault="00F236D9" w:rsidP="002A2484">
      <w:pPr>
        <w:jc w:val="both"/>
        <w:rPr>
          <w:rFonts w:ascii="Times" w:hAnsi="Times"/>
          <w:color w:val="000000" w:themeColor="text1"/>
        </w:rPr>
      </w:pPr>
    </w:p>
    <w:p w14:paraId="541A085F" w14:textId="5296B6C9" w:rsidR="00BC332F" w:rsidRPr="00502F00" w:rsidRDefault="00142E1E" w:rsidP="002A2484">
      <w:pPr>
        <w:jc w:val="both"/>
        <w:rPr>
          <w:rFonts w:ascii="Times" w:hAnsi="Times"/>
          <w:color w:val="000000" w:themeColor="text1"/>
        </w:rPr>
      </w:pPr>
      <w:r w:rsidRPr="00502F00">
        <w:rPr>
          <w:rFonts w:ascii="Times" w:hAnsi="Times"/>
          <w:color w:val="000000" w:themeColor="text1"/>
        </w:rPr>
        <w:t xml:space="preserve">Pour partir des écrits les plus récents, </w:t>
      </w:r>
      <w:r w:rsidR="002A2484" w:rsidRPr="00502F00">
        <w:rPr>
          <w:rFonts w:ascii="Times" w:hAnsi="Times"/>
          <w:color w:val="000000" w:themeColor="text1"/>
        </w:rPr>
        <w:t xml:space="preserve">Christian </w:t>
      </w:r>
      <w:proofErr w:type="spellStart"/>
      <w:r w:rsidR="002A2484" w:rsidRPr="00502F00">
        <w:rPr>
          <w:rFonts w:ascii="Times" w:hAnsi="Times"/>
          <w:color w:val="000000" w:themeColor="text1"/>
        </w:rPr>
        <w:t>Dominicé</w:t>
      </w:r>
      <w:proofErr w:type="spellEnd"/>
      <w:r w:rsidR="00BC332F" w:rsidRPr="00502F00">
        <w:rPr>
          <w:rFonts w:ascii="Times" w:hAnsi="Times"/>
          <w:color w:val="000000" w:themeColor="text1"/>
        </w:rPr>
        <w:t xml:space="preserve"> </w:t>
      </w:r>
      <w:r w:rsidRPr="00502F00">
        <w:rPr>
          <w:rFonts w:ascii="Times" w:hAnsi="Times"/>
          <w:color w:val="000000" w:themeColor="text1"/>
        </w:rPr>
        <w:t>montre</w:t>
      </w:r>
      <w:r w:rsidR="002A2484" w:rsidRPr="00502F00">
        <w:rPr>
          <w:rFonts w:ascii="Times" w:hAnsi="Times"/>
          <w:color w:val="000000" w:themeColor="text1"/>
        </w:rPr>
        <w:t xml:space="preserve"> </w:t>
      </w:r>
      <w:r w:rsidRPr="00502F00">
        <w:rPr>
          <w:rFonts w:ascii="Times" w:hAnsi="Times"/>
          <w:color w:val="000000" w:themeColor="text1"/>
        </w:rPr>
        <w:t xml:space="preserve">en 1997 </w:t>
      </w:r>
      <w:r w:rsidR="002A2484" w:rsidRPr="00502F00">
        <w:rPr>
          <w:rFonts w:ascii="Times" w:hAnsi="Times"/>
          <w:color w:val="000000" w:themeColor="text1"/>
        </w:rPr>
        <w:t>que lorsque la Cour dégage la notion de « </w:t>
      </w:r>
      <w:r w:rsidR="00BC332F" w:rsidRPr="00502F00">
        <w:rPr>
          <w:rFonts w:ascii="Times" w:hAnsi="Times"/>
          <w:color w:val="000000" w:themeColor="text1"/>
        </w:rPr>
        <w:t>principes généraux et bien reconnus, tels que des considérations élémentaires d'humanité, plus absolues encore en temps de paix qu'en temps de guerre</w:t>
      </w:r>
      <w:r w:rsidR="00BC332F" w:rsidRPr="00502F00">
        <w:rPr>
          <w:rFonts w:ascii="Times" w:hAnsi="Times"/>
          <w:color w:val="000000" w:themeColor="text1"/>
        </w:rPr>
        <w:t> </w:t>
      </w:r>
      <w:r w:rsidR="002A2484" w:rsidRPr="00502F00">
        <w:rPr>
          <w:rFonts w:ascii="Times" w:hAnsi="Times"/>
          <w:color w:val="000000" w:themeColor="text1"/>
        </w:rPr>
        <w:t>» dans</w:t>
      </w:r>
      <w:r w:rsidR="00BC332F" w:rsidRPr="00502F00">
        <w:rPr>
          <w:rFonts w:ascii="Times" w:hAnsi="Times"/>
          <w:color w:val="000000" w:themeColor="text1"/>
        </w:rPr>
        <w:t xml:space="preserve"> l’affaire</w:t>
      </w:r>
      <w:r w:rsidR="002A2484" w:rsidRPr="00502F00">
        <w:rPr>
          <w:rFonts w:ascii="Times" w:hAnsi="Times"/>
          <w:color w:val="000000" w:themeColor="text1"/>
        </w:rPr>
        <w:t xml:space="preserve"> </w:t>
      </w:r>
      <w:r w:rsidR="002A2484" w:rsidRPr="00502F00">
        <w:rPr>
          <w:rFonts w:ascii="Times" w:hAnsi="Times"/>
          <w:i/>
          <w:iCs/>
          <w:color w:val="000000" w:themeColor="text1"/>
        </w:rPr>
        <w:t>Détroit de Corfou</w:t>
      </w:r>
      <w:r w:rsidR="00BC332F" w:rsidRPr="00502F00">
        <w:rPr>
          <w:rStyle w:val="Appelnotedebasdep"/>
          <w:rFonts w:ascii="Times" w:hAnsi="Times"/>
          <w:color w:val="000000" w:themeColor="text1"/>
        </w:rPr>
        <w:footnoteReference w:id="36"/>
      </w:r>
      <w:r w:rsidR="002A2484" w:rsidRPr="00502F00">
        <w:rPr>
          <w:rFonts w:ascii="Times" w:hAnsi="Times"/>
          <w:color w:val="000000" w:themeColor="text1"/>
        </w:rPr>
        <w:t xml:space="preserve"> ou le principe d’interdiction du recours à la force entre les États dans </w:t>
      </w:r>
      <w:r w:rsidR="00F236D9" w:rsidRPr="00502F00">
        <w:rPr>
          <w:rFonts w:ascii="Times" w:hAnsi="Times"/>
          <w:color w:val="000000" w:themeColor="text1"/>
        </w:rPr>
        <w:t xml:space="preserve">l’affaire </w:t>
      </w:r>
      <w:r w:rsidR="002A2484" w:rsidRPr="00502F00">
        <w:rPr>
          <w:rFonts w:ascii="Times" w:hAnsi="Times"/>
          <w:i/>
          <w:iCs/>
          <w:color w:val="000000" w:themeColor="text1"/>
        </w:rPr>
        <w:t>Nicaragu</w:t>
      </w:r>
      <w:r w:rsidR="00BC332F" w:rsidRPr="00502F00">
        <w:rPr>
          <w:rFonts w:ascii="Times" w:hAnsi="Times"/>
          <w:i/>
          <w:iCs/>
          <w:color w:val="000000" w:themeColor="text1"/>
        </w:rPr>
        <w:t>a</w:t>
      </w:r>
      <w:r w:rsidR="00F236D9" w:rsidRPr="00502F00">
        <w:rPr>
          <w:rStyle w:val="Appelnotedebasdep"/>
          <w:rFonts w:ascii="Times" w:hAnsi="Times"/>
          <w:i/>
          <w:iCs/>
          <w:color w:val="000000" w:themeColor="text1"/>
        </w:rPr>
        <w:footnoteReference w:id="37"/>
      </w:r>
      <w:r w:rsidR="002A2484" w:rsidRPr="00502F00">
        <w:rPr>
          <w:rFonts w:ascii="Times" w:hAnsi="Times"/>
          <w:color w:val="000000" w:themeColor="text1"/>
        </w:rPr>
        <w:t>, elle fait prévaloir des considérations éthiques face à l’indétermination du droit</w:t>
      </w:r>
      <w:r w:rsidRPr="00502F00">
        <w:rPr>
          <w:rStyle w:val="Appelnotedebasdep"/>
          <w:rFonts w:ascii="Times" w:hAnsi="Times"/>
          <w:color w:val="000000" w:themeColor="text1"/>
        </w:rPr>
        <w:footnoteReference w:id="38"/>
      </w:r>
      <w:r w:rsidR="002A2484" w:rsidRPr="00502F00">
        <w:rPr>
          <w:rFonts w:ascii="Times" w:hAnsi="Times"/>
          <w:color w:val="000000" w:themeColor="text1"/>
        </w:rPr>
        <w:t>.</w:t>
      </w:r>
      <w:r w:rsidRPr="00502F00">
        <w:rPr>
          <w:rFonts w:ascii="Times" w:hAnsi="Times"/>
          <w:color w:val="000000" w:themeColor="text1"/>
        </w:rPr>
        <w:t xml:space="preserve"> Pour lui, « </w:t>
      </w:r>
      <w:r w:rsidRPr="00502F00">
        <w:rPr>
          <w:rFonts w:ascii="Times" w:hAnsi="Times"/>
          <w:color w:val="000000" w:themeColor="text1"/>
        </w:rPr>
        <w:t xml:space="preserve">lorsque la norme dont l’existence est invoquée devant </w:t>
      </w:r>
      <w:r w:rsidRPr="00502F00">
        <w:rPr>
          <w:rFonts w:ascii="Times" w:hAnsi="Times"/>
          <w:color w:val="000000" w:themeColor="text1"/>
        </w:rPr>
        <w:t xml:space="preserve">elle </w:t>
      </w:r>
      <w:r w:rsidRPr="00502F00">
        <w:rPr>
          <w:rFonts w:ascii="Times" w:hAnsi="Times"/>
          <w:color w:val="000000" w:themeColor="text1"/>
        </w:rPr>
        <w:t>est de caractère relativement technique, neutre du point de vue moral, la Cour, à juste titre, se montre exigeante en ce qui concerne l’élément matériel. En revanche, lorsqu’il s’agit d’un principe dont la signification morale, éthique, est évidente, comme l’interdiction du recours à la force, il est justifié d’en consacrer l’intégration au droit international général sans attendre qu’il soit strictement respecté, mais en se fondant sur des convictions uniformément proclamées, fussent-elles partiellement démenties par les faits »</w:t>
      </w:r>
      <w:r w:rsidRPr="00502F00">
        <w:rPr>
          <w:rStyle w:val="Appelnotedebasdep"/>
          <w:rFonts w:ascii="Times" w:hAnsi="Times"/>
          <w:color w:val="000000" w:themeColor="text1"/>
        </w:rPr>
        <w:footnoteReference w:id="39"/>
      </w:r>
      <w:r w:rsidRPr="00502F00">
        <w:rPr>
          <w:rFonts w:ascii="Times" w:hAnsi="Times"/>
          <w:color w:val="000000" w:themeColor="text1"/>
        </w:rPr>
        <w:t>.</w:t>
      </w:r>
    </w:p>
    <w:p w14:paraId="306E214D" w14:textId="77777777" w:rsidR="00BC332F" w:rsidRPr="00502F00" w:rsidRDefault="00BC332F" w:rsidP="002A2484">
      <w:pPr>
        <w:jc w:val="both"/>
        <w:rPr>
          <w:rFonts w:ascii="Times" w:hAnsi="Times"/>
          <w:color w:val="000000" w:themeColor="text1"/>
        </w:rPr>
      </w:pPr>
    </w:p>
    <w:p w14:paraId="46F14DCA" w14:textId="027500EF" w:rsidR="002A2484" w:rsidRPr="00502F00" w:rsidRDefault="002A2484" w:rsidP="002A2484">
      <w:pPr>
        <w:jc w:val="both"/>
        <w:rPr>
          <w:rFonts w:ascii="Times" w:hAnsi="Times"/>
          <w:color w:val="000000" w:themeColor="text1"/>
        </w:rPr>
      </w:pPr>
      <w:r w:rsidRPr="00502F00">
        <w:rPr>
          <w:rFonts w:ascii="Times" w:hAnsi="Times"/>
          <w:color w:val="000000" w:themeColor="text1"/>
        </w:rPr>
        <w:t xml:space="preserve">On aussi pu voir dans l’équité la manifestation de considérations « éthiques » et non juridiques. Ainsi le Vice-président </w:t>
      </w:r>
      <w:proofErr w:type="spellStart"/>
      <w:r w:rsidRPr="00502F00">
        <w:rPr>
          <w:rFonts w:ascii="Times" w:hAnsi="Times"/>
          <w:color w:val="000000" w:themeColor="text1"/>
        </w:rPr>
        <w:t>Koretsky</w:t>
      </w:r>
      <w:proofErr w:type="spellEnd"/>
      <w:r w:rsidRPr="00502F00">
        <w:rPr>
          <w:rFonts w:ascii="Times" w:hAnsi="Times"/>
          <w:color w:val="000000" w:themeColor="text1"/>
        </w:rPr>
        <w:t xml:space="preserve"> </w:t>
      </w:r>
      <w:proofErr w:type="spellStart"/>
      <w:r w:rsidRPr="00502F00">
        <w:rPr>
          <w:rFonts w:ascii="Times" w:hAnsi="Times"/>
          <w:color w:val="000000" w:themeColor="text1"/>
        </w:rPr>
        <w:t>a</w:t>
      </w:r>
      <w:r w:rsidR="00D21675">
        <w:rPr>
          <w:rFonts w:ascii="Times" w:hAnsi="Times"/>
          <w:color w:val="000000" w:themeColor="text1"/>
        </w:rPr>
        <w:t>-t-il</w:t>
      </w:r>
      <w:proofErr w:type="spellEnd"/>
      <w:r w:rsidRPr="00502F00">
        <w:rPr>
          <w:rFonts w:ascii="Times" w:hAnsi="Times"/>
          <w:color w:val="000000" w:themeColor="text1"/>
        </w:rPr>
        <w:t xml:space="preserve"> pu écrire</w:t>
      </w:r>
      <w:r w:rsidR="00142E1E" w:rsidRPr="00502F00">
        <w:rPr>
          <w:rFonts w:ascii="Times" w:hAnsi="Times"/>
          <w:color w:val="000000" w:themeColor="text1"/>
        </w:rPr>
        <w:t xml:space="preserve">, concernant </w:t>
      </w:r>
      <w:r w:rsidRPr="00502F00">
        <w:rPr>
          <w:rFonts w:ascii="Times" w:hAnsi="Times"/>
          <w:color w:val="000000" w:themeColor="text1"/>
        </w:rPr>
        <w:t xml:space="preserve">l’affaire du </w:t>
      </w:r>
      <w:r w:rsidRPr="00502F00">
        <w:rPr>
          <w:rFonts w:ascii="Times" w:hAnsi="Times"/>
          <w:i/>
          <w:iCs/>
          <w:color w:val="000000" w:themeColor="text1"/>
        </w:rPr>
        <w:t>Plateau continental de la mer du Nor</w:t>
      </w:r>
      <w:r w:rsidR="00142E1E" w:rsidRPr="00502F00">
        <w:rPr>
          <w:rFonts w:ascii="Times" w:hAnsi="Times"/>
          <w:i/>
          <w:iCs/>
          <w:color w:val="000000" w:themeColor="text1"/>
        </w:rPr>
        <w:t xml:space="preserve">d </w:t>
      </w:r>
      <w:r w:rsidR="00142E1E" w:rsidRPr="00502F00">
        <w:rPr>
          <w:rFonts w:ascii="Times" w:hAnsi="Times"/>
          <w:color w:val="000000" w:themeColor="text1"/>
        </w:rPr>
        <w:t>en 1969</w:t>
      </w:r>
      <w:r w:rsidR="00142E1E" w:rsidRPr="00502F00">
        <w:rPr>
          <w:rStyle w:val="Appelnotedebasdep"/>
          <w:rFonts w:ascii="Times" w:hAnsi="Times"/>
          <w:color w:val="000000" w:themeColor="text1"/>
        </w:rPr>
        <w:footnoteReference w:id="40"/>
      </w:r>
      <w:r w:rsidR="00142E1E" w:rsidRPr="00502F00">
        <w:rPr>
          <w:rFonts w:ascii="Times" w:hAnsi="Times"/>
          <w:color w:val="000000" w:themeColor="text1"/>
        </w:rPr>
        <w:t xml:space="preserve">, </w:t>
      </w:r>
      <w:r w:rsidRPr="00502F00">
        <w:rPr>
          <w:rFonts w:ascii="Times" w:hAnsi="Times"/>
          <w:color w:val="000000" w:themeColor="text1"/>
        </w:rPr>
        <w:t xml:space="preserve">que l'équité n'aurait pas dû faire son entrée à la Cour, du fait de son caractère « non pas juridique mais éthique ». </w:t>
      </w:r>
      <w:r w:rsidR="00142E1E" w:rsidRPr="00502F00">
        <w:rPr>
          <w:rFonts w:ascii="Times" w:hAnsi="Times"/>
          <w:color w:val="000000" w:themeColor="text1"/>
        </w:rPr>
        <w:t xml:space="preserve">Dans son opinion dissidente, le juge </w:t>
      </w:r>
      <w:r w:rsidR="00B81B7D" w:rsidRPr="00502F00">
        <w:rPr>
          <w:rFonts w:ascii="Times" w:hAnsi="Times"/>
          <w:color w:val="000000" w:themeColor="text1"/>
        </w:rPr>
        <w:t xml:space="preserve">soviétique </w:t>
      </w:r>
      <w:r w:rsidR="00142E1E" w:rsidRPr="00502F00">
        <w:rPr>
          <w:rFonts w:ascii="Times" w:hAnsi="Times"/>
          <w:color w:val="000000" w:themeColor="text1"/>
        </w:rPr>
        <w:t>considère d’ailleurs</w:t>
      </w:r>
      <w:r w:rsidRPr="00502F00">
        <w:rPr>
          <w:rFonts w:ascii="Times" w:hAnsi="Times"/>
          <w:color w:val="000000" w:themeColor="text1"/>
        </w:rPr>
        <w:t xml:space="preserve"> qu</w:t>
      </w:r>
      <w:r w:rsidR="00B81B7D" w:rsidRPr="00502F00">
        <w:rPr>
          <w:rFonts w:ascii="Times" w:hAnsi="Times"/>
          <w:color w:val="000000" w:themeColor="text1"/>
        </w:rPr>
        <w:t>’</w:t>
      </w:r>
      <w:r w:rsidRPr="00502F00">
        <w:rPr>
          <w:rFonts w:ascii="Times" w:hAnsi="Times"/>
          <w:color w:val="000000" w:themeColor="text1"/>
        </w:rPr>
        <w:t>en « introduisant une notion aussi vague, on risque d'ouvrir la voie à des évaluations subjectives et donc parfois arbitraires »</w:t>
      </w:r>
      <w:r w:rsidR="00142E1E" w:rsidRPr="00502F00">
        <w:rPr>
          <w:rStyle w:val="Appelnotedebasdep"/>
          <w:rFonts w:ascii="Times" w:hAnsi="Times"/>
          <w:color w:val="000000" w:themeColor="text1"/>
        </w:rPr>
        <w:footnoteReference w:id="41"/>
      </w:r>
      <w:r w:rsidRPr="00502F00">
        <w:rPr>
          <w:rFonts w:ascii="Times" w:hAnsi="Times"/>
          <w:color w:val="000000" w:themeColor="text1"/>
        </w:rPr>
        <w:t xml:space="preserve">. Quinze ans </w:t>
      </w:r>
      <w:r w:rsidR="00B81B7D" w:rsidRPr="00502F00">
        <w:rPr>
          <w:rFonts w:ascii="Times" w:hAnsi="Times"/>
          <w:color w:val="000000" w:themeColor="text1"/>
        </w:rPr>
        <w:t>aupara</w:t>
      </w:r>
      <w:r w:rsidRPr="00502F00">
        <w:rPr>
          <w:rFonts w:ascii="Times" w:hAnsi="Times"/>
          <w:color w:val="000000" w:themeColor="text1"/>
        </w:rPr>
        <w:t xml:space="preserve">vant, George Scelle voyait dans la mise en place d’une </w:t>
      </w:r>
      <w:r w:rsidR="00B81B7D" w:rsidRPr="00502F00">
        <w:rPr>
          <w:rFonts w:ascii="Times" w:hAnsi="Times"/>
          <w:color w:val="000000" w:themeColor="text1"/>
        </w:rPr>
        <w:t>« </w:t>
      </w:r>
      <w:r w:rsidRPr="00502F00">
        <w:rPr>
          <w:rFonts w:ascii="Times" w:hAnsi="Times"/>
          <w:color w:val="000000" w:themeColor="text1"/>
        </w:rPr>
        <w:t>pratique largement acceptée comme constituant le droit</w:t>
      </w:r>
      <w:r w:rsidR="00B81B7D" w:rsidRPr="00502F00">
        <w:rPr>
          <w:rFonts w:ascii="Times" w:hAnsi="Times"/>
          <w:color w:val="000000" w:themeColor="text1"/>
        </w:rPr>
        <w:t> »</w:t>
      </w:r>
      <w:r w:rsidRPr="00502F00">
        <w:rPr>
          <w:rFonts w:ascii="Times" w:hAnsi="Times"/>
          <w:color w:val="000000" w:themeColor="text1"/>
        </w:rPr>
        <w:t xml:space="preserve"> une forme d’éthique, suggérant que la coutume internationale puisait </w:t>
      </w:r>
      <w:r w:rsidR="00B81B7D" w:rsidRPr="00502F00">
        <w:rPr>
          <w:rFonts w:ascii="Times" w:hAnsi="Times"/>
          <w:color w:val="000000" w:themeColor="text1"/>
        </w:rPr>
        <w:t xml:space="preserve">nécessairement </w:t>
      </w:r>
      <w:r w:rsidRPr="00502F00">
        <w:rPr>
          <w:rFonts w:ascii="Times" w:hAnsi="Times"/>
          <w:color w:val="000000" w:themeColor="text1"/>
        </w:rPr>
        <w:t>l’une de ses sources – même si Scelle ne voyait qu’une seule source du droit – dans une éthique commune</w:t>
      </w:r>
      <w:r w:rsidRPr="00502F00">
        <w:rPr>
          <w:rStyle w:val="Appelnotedebasdep"/>
          <w:rFonts w:ascii="Times" w:hAnsi="Times"/>
          <w:color w:val="000000" w:themeColor="text1"/>
        </w:rPr>
        <w:footnoteReference w:id="42"/>
      </w:r>
      <w:r w:rsidRPr="00502F00">
        <w:rPr>
          <w:rFonts w:ascii="Times" w:hAnsi="Times"/>
          <w:color w:val="000000" w:themeColor="text1"/>
        </w:rPr>
        <w:t>.</w:t>
      </w:r>
    </w:p>
    <w:p w14:paraId="324209B0" w14:textId="77777777" w:rsidR="002A2484" w:rsidRPr="00502F00" w:rsidRDefault="002A2484" w:rsidP="002A2484">
      <w:pPr>
        <w:jc w:val="both"/>
        <w:rPr>
          <w:rFonts w:ascii="Times" w:hAnsi="Times"/>
          <w:color w:val="000000" w:themeColor="text1"/>
        </w:rPr>
      </w:pPr>
    </w:p>
    <w:p w14:paraId="2A7A6D78" w14:textId="43CF1A24" w:rsidR="002A2484" w:rsidRPr="00502F00" w:rsidRDefault="00B23884" w:rsidP="002A2484">
      <w:pPr>
        <w:jc w:val="both"/>
        <w:rPr>
          <w:rFonts w:ascii="Times" w:hAnsi="Times"/>
          <w:color w:val="000000" w:themeColor="text1"/>
        </w:rPr>
      </w:pPr>
      <w:r w:rsidRPr="00502F00">
        <w:rPr>
          <w:rFonts w:ascii="Times" w:hAnsi="Times"/>
          <w:color w:val="000000" w:themeColor="text1"/>
        </w:rPr>
        <w:t>Autrement dit et bien que ce fait soit rarement mentionné, il est bien admis que l’éthique est une source de nombreuses normes dégagées par la jurisprudence de la Cour, et non des moindres. Il semble</w:t>
      </w:r>
      <w:r w:rsidR="00D21675">
        <w:rPr>
          <w:rFonts w:ascii="Times" w:hAnsi="Times"/>
          <w:color w:val="000000" w:themeColor="text1"/>
        </w:rPr>
        <w:t xml:space="preserve"> en effet</w:t>
      </w:r>
      <w:r w:rsidRPr="00502F00">
        <w:rPr>
          <w:rFonts w:ascii="Times" w:hAnsi="Times"/>
          <w:color w:val="000000" w:themeColor="text1"/>
        </w:rPr>
        <w:t xml:space="preserve"> qu’il soit possible de pousser le raisonnement jusqu’à y ajouter</w:t>
      </w:r>
      <w:r w:rsidR="002A2484" w:rsidRPr="00502F00">
        <w:rPr>
          <w:rFonts w:ascii="Times" w:hAnsi="Times"/>
          <w:color w:val="000000" w:themeColor="text1"/>
        </w:rPr>
        <w:t xml:space="preserve"> l</w:t>
      </w:r>
      <w:r w:rsidRPr="00502F00">
        <w:rPr>
          <w:rFonts w:ascii="Times" w:hAnsi="Times"/>
          <w:color w:val="000000" w:themeColor="text1"/>
        </w:rPr>
        <w:t xml:space="preserve">a reconnaissance du </w:t>
      </w:r>
      <w:r w:rsidR="002A2484" w:rsidRPr="00502F00">
        <w:rPr>
          <w:rFonts w:ascii="Times" w:hAnsi="Times"/>
          <w:i/>
          <w:iCs/>
          <w:color w:val="000000" w:themeColor="text1"/>
        </w:rPr>
        <w:t xml:space="preserve">jus </w:t>
      </w:r>
      <w:proofErr w:type="spellStart"/>
      <w:r w:rsidR="002A2484" w:rsidRPr="00502F00">
        <w:rPr>
          <w:rFonts w:ascii="Times" w:hAnsi="Times"/>
          <w:i/>
          <w:iCs/>
          <w:color w:val="000000" w:themeColor="text1"/>
        </w:rPr>
        <w:t>cogens</w:t>
      </w:r>
      <w:proofErr w:type="spellEnd"/>
      <w:r w:rsidR="002A2484" w:rsidRPr="00502F00">
        <w:rPr>
          <w:rFonts w:ascii="Times" w:hAnsi="Times"/>
          <w:color w:val="000000" w:themeColor="text1"/>
        </w:rPr>
        <w:t xml:space="preserve"> dans son ensemble. Qu’est-ce </w:t>
      </w:r>
      <w:r w:rsidRPr="00502F00">
        <w:rPr>
          <w:rFonts w:ascii="Times" w:hAnsi="Times"/>
          <w:color w:val="000000" w:themeColor="text1"/>
        </w:rPr>
        <w:t xml:space="preserve">finalement </w:t>
      </w:r>
      <w:r w:rsidR="002A2484" w:rsidRPr="00502F00">
        <w:rPr>
          <w:rFonts w:ascii="Times" w:hAnsi="Times"/>
          <w:color w:val="000000" w:themeColor="text1"/>
        </w:rPr>
        <w:t xml:space="preserve">que le </w:t>
      </w:r>
      <w:r w:rsidR="002A2484" w:rsidRPr="00502F00">
        <w:rPr>
          <w:rFonts w:ascii="Times" w:hAnsi="Times"/>
          <w:i/>
          <w:iCs/>
          <w:color w:val="000000" w:themeColor="text1"/>
        </w:rPr>
        <w:t xml:space="preserve">jus </w:t>
      </w:r>
      <w:proofErr w:type="spellStart"/>
      <w:r w:rsidR="002A2484" w:rsidRPr="00502F00">
        <w:rPr>
          <w:rFonts w:ascii="Times" w:hAnsi="Times"/>
          <w:i/>
          <w:iCs/>
          <w:color w:val="000000" w:themeColor="text1"/>
        </w:rPr>
        <w:t>cogens</w:t>
      </w:r>
      <w:proofErr w:type="spellEnd"/>
      <w:r w:rsidR="002A2484" w:rsidRPr="00502F00">
        <w:rPr>
          <w:rFonts w:ascii="Times" w:hAnsi="Times"/>
          <w:color w:val="000000" w:themeColor="text1"/>
        </w:rPr>
        <w:t xml:space="preserve">, sinon un ensemble de normes dont l’ensemble de la </w:t>
      </w:r>
      <w:r w:rsidRPr="00502F00">
        <w:rPr>
          <w:rFonts w:ascii="Times" w:hAnsi="Times"/>
          <w:color w:val="000000" w:themeColor="text1"/>
        </w:rPr>
        <w:t>société</w:t>
      </w:r>
      <w:r w:rsidR="002A2484" w:rsidRPr="00502F00">
        <w:rPr>
          <w:rFonts w:ascii="Times" w:hAnsi="Times"/>
          <w:color w:val="000000" w:themeColor="text1"/>
        </w:rPr>
        <w:t xml:space="preserve"> internationale considère qu’elle</w:t>
      </w:r>
      <w:r w:rsidRPr="00502F00">
        <w:rPr>
          <w:rFonts w:ascii="Times" w:hAnsi="Times"/>
          <w:color w:val="000000" w:themeColor="text1"/>
        </w:rPr>
        <w:t>s</w:t>
      </w:r>
      <w:r w:rsidR="002A2484" w:rsidRPr="00502F00">
        <w:rPr>
          <w:rFonts w:ascii="Times" w:hAnsi="Times"/>
          <w:color w:val="000000" w:themeColor="text1"/>
        </w:rPr>
        <w:t xml:space="preserve"> constituent la ligne rouge du comportement humain, à tel point qu</w:t>
      </w:r>
      <w:r w:rsidRPr="00502F00">
        <w:rPr>
          <w:rFonts w:ascii="Times" w:hAnsi="Times"/>
          <w:color w:val="000000" w:themeColor="text1"/>
        </w:rPr>
        <w:t>’elle est prête à</w:t>
      </w:r>
      <w:r w:rsidR="002A2484" w:rsidRPr="00502F00">
        <w:rPr>
          <w:rFonts w:ascii="Times" w:hAnsi="Times"/>
          <w:color w:val="000000" w:themeColor="text1"/>
        </w:rPr>
        <w:t xml:space="preserve"> lui conf</w:t>
      </w:r>
      <w:r w:rsidRPr="00502F00">
        <w:rPr>
          <w:rFonts w:ascii="Times" w:hAnsi="Times"/>
          <w:color w:val="000000" w:themeColor="text1"/>
        </w:rPr>
        <w:t>ér</w:t>
      </w:r>
      <w:r w:rsidR="002A2484" w:rsidRPr="00502F00">
        <w:rPr>
          <w:rFonts w:ascii="Times" w:hAnsi="Times"/>
          <w:color w:val="000000" w:themeColor="text1"/>
        </w:rPr>
        <w:t>e</w:t>
      </w:r>
      <w:r w:rsidRPr="00502F00">
        <w:rPr>
          <w:rFonts w:ascii="Times" w:hAnsi="Times"/>
          <w:color w:val="000000" w:themeColor="text1"/>
        </w:rPr>
        <w:t>r</w:t>
      </w:r>
      <w:r w:rsidR="002A2484" w:rsidRPr="00502F00">
        <w:rPr>
          <w:rFonts w:ascii="Times" w:hAnsi="Times"/>
          <w:color w:val="000000" w:themeColor="text1"/>
        </w:rPr>
        <w:t xml:space="preserve"> d’emblée un caractère </w:t>
      </w:r>
      <w:proofErr w:type="spellStart"/>
      <w:r w:rsidR="002A2484" w:rsidRPr="00502F00">
        <w:rPr>
          <w:rFonts w:ascii="Times" w:hAnsi="Times"/>
          <w:color w:val="000000" w:themeColor="text1"/>
        </w:rPr>
        <w:t>indérogeable</w:t>
      </w:r>
      <w:proofErr w:type="spellEnd"/>
      <w:r w:rsidRPr="00502F00">
        <w:rPr>
          <w:rFonts w:ascii="Times" w:hAnsi="Times"/>
          <w:color w:val="000000" w:themeColor="text1"/>
        </w:rPr>
        <w:t>,</w:t>
      </w:r>
      <w:r w:rsidR="002A2484" w:rsidRPr="00502F00">
        <w:rPr>
          <w:rFonts w:ascii="Times" w:hAnsi="Times"/>
          <w:color w:val="000000" w:themeColor="text1"/>
        </w:rPr>
        <w:t xml:space="preserve"> par ailleurs inexistant en droit international</w:t>
      </w:r>
      <w:r w:rsidRPr="00502F00">
        <w:rPr>
          <w:rStyle w:val="Appelnotedebasdep"/>
          <w:rFonts w:ascii="Times" w:hAnsi="Times"/>
          <w:color w:val="000000" w:themeColor="text1"/>
        </w:rPr>
        <w:footnoteReference w:id="43"/>
      </w:r>
      <w:r w:rsidRPr="00502F00">
        <w:rPr>
          <w:rFonts w:ascii="Times" w:hAnsi="Times"/>
          <w:color w:val="000000" w:themeColor="text1"/>
        </w:rPr>
        <w:t xml:space="preserve"> ? </w:t>
      </w:r>
      <w:r w:rsidRPr="00502F00">
        <w:rPr>
          <w:rFonts w:ascii="Times" w:hAnsi="Times"/>
          <w:color w:val="000000" w:themeColor="text1"/>
        </w:rPr>
        <w:lastRenderedPageBreak/>
        <w:t>L’</w:t>
      </w:r>
      <w:r w:rsidR="002A2484" w:rsidRPr="00502F00">
        <w:rPr>
          <w:rFonts w:ascii="Times" w:hAnsi="Times"/>
          <w:color w:val="000000" w:themeColor="text1"/>
        </w:rPr>
        <w:t xml:space="preserve">émergence du </w:t>
      </w:r>
      <w:r w:rsidR="002A2484" w:rsidRPr="00502F00">
        <w:rPr>
          <w:rFonts w:ascii="Times" w:hAnsi="Times"/>
          <w:i/>
          <w:iCs/>
          <w:color w:val="000000" w:themeColor="text1"/>
        </w:rPr>
        <w:t xml:space="preserve">jus </w:t>
      </w:r>
      <w:proofErr w:type="spellStart"/>
      <w:r w:rsidR="002A2484" w:rsidRPr="00502F00">
        <w:rPr>
          <w:rFonts w:ascii="Times" w:hAnsi="Times"/>
          <w:i/>
          <w:iCs/>
          <w:color w:val="000000" w:themeColor="text1"/>
        </w:rPr>
        <w:t>cogens</w:t>
      </w:r>
      <w:proofErr w:type="spellEnd"/>
      <w:r w:rsidR="002A2484" w:rsidRPr="00502F00">
        <w:rPr>
          <w:rFonts w:ascii="Times" w:hAnsi="Times"/>
          <w:color w:val="000000" w:themeColor="text1"/>
        </w:rPr>
        <w:t xml:space="preserve"> comme la qualité </w:t>
      </w:r>
      <w:r w:rsidR="002A2484" w:rsidRPr="00502F00">
        <w:rPr>
          <w:rFonts w:ascii="Times" w:hAnsi="Times"/>
          <w:i/>
          <w:iCs/>
          <w:color w:val="000000" w:themeColor="text1"/>
        </w:rPr>
        <w:t xml:space="preserve">erga </w:t>
      </w:r>
      <w:proofErr w:type="spellStart"/>
      <w:r w:rsidR="002A2484" w:rsidRPr="00502F00">
        <w:rPr>
          <w:rFonts w:ascii="Times" w:hAnsi="Times"/>
          <w:i/>
          <w:iCs/>
          <w:color w:val="000000" w:themeColor="text1"/>
        </w:rPr>
        <w:t>omnes</w:t>
      </w:r>
      <w:proofErr w:type="spellEnd"/>
      <w:r w:rsidR="002A2484" w:rsidRPr="00502F00">
        <w:rPr>
          <w:rFonts w:ascii="Times" w:hAnsi="Times"/>
          <w:color w:val="000000" w:themeColor="text1"/>
        </w:rPr>
        <w:t xml:space="preserve"> de certaines normes </w:t>
      </w:r>
      <w:r w:rsidRPr="00502F00">
        <w:rPr>
          <w:rFonts w:ascii="Times" w:hAnsi="Times"/>
          <w:color w:val="000000" w:themeColor="text1"/>
        </w:rPr>
        <w:t>constituent</w:t>
      </w:r>
      <w:r w:rsidR="002A2484" w:rsidRPr="00502F00">
        <w:rPr>
          <w:rFonts w:ascii="Times" w:hAnsi="Times"/>
          <w:color w:val="000000" w:themeColor="text1"/>
        </w:rPr>
        <w:t xml:space="preserve"> des constructions juridiques</w:t>
      </w:r>
      <w:r w:rsidRPr="00502F00">
        <w:rPr>
          <w:rFonts w:ascii="Times" w:hAnsi="Times"/>
          <w:color w:val="000000" w:themeColor="text1"/>
        </w:rPr>
        <w:t xml:space="preserve"> dont l’on peut soutenir qu’elles sont</w:t>
      </w:r>
      <w:r w:rsidR="002A2484" w:rsidRPr="00502F00">
        <w:rPr>
          <w:rFonts w:ascii="Times" w:hAnsi="Times"/>
          <w:color w:val="000000" w:themeColor="text1"/>
        </w:rPr>
        <w:t xml:space="preserve"> directement</w:t>
      </w:r>
      <w:r w:rsidRPr="00502F00">
        <w:rPr>
          <w:rFonts w:ascii="Times" w:hAnsi="Times"/>
          <w:color w:val="000000" w:themeColor="text1"/>
        </w:rPr>
        <w:t xml:space="preserve"> et même intrinsèquement</w:t>
      </w:r>
      <w:r w:rsidR="002A2484" w:rsidRPr="00502F00">
        <w:rPr>
          <w:rFonts w:ascii="Times" w:hAnsi="Times"/>
          <w:color w:val="000000" w:themeColor="text1"/>
        </w:rPr>
        <w:t xml:space="preserve"> liées à des impératifs éthiques. </w:t>
      </w:r>
      <w:r w:rsidR="00F94E11" w:rsidRPr="00502F00">
        <w:rPr>
          <w:rFonts w:ascii="Times" w:hAnsi="Times"/>
          <w:color w:val="000000" w:themeColor="text1"/>
        </w:rPr>
        <w:t xml:space="preserve">L’idée selon laquelle les normes impératives de droit international relèveraient de considérations morales apparaît d’ailleurs en filigrane dans la jurisprudence de la Cour. Tel est notamment le cas dans l’affaire du </w:t>
      </w:r>
      <w:r w:rsidR="00F94E11" w:rsidRPr="00502F00">
        <w:rPr>
          <w:rFonts w:ascii="Times" w:hAnsi="Times"/>
          <w:i/>
          <w:iCs/>
          <w:color w:val="000000" w:themeColor="text1"/>
        </w:rPr>
        <w:t>Génocide</w:t>
      </w:r>
      <w:r w:rsidR="00F94E11" w:rsidRPr="00502F00">
        <w:rPr>
          <w:rFonts w:ascii="Times" w:hAnsi="Times"/>
          <w:color w:val="000000" w:themeColor="text1"/>
        </w:rPr>
        <w:t>, lorsqu’elle juxtapose un rappel de la formule de son avis de 1951 selon laquelle la Convention pour la répression du crime de génocide renvoie aux « principes de morale et d’humanité qui sont à sa base »</w:t>
      </w:r>
      <w:r w:rsidR="00F94E11" w:rsidRPr="00502F00">
        <w:rPr>
          <w:rStyle w:val="Appelnotedebasdep"/>
          <w:rFonts w:ascii="Times" w:hAnsi="Times"/>
          <w:color w:val="000000" w:themeColor="text1"/>
        </w:rPr>
        <w:footnoteReference w:id="44"/>
      </w:r>
      <w:r w:rsidR="00F94E11" w:rsidRPr="00502F00">
        <w:rPr>
          <w:rFonts w:ascii="Times" w:hAnsi="Times"/>
          <w:color w:val="000000" w:themeColor="text1"/>
        </w:rPr>
        <w:t xml:space="preserve"> avec la mention de l’affaire des </w:t>
      </w:r>
      <w:r w:rsidR="00F94E11" w:rsidRPr="00502F00">
        <w:rPr>
          <w:rFonts w:ascii="Times" w:hAnsi="Times"/>
          <w:i/>
          <w:iCs/>
          <w:color w:val="000000" w:themeColor="text1"/>
        </w:rPr>
        <w:t>Activités armées</w:t>
      </w:r>
      <w:r w:rsidR="00F94E11" w:rsidRPr="00502F00">
        <w:rPr>
          <w:rStyle w:val="Appelnotedebasdep"/>
          <w:rFonts w:ascii="Times" w:hAnsi="Times"/>
          <w:color w:val="000000" w:themeColor="text1"/>
        </w:rPr>
        <w:footnoteReference w:id="45"/>
      </w:r>
      <w:r w:rsidR="00F94E11" w:rsidRPr="00502F00">
        <w:rPr>
          <w:rFonts w:ascii="Times" w:hAnsi="Times"/>
          <w:color w:val="000000" w:themeColor="text1"/>
        </w:rPr>
        <w:t xml:space="preserve"> pour indiquer que « la norme interdisant le génocide constituait assurément une norme impérative du droit international »</w:t>
      </w:r>
      <w:r w:rsidR="00F94E11" w:rsidRPr="00502F00">
        <w:rPr>
          <w:rStyle w:val="Appelnotedebasdep"/>
          <w:rFonts w:ascii="Times" w:hAnsi="Times"/>
          <w:color w:val="000000" w:themeColor="text1"/>
        </w:rPr>
        <w:footnoteReference w:id="46"/>
      </w:r>
      <w:r w:rsidR="00F94E11" w:rsidRPr="00502F00">
        <w:rPr>
          <w:rFonts w:ascii="Times" w:hAnsi="Times"/>
          <w:color w:val="000000" w:themeColor="text1"/>
        </w:rPr>
        <w:t xml:space="preserve"> – le terme de « morale » étant absent de l’arrêt de 2006.</w:t>
      </w:r>
      <w:r w:rsidR="004B7B5C" w:rsidRPr="00502F00">
        <w:rPr>
          <w:rFonts w:ascii="Times" w:hAnsi="Times"/>
          <w:color w:val="000000" w:themeColor="text1"/>
        </w:rPr>
        <w:t xml:space="preserve"> L’évocation, ici, de la morale ne doit pas duper : le </w:t>
      </w:r>
      <w:r w:rsidR="004B7B5C" w:rsidRPr="00502F00">
        <w:rPr>
          <w:rFonts w:ascii="Times" w:hAnsi="Times"/>
          <w:i/>
          <w:iCs/>
          <w:color w:val="000000" w:themeColor="text1"/>
        </w:rPr>
        <w:t xml:space="preserve">jus </w:t>
      </w:r>
      <w:proofErr w:type="spellStart"/>
      <w:r w:rsidR="004B7B5C" w:rsidRPr="00502F00">
        <w:rPr>
          <w:rFonts w:ascii="Times" w:hAnsi="Times"/>
          <w:i/>
          <w:iCs/>
          <w:color w:val="000000" w:themeColor="text1"/>
        </w:rPr>
        <w:t>cogens</w:t>
      </w:r>
      <w:proofErr w:type="spellEnd"/>
      <w:r w:rsidR="004B7B5C" w:rsidRPr="00502F00">
        <w:rPr>
          <w:rFonts w:ascii="Times" w:hAnsi="Times"/>
          <w:color w:val="000000" w:themeColor="text1"/>
        </w:rPr>
        <w:t xml:space="preserve"> en lui-même relève probablement d’une morale universelle, moins relative et contingente que l’éthique, tout du moins dans le sens conféré à ces termes dans cette étude. En revanche, la reconnaissance de la qualité impérative d’une norme par la Cour, peut, pour sa part, revêtir une dimension éthique ou à tout le moins découler d’un questionnement éthique. Les questionnements relatifs à l’opportunité d’intégrer certains droits humains dans le « socle » du </w:t>
      </w:r>
      <w:r w:rsidR="004B7B5C" w:rsidRPr="00502F00">
        <w:rPr>
          <w:rFonts w:ascii="Times" w:hAnsi="Times"/>
          <w:i/>
          <w:iCs/>
          <w:color w:val="000000" w:themeColor="text1"/>
        </w:rPr>
        <w:t xml:space="preserve">jus </w:t>
      </w:r>
      <w:proofErr w:type="spellStart"/>
      <w:r w:rsidR="004B7B5C" w:rsidRPr="00502F00">
        <w:rPr>
          <w:rFonts w:ascii="Times" w:hAnsi="Times"/>
          <w:i/>
          <w:iCs/>
          <w:color w:val="000000" w:themeColor="text1"/>
        </w:rPr>
        <w:t>cogens</w:t>
      </w:r>
      <w:proofErr w:type="spellEnd"/>
      <w:r w:rsidR="004B7B5C" w:rsidRPr="00502F00">
        <w:rPr>
          <w:rFonts w:ascii="Times" w:hAnsi="Times"/>
          <w:color w:val="000000" w:themeColor="text1"/>
        </w:rPr>
        <w:t xml:space="preserve"> trahissent le caractère dépendant du contexte de la démarche : « </w:t>
      </w:r>
      <w:r w:rsidR="004B7B5C" w:rsidRPr="00502F00">
        <w:rPr>
          <w:rFonts w:ascii="Times" w:hAnsi="Times"/>
          <w:color w:val="000000" w:themeColor="text1"/>
        </w:rPr>
        <w:t xml:space="preserve">la protection de tous les droits de l’homme ne relève pas du </w:t>
      </w:r>
      <w:r w:rsidR="004B7B5C" w:rsidRPr="00502F00">
        <w:rPr>
          <w:rFonts w:ascii="Times" w:hAnsi="Times"/>
          <w:i/>
          <w:iCs/>
          <w:color w:val="000000" w:themeColor="text1"/>
        </w:rPr>
        <w:t xml:space="preserve">jus </w:t>
      </w:r>
      <w:proofErr w:type="spellStart"/>
      <w:r w:rsidR="004B7B5C" w:rsidRPr="00502F00">
        <w:rPr>
          <w:rFonts w:ascii="Times" w:hAnsi="Times"/>
          <w:i/>
          <w:iCs/>
          <w:color w:val="000000" w:themeColor="text1"/>
        </w:rPr>
        <w:t>cogens</w:t>
      </w:r>
      <w:proofErr w:type="spellEnd"/>
      <w:r w:rsidR="004B7B5C" w:rsidRPr="00502F00">
        <w:rPr>
          <w:rFonts w:ascii="Times" w:hAnsi="Times"/>
          <w:color w:val="000000" w:themeColor="text1"/>
        </w:rPr>
        <w:t xml:space="preserve">. Dans la société internationale peu intégrée qui est la nôtre, au sein de laquelle les solidarités demeurent limitées, seul un socle minimum de droits </w:t>
      </w:r>
      <w:proofErr w:type="gramStart"/>
      <w:r w:rsidR="004B7B5C" w:rsidRPr="00502F00">
        <w:rPr>
          <w:rFonts w:ascii="Times" w:hAnsi="Times"/>
          <w:color w:val="000000" w:themeColor="text1"/>
        </w:rPr>
        <w:t>peuvent</w:t>
      </w:r>
      <w:proofErr w:type="gramEnd"/>
      <w:r w:rsidR="004B7B5C" w:rsidRPr="00502F00">
        <w:rPr>
          <w:rFonts w:ascii="Times" w:hAnsi="Times"/>
          <w:color w:val="000000" w:themeColor="text1"/>
        </w:rPr>
        <w:t>, raisonnablement, être tenus pour « impératifs », ou, en tout cas, acceptés et reconnus comme tels</w:t>
      </w:r>
      <w:r w:rsidR="004B7B5C" w:rsidRPr="00502F00">
        <w:rPr>
          <w:rFonts w:ascii="Times" w:hAnsi="Times"/>
          <w:color w:val="000000" w:themeColor="text1"/>
        </w:rPr>
        <w:t> »</w:t>
      </w:r>
      <w:r w:rsidR="004B7B5C" w:rsidRPr="00502F00">
        <w:rPr>
          <w:rStyle w:val="Appelnotedebasdep"/>
          <w:rFonts w:ascii="Times" w:hAnsi="Times"/>
          <w:color w:val="000000" w:themeColor="text1"/>
        </w:rPr>
        <w:footnoteReference w:id="47"/>
      </w:r>
      <w:r w:rsidR="004B7B5C" w:rsidRPr="00502F00">
        <w:rPr>
          <w:rFonts w:ascii="Times" w:hAnsi="Times"/>
          <w:color w:val="000000" w:themeColor="text1"/>
        </w:rPr>
        <w:t>. Nul ne peut cependant nier que la qualité de norme impérative pourrait, à l’avenir, être reconnue à d’autres normes – préexistantes – du fait de l’évolution de ces solidarités, selon un processus que l’on pourrait qualifier d</w:t>
      </w:r>
      <w:proofErr w:type="gramStart"/>
      <w:r w:rsidR="004B7B5C" w:rsidRPr="00502F00">
        <w:rPr>
          <w:rFonts w:ascii="Times" w:hAnsi="Times"/>
          <w:color w:val="000000" w:themeColor="text1"/>
        </w:rPr>
        <w:t>’«</w:t>
      </w:r>
      <w:proofErr w:type="gramEnd"/>
      <w:r w:rsidR="004B7B5C" w:rsidRPr="00502F00">
        <w:rPr>
          <w:rFonts w:ascii="Times" w:hAnsi="Times"/>
          <w:color w:val="000000" w:themeColor="text1"/>
        </w:rPr>
        <w:t> </w:t>
      </w:r>
      <w:proofErr w:type="spellStart"/>
      <w:r w:rsidR="004B7B5C" w:rsidRPr="00502F00">
        <w:rPr>
          <w:rFonts w:ascii="Times" w:hAnsi="Times"/>
          <w:color w:val="000000" w:themeColor="text1"/>
        </w:rPr>
        <w:t>éthicisation</w:t>
      </w:r>
      <w:proofErr w:type="spellEnd"/>
      <w:r w:rsidR="004B7B5C" w:rsidRPr="00502F00">
        <w:rPr>
          <w:rFonts w:ascii="Times" w:hAnsi="Times"/>
          <w:color w:val="000000" w:themeColor="text1"/>
        </w:rPr>
        <w:t> » du droit international.</w:t>
      </w:r>
    </w:p>
    <w:p w14:paraId="35C667D7" w14:textId="77777777" w:rsidR="002A2484" w:rsidRPr="00502F00" w:rsidRDefault="002A2484" w:rsidP="002A2484">
      <w:pPr>
        <w:jc w:val="both"/>
        <w:rPr>
          <w:rFonts w:ascii="Times" w:hAnsi="Times"/>
          <w:color w:val="000000" w:themeColor="text1"/>
        </w:rPr>
      </w:pPr>
    </w:p>
    <w:p w14:paraId="31ECE4DA" w14:textId="3FED7860" w:rsidR="00BC332F" w:rsidRPr="00502F00" w:rsidRDefault="004B7B5C" w:rsidP="004B7B5C">
      <w:pPr>
        <w:jc w:val="both"/>
        <w:rPr>
          <w:rFonts w:ascii="Times" w:hAnsi="Times"/>
          <w:color w:val="000000" w:themeColor="text1"/>
        </w:rPr>
      </w:pPr>
      <w:r w:rsidRPr="00502F00">
        <w:rPr>
          <w:rFonts w:ascii="Times" w:hAnsi="Times"/>
          <w:i/>
          <w:iCs/>
          <w:color w:val="000000" w:themeColor="text1"/>
        </w:rPr>
        <w:t>In fine</w:t>
      </w:r>
      <w:r w:rsidRPr="00502F00">
        <w:rPr>
          <w:rFonts w:ascii="Times" w:hAnsi="Times"/>
          <w:color w:val="000000" w:themeColor="text1"/>
        </w:rPr>
        <w:t xml:space="preserve"> et quand bien même ce dernier point ne serait pas admis,</w:t>
      </w:r>
      <w:r w:rsidR="002A2484" w:rsidRPr="00502F00">
        <w:rPr>
          <w:rFonts w:ascii="Times" w:hAnsi="Times"/>
          <w:color w:val="000000" w:themeColor="text1"/>
        </w:rPr>
        <w:t xml:space="preserve"> l’éthique peut être vue comme une source matérielle de très nombreuses normes de droit international, </w:t>
      </w:r>
      <w:r w:rsidRPr="00502F00">
        <w:rPr>
          <w:rFonts w:ascii="Times" w:hAnsi="Times"/>
          <w:color w:val="000000" w:themeColor="text1"/>
        </w:rPr>
        <w:t xml:space="preserve">laquelle s’avère </w:t>
      </w:r>
      <w:r w:rsidR="002A2484" w:rsidRPr="00502F00">
        <w:rPr>
          <w:rFonts w:ascii="Times" w:hAnsi="Times"/>
          <w:color w:val="000000" w:themeColor="text1"/>
        </w:rPr>
        <w:t xml:space="preserve">particulièrement visible lorsque la règle de droit est indéterminée. Autrement dit, c’est surtout lorsque le droit </w:t>
      </w:r>
      <w:r w:rsidRPr="00502F00">
        <w:rPr>
          <w:rFonts w:ascii="Times" w:hAnsi="Times"/>
          <w:color w:val="000000" w:themeColor="text1"/>
        </w:rPr>
        <w:t>manque de clarté</w:t>
      </w:r>
      <w:r w:rsidR="002A2484" w:rsidRPr="00502F00">
        <w:rPr>
          <w:rFonts w:ascii="Times" w:hAnsi="Times"/>
          <w:color w:val="000000" w:themeColor="text1"/>
        </w:rPr>
        <w:t xml:space="preserve"> et doit être interprété </w:t>
      </w:r>
      <w:r w:rsidRPr="00502F00">
        <w:rPr>
          <w:rFonts w:ascii="Times" w:hAnsi="Times"/>
          <w:color w:val="000000" w:themeColor="text1"/>
        </w:rPr>
        <w:t>qu’il est possible</w:t>
      </w:r>
      <w:r w:rsidR="002A2484" w:rsidRPr="00502F00">
        <w:rPr>
          <w:rFonts w:ascii="Times" w:hAnsi="Times"/>
          <w:color w:val="000000" w:themeColor="text1"/>
        </w:rPr>
        <w:t xml:space="preserve"> </w:t>
      </w:r>
      <w:r w:rsidRPr="00502F00">
        <w:rPr>
          <w:rFonts w:ascii="Times" w:hAnsi="Times"/>
          <w:color w:val="000000" w:themeColor="text1"/>
        </w:rPr>
        <w:t>de</w:t>
      </w:r>
      <w:r w:rsidR="002A2484" w:rsidRPr="00502F00">
        <w:rPr>
          <w:rFonts w:ascii="Times" w:hAnsi="Times"/>
          <w:color w:val="000000" w:themeColor="text1"/>
        </w:rPr>
        <w:t xml:space="preserve"> déceler des considérations éthiques sous-jacentes</w:t>
      </w:r>
      <w:r w:rsidRPr="00502F00">
        <w:rPr>
          <w:rFonts w:ascii="Times" w:hAnsi="Times"/>
          <w:color w:val="000000" w:themeColor="text1"/>
        </w:rPr>
        <w:t>. Cela</w:t>
      </w:r>
      <w:r w:rsidR="002A2484" w:rsidRPr="00502F00">
        <w:rPr>
          <w:rFonts w:ascii="Times" w:hAnsi="Times"/>
          <w:color w:val="000000" w:themeColor="text1"/>
        </w:rPr>
        <w:t xml:space="preserve"> est d’autant plus manifeste lorsque la motivation de la Cour est fragile sur l’interprétation ou l</w:t>
      </w:r>
      <w:r w:rsidRPr="00502F00">
        <w:rPr>
          <w:rFonts w:ascii="Times" w:hAnsi="Times"/>
          <w:color w:val="000000" w:themeColor="text1"/>
        </w:rPr>
        <w:t xml:space="preserve">’identification </w:t>
      </w:r>
      <w:r w:rsidR="002A2484" w:rsidRPr="00502F00">
        <w:rPr>
          <w:rFonts w:ascii="Times" w:hAnsi="Times"/>
          <w:color w:val="000000" w:themeColor="text1"/>
        </w:rPr>
        <w:t>de la norme en question.</w:t>
      </w:r>
    </w:p>
    <w:p w14:paraId="1C26294D" w14:textId="7F0B2405" w:rsidR="004B7B5C" w:rsidRPr="00502F00" w:rsidRDefault="004B7B5C" w:rsidP="004B7B5C">
      <w:pPr>
        <w:jc w:val="both"/>
        <w:rPr>
          <w:rFonts w:ascii="Times" w:hAnsi="Times"/>
          <w:b/>
          <w:bCs/>
          <w:color w:val="000000" w:themeColor="text1"/>
        </w:rPr>
      </w:pPr>
    </w:p>
    <w:p w14:paraId="35C5CEA6" w14:textId="0750AE94" w:rsidR="002A2484" w:rsidRPr="00502F00" w:rsidRDefault="004B7B5C" w:rsidP="002A2484">
      <w:pPr>
        <w:pStyle w:val="Paragraphedeliste"/>
        <w:numPr>
          <w:ilvl w:val="0"/>
          <w:numId w:val="7"/>
        </w:numPr>
        <w:jc w:val="both"/>
        <w:rPr>
          <w:rFonts w:ascii="Times" w:hAnsi="Times"/>
          <w:b/>
          <w:bCs/>
          <w:color w:val="000000" w:themeColor="text1"/>
        </w:rPr>
      </w:pPr>
      <w:r w:rsidRPr="00502F00">
        <w:rPr>
          <w:rFonts w:ascii="Times" w:hAnsi="Times"/>
          <w:b/>
          <w:bCs/>
          <w:color w:val="000000" w:themeColor="text1"/>
        </w:rPr>
        <w:t>Identification et limites de l’identification du raisonnement éthique dans la jurisprudence de la Cour</w:t>
      </w:r>
    </w:p>
    <w:p w14:paraId="7147C46C" w14:textId="77777777" w:rsidR="004B7B5C" w:rsidRPr="00502F00" w:rsidRDefault="004B7B5C" w:rsidP="002A2484">
      <w:pPr>
        <w:jc w:val="both"/>
        <w:rPr>
          <w:rFonts w:ascii="Times" w:hAnsi="Times"/>
          <w:color w:val="000000" w:themeColor="text1"/>
        </w:rPr>
      </w:pPr>
    </w:p>
    <w:p w14:paraId="343ACCF7" w14:textId="02FFA7D5" w:rsidR="00BC332F" w:rsidRPr="00502F00" w:rsidRDefault="004B7B5C" w:rsidP="002A2484">
      <w:pPr>
        <w:jc w:val="both"/>
        <w:rPr>
          <w:rFonts w:ascii="Times" w:hAnsi="Times"/>
          <w:color w:val="000000" w:themeColor="text1"/>
          <w:sz w:val="30"/>
          <w:szCs w:val="30"/>
        </w:rPr>
      </w:pPr>
      <w:r w:rsidRPr="00502F00">
        <w:rPr>
          <w:rFonts w:ascii="Times" w:hAnsi="Times"/>
          <w:color w:val="000000" w:themeColor="text1"/>
        </w:rPr>
        <w:t>La motivation comme l’absence de motivation de certains</w:t>
      </w:r>
      <w:r w:rsidR="00D21675">
        <w:rPr>
          <w:rFonts w:ascii="Times" w:hAnsi="Times"/>
          <w:color w:val="000000" w:themeColor="text1"/>
        </w:rPr>
        <w:t xml:space="preserve"> points des</w:t>
      </w:r>
      <w:r w:rsidRPr="00502F00">
        <w:rPr>
          <w:rFonts w:ascii="Times" w:hAnsi="Times"/>
          <w:color w:val="000000" w:themeColor="text1"/>
        </w:rPr>
        <w:t xml:space="preserve"> arrêts</w:t>
      </w:r>
      <w:r w:rsidRPr="00502F00">
        <w:rPr>
          <w:rFonts w:ascii="Times" w:hAnsi="Times"/>
          <w:color w:val="000000" w:themeColor="text1"/>
        </w:rPr>
        <w:t xml:space="preserve"> </w:t>
      </w:r>
      <w:r w:rsidR="00D21675">
        <w:rPr>
          <w:rFonts w:ascii="Times" w:hAnsi="Times"/>
          <w:color w:val="000000" w:themeColor="text1"/>
        </w:rPr>
        <w:t xml:space="preserve">de la Cour internationale de justice </w:t>
      </w:r>
      <w:r w:rsidRPr="00502F00">
        <w:rPr>
          <w:rFonts w:ascii="Times" w:hAnsi="Times"/>
          <w:color w:val="000000" w:themeColor="text1"/>
        </w:rPr>
        <w:t>constituent</w:t>
      </w:r>
      <w:r w:rsidRPr="00502F00">
        <w:rPr>
          <w:rFonts w:ascii="Times" w:hAnsi="Times"/>
          <w:color w:val="000000" w:themeColor="text1"/>
        </w:rPr>
        <w:t xml:space="preserve"> </w:t>
      </w:r>
      <w:r w:rsidRPr="00502F00">
        <w:rPr>
          <w:rFonts w:ascii="Times" w:hAnsi="Times"/>
          <w:color w:val="000000" w:themeColor="text1"/>
        </w:rPr>
        <w:t>des indices révélateurs</w:t>
      </w:r>
      <w:r w:rsidRPr="00502F00">
        <w:rPr>
          <w:rFonts w:ascii="Times" w:hAnsi="Times"/>
          <w:color w:val="000000" w:themeColor="text1"/>
        </w:rPr>
        <w:t xml:space="preserve"> de </w:t>
      </w:r>
      <w:r w:rsidR="00BC332F" w:rsidRPr="00502F00">
        <w:rPr>
          <w:rFonts w:ascii="Times" w:hAnsi="Times"/>
          <w:color w:val="000000" w:themeColor="text1"/>
        </w:rPr>
        <w:t>la mesure dans laquelle le juge est influencé par certains enjeux éthiques, à titre de source matérielle du droit international voire à titre</w:t>
      </w:r>
      <w:r w:rsidRPr="00502F00">
        <w:rPr>
          <w:rFonts w:ascii="Times" w:hAnsi="Times"/>
          <w:color w:val="000000" w:themeColor="text1"/>
        </w:rPr>
        <w:t xml:space="preserve"> de « remplacement »</w:t>
      </w:r>
      <w:r w:rsidR="00BC332F" w:rsidRPr="00502F00">
        <w:rPr>
          <w:rFonts w:ascii="Times" w:hAnsi="Times"/>
          <w:color w:val="000000" w:themeColor="text1"/>
        </w:rPr>
        <w:t xml:space="preserve"> d</w:t>
      </w:r>
      <w:r w:rsidRPr="00502F00">
        <w:rPr>
          <w:rFonts w:ascii="Times" w:hAnsi="Times"/>
          <w:color w:val="000000" w:themeColor="text1"/>
        </w:rPr>
        <w:t xml:space="preserve">’un </w:t>
      </w:r>
      <w:r w:rsidR="00BC332F" w:rsidRPr="00502F00">
        <w:rPr>
          <w:rFonts w:ascii="Times" w:hAnsi="Times"/>
          <w:color w:val="000000" w:themeColor="text1"/>
        </w:rPr>
        <w:t>raisonnement juridique</w:t>
      </w:r>
      <w:r w:rsidRPr="00502F00">
        <w:rPr>
          <w:rFonts w:ascii="Times" w:hAnsi="Times"/>
          <w:color w:val="000000" w:themeColor="text1"/>
        </w:rPr>
        <w:t>.</w:t>
      </w:r>
      <w:r w:rsidR="00BC332F" w:rsidRPr="00502F00">
        <w:rPr>
          <w:rFonts w:ascii="Times" w:hAnsi="Times"/>
          <w:color w:val="000000" w:themeColor="text1"/>
        </w:rPr>
        <w:t xml:space="preserve"> </w:t>
      </w:r>
    </w:p>
    <w:p w14:paraId="4B702EB3" w14:textId="77777777" w:rsidR="00BC332F" w:rsidRPr="00502F00" w:rsidRDefault="00BC332F" w:rsidP="002A2484">
      <w:pPr>
        <w:jc w:val="both"/>
        <w:rPr>
          <w:rFonts w:ascii="Times" w:hAnsi="Times"/>
          <w:color w:val="000000" w:themeColor="text1"/>
        </w:rPr>
      </w:pPr>
    </w:p>
    <w:p w14:paraId="009589EE" w14:textId="342BB102" w:rsidR="002A2484" w:rsidRPr="00502F00" w:rsidRDefault="004B7B5C" w:rsidP="002A2484">
      <w:pPr>
        <w:jc w:val="both"/>
        <w:rPr>
          <w:rFonts w:ascii="Times" w:hAnsi="Times"/>
          <w:color w:val="000000" w:themeColor="text1"/>
        </w:rPr>
      </w:pPr>
      <w:r w:rsidRPr="00502F00">
        <w:rPr>
          <w:rFonts w:ascii="Times" w:hAnsi="Times"/>
          <w:color w:val="000000" w:themeColor="text1"/>
        </w:rPr>
        <w:t xml:space="preserve">Un exemple récent peut être pris avec </w:t>
      </w:r>
      <w:r w:rsidR="002A2484" w:rsidRPr="00502F00">
        <w:rPr>
          <w:rFonts w:ascii="Times" w:hAnsi="Times"/>
          <w:color w:val="000000" w:themeColor="text1"/>
        </w:rPr>
        <w:t xml:space="preserve">l’arrêt rendu dans l’affaire des </w:t>
      </w:r>
      <w:r w:rsidR="002A2484" w:rsidRPr="00502F00">
        <w:rPr>
          <w:rFonts w:ascii="Times" w:hAnsi="Times"/>
          <w:i/>
          <w:iCs/>
          <w:color w:val="000000" w:themeColor="text1"/>
        </w:rPr>
        <w:t>Immunités et procédures pénales (Guinée équatoriale c. France)</w:t>
      </w:r>
      <w:r w:rsidR="002A2484" w:rsidRPr="00502F00">
        <w:rPr>
          <w:rFonts w:ascii="Times" w:hAnsi="Times"/>
          <w:color w:val="000000" w:themeColor="text1"/>
        </w:rPr>
        <w:t xml:space="preserve"> le 11 décembre 2020</w:t>
      </w:r>
      <w:r w:rsidRPr="00502F00">
        <w:rPr>
          <w:rStyle w:val="Appelnotedebasdep"/>
          <w:rFonts w:ascii="Times" w:hAnsi="Times"/>
          <w:color w:val="000000" w:themeColor="text1"/>
        </w:rPr>
        <w:footnoteReference w:id="48"/>
      </w:r>
      <w:r w:rsidR="002A2484" w:rsidRPr="00502F00">
        <w:rPr>
          <w:rFonts w:ascii="Times" w:hAnsi="Times"/>
          <w:color w:val="000000" w:themeColor="text1"/>
        </w:rPr>
        <w:t>. Dans cette affaire ubuesque</w:t>
      </w:r>
      <w:r w:rsidRPr="00502F00">
        <w:rPr>
          <w:rFonts w:ascii="Times" w:hAnsi="Times"/>
          <w:color w:val="000000" w:themeColor="text1"/>
        </w:rPr>
        <w:t xml:space="preserve">, </w:t>
      </w:r>
      <w:r w:rsidR="002A2484" w:rsidRPr="00502F00">
        <w:rPr>
          <w:rFonts w:ascii="Times" w:hAnsi="Times"/>
          <w:color w:val="000000" w:themeColor="text1"/>
        </w:rPr>
        <w:t xml:space="preserve">la </w:t>
      </w:r>
      <w:r w:rsidR="002A2484" w:rsidRPr="00502F00">
        <w:rPr>
          <w:rFonts w:ascii="Times" w:hAnsi="Times"/>
          <w:color w:val="000000" w:themeColor="text1"/>
        </w:rPr>
        <w:lastRenderedPageBreak/>
        <w:t>Guinée</w:t>
      </w:r>
      <w:r w:rsidRPr="00502F00">
        <w:rPr>
          <w:rFonts w:ascii="Times" w:hAnsi="Times"/>
          <w:color w:val="000000" w:themeColor="text1"/>
        </w:rPr>
        <w:t xml:space="preserve"> équatoriale</w:t>
      </w:r>
      <w:r w:rsidR="002A2484" w:rsidRPr="00502F00">
        <w:rPr>
          <w:rFonts w:ascii="Times" w:hAnsi="Times"/>
          <w:color w:val="000000" w:themeColor="text1"/>
        </w:rPr>
        <w:t xml:space="preserve"> </w:t>
      </w:r>
      <w:r w:rsidRPr="00502F00">
        <w:rPr>
          <w:rFonts w:ascii="Times" w:hAnsi="Times"/>
          <w:color w:val="000000" w:themeColor="text1"/>
        </w:rPr>
        <w:t>tentait</w:t>
      </w:r>
      <w:r w:rsidR="002A2484" w:rsidRPr="00502F00">
        <w:rPr>
          <w:rFonts w:ascii="Times" w:hAnsi="Times"/>
          <w:color w:val="000000" w:themeColor="text1"/>
        </w:rPr>
        <w:t xml:space="preserve"> </w:t>
      </w:r>
      <w:r w:rsidR="00D21675">
        <w:rPr>
          <w:rFonts w:ascii="Times" w:hAnsi="Times"/>
          <w:color w:val="000000" w:themeColor="text1"/>
        </w:rPr>
        <w:t>démontrer</w:t>
      </w:r>
      <w:r w:rsidR="002A2484" w:rsidRPr="00502F00">
        <w:rPr>
          <w:rFonts w:ascii="Times" w:hAnsi="Times"/>
          <w:color w:val="000000" w:themeColor="text1"/>
        </w:rPr>
        <w:t xml:space="preserve"> qu</w:t>
      </w:r>
      <w:r w:rsidRPr="00502F00">
        <w:rPr>
          <w:rFonts w:ascii="Times" w:hAnsi="Times"/>
          <w:color w:val="000000" w:themeColor="text1"/>
        </w:rPr>
        <w:t xml:space="preserve">e le fameux immeuble du 42, avenue Foch </w:t>
      </w:r>
      <w:r w:rsidR="002A2484" w:rsidRPr="00502F00">
        <w:rPr>
          <w:rFonts w:ascii="Times" w:hAnsi="Times"/>
          <w:color w:val="000000" w:themeColor="text1"/>
        </w:rPr>
        <w:t xml:space="preserve">était un local diplomatique </w:t>
      </w:r>
      <w:r w:rsidRPr="00502F00">
        <w:rPr>
          <w:rFonts w:ascii="Times" w:hAnsi="Times"/>
          <w:color w:val="000000" w:themeColor="text1"/>
        </w:rPr>
        <w:t>guinéen</w:t>
      </w:r>
      <w:r w:rsidR="00D21675">
        <w:rPr>
          <w:rFonts w:ascii="Times" w:hAnsi="Times"/>
          <w:color w:val="000000" w:themeColor="text1"/>
        </w:rPr>
        <w:t>,</w:t>
      </w:r>
      <w:r w:rsidRPr="00502F00">
        <w:rPr>
          <w:rFonts w:ascii="Times" w:hAnsi="Times"/>
          <w:color w:val="000000" w:themeColor="text1"/>
        </w:rPr>
        <w:t xml:space="preserve"> </w:t>
      </w:r>
      <w:r w:rsidR="002A2484" w:rsidRPr="00502F00">
        <w:rPr>
          <w:rFonts w:ascii="Times" w:hAnsi="Times"/>
          <w:color w:val="000000" w:themeColor="text1"/>
        </w:rPr>
        <w:t>alors que tout indiquait le contraire</w:t>
      </w:r>
      <w:r w:rsidRPr="00502F00">
        <w:rPr>
          <w:rStyle w:val="Appelnotedebasdep"/>
          <w:rFonts w:ascii="Times" w:hAnsi="Times"/>
          <w:color w:val="000000" w:themeColor="text1"/>
        </w:rPr>
        <w:footnoteReference w:id="49"/>
      </w:r>
      <w:r w:rsidRPr="00502F00">
        <w:rPr>
          <w:rFonts w:ascii="Times" w:hAnsi="Times"/>
          <w:color w:val="000000" w:themeColor="text1"/>
        </w:rPr>
        <w:t>. En</w:t>
      </w:r>
      <w:r w:rsidR="002A2484" w:rsidRPr="00502F00">
        <w:rPr>
          <w:rFonts w:ascii="Times" w:hAnsi="Times"/>
          <w:color w:val="000000" w:themeColor="text1"/>
        </w:rPr>
        <w:t xml:space="preserve"> l’absence de tout régime juridique,</w:t>
      </w:r>
      <w:r w:rsidRPr="00502F00">
        <w:rPr>
          <w:rFonts w:ascii="Times" w:hAnsi="Times"/>
          <w:color w:val="000000" w:themeColor="text1"/>
        </w:rPr>
        <w:t xml:space="preserve"> la Cour a dû dégager</w:t>
      </w:r>
      <w:r w:rsidR="002A2484" w:rsidRPr="00502F00">
        <w:rPr>
          <w:rFonts w:ascii="Times" w:hAnsi="Times"/>
          <w:color w:val="000000" w:themeColor="text1"/>
        </w:rPr>
        <w:t xml:space="preserve"> des critères </w:t>
      </w:r>
      <w:r w:rsidRPr="00502F00">
        <w:rPr>
          <w:rFonts w:ascii="Times" w:hAnsi="Times"/>
          <w:color w:val="000000" w:themeColor="text1"/>
        </w:rPr>
        <w:t>afin de déterminer la</w:t>
      </w:r>
      <w:r w:rsidR="002A2484" w:rsidRPr="00502F00">
        <w:rPr>
          <w:rFonts w:ascii="Times" w:hAnsi="Times"/>
          <w:color w:val="000000" w:themeColor="text1"/>
        </w:rPr>
        <w:t xml:space="preserve"> licéité</w:t>
      </w:r>
      <w:r w:rsidRPr="00502F00">
        <w:rPr>
          <w:rFonts w:ascii="Times" w:hAnsi="Times"/>
          <w:color w:val="000000" w:themeColor="text1"/>
        </w:rPr>
        <w:t xml:space="preserve">, ou non, </w:t>
      </w:r>
      <w:r w:rsidR="002A2484" w:rsidRPr="00502F00">
        <w:rPr>
          <w:rFonts w:ascii="Times" w:hAnsi="Times"/>
          <w:color w:val="000000" w:themeColor="text1"/>
        </w:rPr>
        <w:t>de l’objection française</w:t>
      </w:r>
      <w:r w:rsidRPr="00502F00">
        <w:rPr>
          <w:rFonts w:ascii="Times" w:hAnsi="Times"/>
          <w:color w:val="000000" w:themeColor="text1"/>
        </w:rPr>
        <w:t xml:space="preserve"> </w:t>
      </w:r>
      <w:r w:rsidR="002A2484" w:rsidRPr="00502F00">
        <w:rPr>
          <w:rFonts w:ascii="Times" w:hAnsi="Times"/>
          <w:color w:val="000000" w:themeColor="text1"/>
        </w:rPr>
        <w:t>à la prétention guinéenne de faire d</w:t>
      </w:r>
      <w:r w:rsidRPr="00502F00">
        <w:rPr>
          <w:rFonts w:ascii="Times" w:hAnsi="Times"/>
          <w:color w:val="000000" w:themeColor="text1"/>
        </w:rPr>
        <w:t xml:space="preserve">e l’immeuble </w:t>
      </w:r>
      <w:r w:rsidR="002A2484" w:rsidRPr="00502F00">
        <w:rPr>
          <w:rFonts w:ascii="Times" w:hAnsi="Times"/>
          <w:color w:val="000000" w:themeColor="text1"/>
        </w:rPr>
        <w:t xml:space="preserve">un local diplomatique. La Cour </w:t>
      </w:r>
      <w:r w:rsidRPr="00502F00">
        <w:rPr>
          <w:rFonts w:ascii="Times" w:hAnsi="Times"/>
          <w:color w:val="000000" w:themeColor="text1"/>
        </w:rPr>
        <w:t>a d’abord relevé</w:t>
      </w:r>
      <w:r w:rsidR="002A2484" w:rsidRPr="00502F00">
        <w:rPr>
          <w:rFonts w:ascii="Times" w:hAnsi="Times"/>
          <w:color w:val="000000" w:themeColor="text1"/>
        </w:rPr>
        <w:t xml:space="preserve"> qu’il y a</w:t>
      </w:r>
      <w:r w:rsidRPr="00502F00">
        <w:rPr>
          <w:rFonts w:ascii="Times" w:hAnsi="Times"/>
          <w:color w:val="000000" w:themeColor="text1"/>
        </w:rPr>
        <w:t>vait</w:t>
      </w:r>
      <w:r w:rsidR="002A2484" w:rsidRPr="00502F00">
        <w:rPr>
          <w:rFonts w:ascii="Times" w:hAnsi="Times"/>
          <w:color w:val="000000" w:themeColor="text1"/>
        </w:rPr>
        <w:t xml:space="preserve"> bien eu objection de la France, mais </w:t>
      </w:r>
      <w:r w:rsidRPr="00502F00">
        <w:rPr>
          <w:rFonts w:ascii="Times" w:hAnsi="Times"/>
          <w:color w:val="000000" w:themeColor="text1"/>
        </w:rPr>
        <w:t xml:space="preserve">a </w:t>
      </w:r>
      <w:r w:rsidR="002A2484" w:rsidRPr="00502F00">
        <w:rPr>
          <w:rFonts w:ascii="Times" w:hAnsi="Times"/>
          <w:color w:val="000000" w:themeColor="text1"/>
        </w:rPr>
        <w:t>consid</w:t>
      </w:r>
      <w:r w:rsidRPr="00502F00">
        <w:rPr>
          <w:rFonts w:ascii="Times" w:hAnsi="Times"/>
          <w:color w:val="000000" w:themeColor="text1"/>
        </w:rPr>
        <w:t>éré</w:t>
      </w:r>
      <w:r w:rsidR="002A2484" w:rsidRPr="00502F00">
        <w:rPr>
          <w:rFonts w:ascii="Times" w:hAnsi="Times"/>
          <w:color w:val="000000" w:themeColor="text1"/>
        </w:rPr>
        <w:t xml:space="preserve"> que </w:t>
      </w:r>
      <w:r w:rsidRPr="00502F00">
        <w:rPr>
          <w:rFonts w:ascii="Times" w:hAnsi="Times"/>
          <w:color w:val="000000" w:themeColor="text1"/>
        </w:rPr>
        <w:t>ladite objection</w:t>
      </w:r>
      <w:r w:rsidR="002A2484" w:rsidRPr="00502F00">
        <w:rPr>
          <w:rFonts w:ascii="Times" w:hAnsi="Times"/>
          <w:color w:val="000000" w:themeColor="text1"/>
        </w:rPr>
        <w:t xml:space="preserve"> ne</w:t>
      </w:r>
      <w:r w:rsidRPr="00502F00">
        <w:rPr>
          <w:rFonts w:ascii="Times" w:hAnsi="Times"/>
          <w:color w:val="000000" w:themeColor="text1"/>
        </w:rPr>
        <w:t xml:space="preserve"> pouvait être tenue pour suffisante pour fonder </w:t>
      </w:r>
      <w:r w:rsidR="00D21675">
        <w:rPr>
          <w:rFonts w:ascii="Times" w:hAnsi="Times"/>
          <w:color w:val="000000" w:themeColor="text1"/>
        </w:rPr>
        <w:t>la</w:t>
      </w:r>
      <w:r w:rsidRPr="00502F00">
        <w:rPr>
          <w:rFonts w:ascii="Times" w:hAnsi="Times"/>
          <w:color w:val="000000" w:themeColor="text1"/>
        </w:rPr>
        <w:t xml:space="preserve"> licéité</w:t>
      </w:r>
      <w:r w:rsidR="00D21675">
        <w:rPr>
          <w:rFonts w:ascii="Times" w:hAnsi="Times"/>
          <w:color w:val="000000" w:themeColor="text1"/>
        </w:rPr>
        <w:t xml:space="preserve"> du comportement français</w:t>
      </w:r>
      <w:r w:rsidR="002A2484" w:rsidRPr="00502F00">
        <w:rPr>
          <w:rFonts w:ascii="Times" w:hAnsi="Times"/>
          <w:color w:val="000000" w:themeColor="text1"/>
        </w:rPr>
        <w:t xml:space="preserve">, malgré l’absence de règles encadrant les objections en la matière. </w:t>
      </w:r>
      <w:r w:rsidRPr="00502F00">
        <w:rPr>
          <w:rFonts w:ascii="Times" w:hAnsi="Times"/>
          <w:color w:val="000000" w:themeColor="text1"/>
        </w:rPr>
        <w:t>Elle</w:t>
      </w:r>
      <w:r w:rsidR="002A2484" w:rsidRPr="00502F00">
        <w:rPr>
          <w:rFonts w:ascii="Times" w:hAnsi="Times"/>
          <w:color w:val="000000" w:themeColor="text1"/>
        </w:rPr>
        <w:t xml:space="preserve"> </w:t>
      </w:r>
      <w:r w:rsidRPr="00502F00">
        <w:rPr>
          <w:rFonts w:ascii="Times" w:hAnsi="Times"/>
          <w:color w:val="000000" w:themeColor="text1"/>
        </w:rPr>
        <w:t>juge</w:t>
      </w:r>
      <w:r w:rsidR="002A2484" w:rsidRPr="00502F00">
        <w:rPr>
          <w:rFonts w:ascii="Times" w:hAnsi="Times"/>
          <w:color w:val="000000" w:themeColor="text1"/>
        </w:rPr>
        <w:t xml:space="preserve"> que pour être licite, la position de la France sur ce sujet ne </w:t>
      </w:r>
      <w:r w:rsidRPr="00502F00">
        <w:rPr>
          <w:rFonts w:ascii="Times" w:hAnsi="Times"/>
          <w:color w:val="000000" w:themeColor="text1"/>
        </w:rPr>
        <w:t>devait</w:t>
      </w:r>
      <w:r w:rsidR="002A2484" w:rsidRPr="00502F00">
        <w:rPr>
          <w:rFonts w:ascii="Times" w:hAnsi="Times"/>
          <w:color w:val="000000" w:themeColor="text1"/>
        </w:rPr>
        <w:t xml:space="preserve"> </w:t>
      </w:r>
      <w:r w:rsidRPr="00502F00">
        <w:rPr>
          <w:rFonts w:ascii="Times" w:hAnsi="Times"/>
          <w:color w:val="000000" w:themeColor="text1"/>
        </w:rPr>
        <w:t>avoir été ni</w:t>
      </w:r>
      <w:r w:rsidR="002A2484" w:rsidRPr="00502F00">
        <w:rPr>
          <w:rFonts w:ascii="Times" w:hAnsi="Times"/>
          <w:color w:val="000000" w:themeColor="text1"/>
        </w:rPr>
        <w:t xml:space="preserve"> arbitraire, ni discriminatoire, ni « incohérente ».</w:t>
      </w:r>
      <w:r w:rsidRPr="00502F00">
        <w:rPr>
          <w:rFonts w:ascii="Times" w:hAnsi="Times"/>
          <w:color w:val="000000" w:themeColor="text1"/>
        </w:rPr>
        <w:t xml:space="preserve"> </w:t>
      </w:r>
      <w:r w:rsidR="002A2484" w:rsidRPr="00502F00">
        <w:rPr>
          <w:rFonts w:ascii="Times" w:hAnsi="Times"/>
          <w:color w:val="000000" w:themeColor="text1"/>
        </w:rPr>
        <w:t xml:space="preserve">L’assise juridique de ce raisonnement </w:t>
      </w:r>
      <w:r w:rsidRPr="00502F00">
        <w:rPr>
          <w:rFonts w:ascii="Times" w:hAnsi="Times"/>
          <w:color w:val="000000" w:themeColor="text1"/>
        </w:rPr>
        <w:t>s’est avérée</w:t>
      </w:r>
      <w:r w:rsidR="002A2484" w:rsidRPr="00502F00">
        <w:rPr>
          <w:rFonts w:ascii="Times" w:hAnsi="Times"/>
          <w:color w:val="000000" w:themeColor="text1"/>
        </w:rPr>
        <w:t xml:space="preserve"> très contestable</w:t>
      </w:r>
      <w:r w:rsidRPr="00502F00">
        <w:rPr>
          <w:rFonts w:ascii="Times" w:hAnsi="Times"/>
          <w:color w:val="000000" w:themeColor="text1"/>
        </w:rPr>
        <w:t> ; l</w:t>
      </w:r>
      <w:r w:rsidR="002A2484" w:rsidRPr="00502F00">
        <w:rPr>
          <w:rFonts w:ascii="Times" w:hAnsi="Times"/>
          <w:color w:val="000000" w:themeColor="text1"/>
        </w:rPr>
        <w:t xml:space="preserve">e Président Yusuf </w:t>
      </w:r>
      <w:r w:rsidRPr="00502F00">
        <w:rPr>
          <w:rFonts w:ascii="Times" w:hAnsi="Times"/>
          <w:color w:val="000000" w:themeColor="text1"/>
        </w:rPr>
        <w:t xml:space="preserve">n’a d’ailleurs pas hésité </w:t>
      </w:r>
      <w:r w:rsidR="002A2484" w:rsidRPr="00502F00">
        <w:rPr>
          <w:rFonts w:ascii="Times" w:hAnsi="Times"/>
          <w:color w:val="000000" w:themeColor="text1"/>
        </w:rPr>
        <w:t>à qualifier</w:t>
      </w:r>
      <w:r w:rsidRPr="00502F00">
        <w:rPr>
          <w:rFonts w:ascii="Times" w:hAnsi="Times"/>
          <w:color w:val="000000" w:themeColor="text1"/>
        </w:rPr>
        <w:t xml:space="preserve"> l’exercice prétorien</w:t>
      </w:r>
      <w:r w:rsidR="002A2484" w:rsidRPr="00502F00">
        <w:rPr>
          <w:rFonts w:ascii="Times" w:hAnsi="Times"/>
          <w:color w:val="000000" w:themeColor="text1"/>
        </w:rPr>
        <w:t xml:space="preserve"> « d’extrapolation » sans fondement en droit</w:t>
      </w:r>
      <w:r w:rsidRPr="00502F00">
        <w:rPr>
          <w:rStyle w:val="Appelnotedebasdep"/>
          <w:rFonts w:ascii="Times" w:hAnsi="Times"/>
          <w:color w:val="000000" w:themeColor="text1"/>
        </w:rPr>
        <w:footnoteReference w:id="50"/>
      </w:r>
      <w:r w:rsidR="002A2484" w:rsidRPr="00502F00">
        <w:rPr>
          <w:rFonts w:ascii="Times" w:hAnsi="Times"/>
          <w:color w:val="000000" w:themeColor="text1"/>
        </w:rPr>
        <w:t xml:space="preserve">. </w:t>
      </w:r>
      <w:r w:rsidRPr="00502F00">
        <w:rPr>
          <w:rFonts w:ascii="Times" w:hAnsi="Times"/>
          <w:color w:val="000000" w:themeColor="text1"/>
        </w:rPr>
        <w:t xml:space="preserve">En l’espèce, </w:t>
      </w:r>
      <w:r w:rsidR="002A2484" w:rsidRPr="00502F00">
        <w:rPr>
          <w:rFonts w:ascii="Times" w:hAnsi="Times"/>
          <w:color w:val="000000" w:themeColor="text1"/>
        </w:rPr>
        <w:t xml:space="preserve">le droit était </w:t>
      </w:r>
      <w:r w:rsidRPr="00502F00">
        <w:rPr>
          <w:rFonts w:ascii="Times" w:hAnsi="Times"/>
          <w:color w:val="000000" w:themeColor="text1"/>
        </w:rPr>
        <w:t>manifestement incertain</w:t>
      </w:r>
      <w:r w:rsidR="002A2484" w:rsidRPr="00502F00">
        <w:rPr>
          <w:rFonts w:ascii="Times" w:hAnsi="Times"/>
          <w:color w:val="000000" w:themeColor="text1"/>
        </w:rPr>
        <w:t xml:space="preserve"> puisqu’il n’existait pas</w:t>
      </w:r>
      <w:r w:rsidR="00D21675">
        <w:rPr>
          <w:rFonts w:ascii="Times" w:hAnsi="Times"/>
          <w:color w:val="000000" w:themeColor="text1"/>
        </w:rPr>
        <w:t>.</w:t>
      </w:r>
      <w:r w:rsidRPr="00502F00">
        <w:rPr>
          <w:rFonts w:ascii="Times" w:hAnsi="Times"/>
          <w:color w:val="000000" w:themeColor="text1"/>
        </w:rPr>
        <w:t xml:space="preserve"> </w:t>
      </w:r>
      <w:r w:rsidR="00D21675">
        <w:rPr>
          <w:rFonts w:ascii="Times" w:hAnsi="Times"/>
          <w:color w:val="000000" w:themeColor="text1"/>
        </w:rPr>
        <w:t>À</w:t>
      </w:r>
      <w:r w:rsidRPr="00502F00">
        <w:rPr>
          <w:rFonts w:ascii="Times" w:hAnsi="Times"/>
          <w:color w:val="000000" w:themeColor="text1"/>
        </w:rPr>
        <w:t xml:space="preserve"> la lecture du raisonnement proposé par la Cour, </w:t>
      </w:r>
      <w:r w:rsidR="002A2484" w:rsidRPr="00502F00">
        <w:rPr>
          <w:rFonts w:ascii="Times" w:hAnsi="Times"/>
          <w:color w:val="000000" w:themeColor="text1"/>
        </w:rPr>
        <w:t>il peut être suggéré que l’éthique,</w:t>
      </w:r>
      <w:r w:rsidR="00D21675">
        <w:rPr>
          <w:rFonts w:ascii="Times" w:hAnsi="Times"/>
          <w:color w:val="000000" w:themeColor="text1"/>
        </w:rPr>
        <w:t xml:space="preserve"> toujours</w:t>
      </w:r>
      <w:r w:rsidR="002A2484" w:rsidRPr="00502F00">
        <w:rPr>
          <w:rFonts w:ascii="Times" w:hAnsi="Times"/>
          <w:color w:val="000000" w:themeColor="text1"/>
        </w:rPr>
        <w:t xml:space="preserve"> en tant que questionnement sur le juste et le bon, a joué un rôle</w:t>
      </w:r>
      <w:r w:rsidRPr="00502F00">
        <w:rPr>
          <w:rFonts w:ascii="Times" w:hAnsi="Times"/>
          <w:color w:val="000000" w:themeColor="text1"/>
        </w:rPr>
        <w:t xml:space="preserve"> significatif sinon moteur</w:t>
      </w:r>
      <w:r w:rsidR="002A2484" w:rsidRPr="00502F00">
        <w:rPr>
          <w:rFonts w:ascii="Times" w:hAnsi="Times"/>
          <w:color w:val="000000" w:themeColor="text1"/>
        </w:rPr>
        <w:t xml:space="preserve"> dans </w:t>
      </w:r>
      <w:r w:rsidR="00D21675">
        <w:rPr>
          <w:rFonts w:ascii="Times" w:hAnsi="Times"/>
          <w:color w:val="000000" w:themeColor="text1"/>
        </w:rPr>
        <w:t>son</w:t>
      </w:r>
      <w:r w:rsidR="002A2484" w:rsidRPr="00502F00">
        <w:rPr>
          <w:rFonts w:ascii="Times" w:hAnsi="Times"/>
          <w:color w:val="000000" w:themeColor="text1"/>
        </w:rPr>
        <w:t xml:space="preserve"> élaboration jurisprudentielle.</w:t>
      </w:r>
      <w:r w:rsidR="00D21675">
        <w:rPr>
          <w:rFonts w:ascii="Times" w:hAnsi="Times"/>
          <w:color w:val="000000" w:themeColor="text1"/>
        </w:rPr>
        <w:t xml:space="preserve"> Les critères dégagés – absence d’arbitraire, de discrimination et d’incohérence – sont globalement consensuels et correspondent à ce que la société internationale peut objectivement convenir, raisonnement juridique laissé de côté, comme étant la « bonne » et « juste » solution. Leur application ne résulte d’aucun texte et les raisons pour lesquelles la Cour les a considérés comme appropriés ne sont pas clairement explicitées : la construction juridique s’avère assez faible, sans que son résultat s’avère fondamentalement contestable. Autrement dit, les juges se sont fondés sur ce qui leur semble constituer un comportement « normal » et juste dans les relations internationales, malgré l’indétermination du droit, sans pouvoir motiver en droit ce point. </w:t>
      </w:r>
      <w:r w:rsidRPr="00502F00">
        <w:rPr>
          <w:rFonts w:ascii="Times" w:hAnsi="Times"/>
          <w:color w:val="000000" w:themeColor="text1"/>
        </w:rPr>
        <w:t>Sans qu’il soit nécessaire de se positionner quant à la question de savoir si</w:t>
      </w:r>
      <w:r w:rsidR="002A2484" w:rsidRPr="00502F00">
        <w:rPr>
          <w:rFonts w:ascii="Times" w:hAnsi="Times"/>
          <w:color w:val="000000" w:themeColor="text1"/>
        </w:rPr>
        <w:t xml:space="preserve"> l’application d’un raisonnement</w:t>
      </w:r>
      <w:r w:rsidR="00D21675">
        <w:rPr>
          <w:rFonts w:ascii="Times" w:hAnsi="Times"/>
          <w:color w:val="000000" w:themeColor="text1"/>
        </w:rPr>
        <w:t xml:space="preserve"> que l’on peut donc qualifier d’</w:t>
      </w:r>
      <w:r w:rsidR="002A2484" w:rsidRPr="00502F00">
        <w:rPr>
          <w:rFonts w:ascii="Times" w:hAnsi="Times"/>
          <w:color w:val="000000" w:themeColor="text1"/>
        </w:rPr>
        <w:t>éthique à titre d’ersatz de raisonnement juridique</w:t>
      </w:r>
      <w:r w:rsidRPr="00502F00">
        <w:rPr>
          <w:rFonts w:ascii="Times" w:hAnsi="Times"/>
          <w:color w:val="000000" w:themeColor="text1"/>
        </w:rPr>
        <w:t xml:space="preserve"> est souhaitable en cas d’indétermination de la règle de droit international, </w:t>
      </w:r>
      <w:r w:rsidR="00D21675">
        <w:rPr>
          <w:rFonts w:ascii="Times" w:hAnsi="Times"/>
          <w:color w:val="000000" w:themeColor="text1"/>
        </w:rPr>
        <w:t>on peut incidemment constater</w:t>
      </w:r>
      <w:r w:rsidRPr="00502F00">
        <w:rPr>
          <w:rFonts w:ascii="Times" w:hAnsi="Times"/>
          <w:color w:val="000000" w:themeColor="text1"/>
        </w:rPr>
        <w:t xml:space="preserve"> que </w:t>
      </w:r>
      <w:r w:rsidR="002A2484" w:rsidRPr="00502F00">
        <w:rPr>
          <w:rFonts w:ascii="Times" w:hAnsi="Times"/>
          <w:color w:val="000000" w:themeColor="text1"/>
        </w:rPr>
        <w:t>l’absence de motivation juridique de certaines arrêts ou raisonnements constitue</w:t>
      </w:r>
      <w:r w:rsidR="00D21675">
        <w:rPr>
          <w:rFonts w:ascii="Times" w:hAnsi="Times"/>
          <w:color w:val="000000" w:themeColor="text1"/>
        </w:rPr>
        <w:t>,</w:t>
      </w:r>
      <w:r w:rsidR="002A2484" w:rsidRPr="00502F00">
        <w:rPr>
          <w:rFonts w:ascii="Times" w:hAnsi="Times"/>
          <w:color w:val="000000" w:themeColor="text1"/>
        </w:rPr>
        <w:t xml:space="preserve"> souvent</w:t>
      </w:r>
      <w:r w:rsidR="00D21675">
        <w:rPr>
          <w:rFonts w:ascii="Times" w:hAnsi="Times"/>
          <w:color w:val="000000" w:themeColor="text1"/>
        </w:rPr>
        <w:t>,</w:t>
      </w:r>
      <w:r w:rsidR="002A2484" w:rsidRPr="00502F00">
        <w:rPr>
          <w:rFonts w:ascii="Times" w:hAnsi="Times"/>
          <w:color w:val="000000" w:themeColor="text1"/>
        </w:rPr>
        <w:t xml:space="preserve"> un indice révélateur d’autres facteurs de décision</w:t>
      </w:r>
      <w:r w:rsidRPr="00502F00">
        <w:rPr>
          <w:rFonts w:ascii="Times" w:hAnsi="Times"/>
          <w:color w:val="000000" w:themeColor="text1"/>
        </w:rPr>
        <w:t xml:space="preserve"> – tels l’éthique.</w:t>
      </w:r>
    </w:p>
    <w:p w14:paraId="2A76FEFE" w14:textId="6A41FBC6" w:rsidR="002A2484" w:rsidRPr="00502F00" w:rsidRDefault="002A2484" w:rsidP="002A2484">
      <w:pPr>
        <w:jc w:val="both"/>
        <w:rPr>
          <w:rFonts w:ascii="Times" w:hAnsi="Times"/>
          <w:color w:val="000000" w:themeColor="text1"/>
        </w:rPr>
      </w:pPr>
    </w:p>
    <w:p w14:paraId="0064D4FE" w14:textId="5D9ECADE" w:rsidR="004B7B5C" w:rsidRPr="00502F00" w:rsidRDefault="004B7B5C" w:rsidP="002A2484">
      <w:pPr>
        <w:jc w:val="both"/>
        <w:rPr>
          <w:rFonts w:ascii="Times" w:hAnsi="Times"/>
          <w:color w:val="000000" w:themeColor="text1"/>
        </w:rPr>
      </w:pPr>
      <w:r w:rsidRPr="00502F00">
        <w:rPr>
          <w:rFonts w:ascii="Times" w:hAnsi="Times"/>
          <w:color w:val="000000" w:themeColor="text1"/>
        </w:rPr>
        <w:t xml:space="preserve">À ce stade du raisonnement, plusieurs difficultés peuvent apparaître. Les principales peuvent être ainsi formulées : l’éthique serait-elle donc </w:t>
      </w:r>
      <w:r w:rsidR="00D21675">
        <w:rPr>
          <w:rFonts w:ascii="Times" w:hAnsi="Times"/>
          <w:color w:val="000000" w:themeColor="text1"/>
        </w:rPr>
        <w:t>omniprésente</w:t>
      </w:r>
      <w:r w:rsidRPr="00502F00">
        <w:rPr>
          <w:rFonts w:ascii="Times" w:hAnsi="Times"/>
          <w:color w:val="000000" w:themeColor="text1"/>
        </w:rPr>
        <w:t> ? Dans la positive, quel serait l’apport potentiel de son étude en droit international ?</w:t>
      </w:r>
    </w:p>
    <w:p w14:paraId="709CC989" w14:textId="77777777" w:rsidR="004B7B5C" w:rsidRPr="00502F00" w:rsidRDefault="004B7B5C" w:rsidP="002A2484">
      <w:pPr>
        <w:jc w:val="both"/>
        <w:rPr>
          <w:rFonts w:ascii="Times" w:hAnsi="Times"/>
          <w:color w:val="000000" w:themeColor="text1"/>
        </w:rPr>
      </w:pPr>
    </w:p>
    <w:p w14:paraId="7F5C096F" w14:textId="77777777" w:rsidR="00F06B1A" w:rsidRPr="00502F00" w:rsidRDefault="004B7B5C" w:rsidP="002A2484">
      <w:pPr>
        <w:jc w:val="both"/>
        <w:rPr>
          <w:rFonts w:ascii="Times" w:hAnsi="Times"/>
          <w:color w:val="000000" w:themeColor="text1"/>
        </w:rPr>
      </w:pPr>
      <w:r w:rsidRPr="00502F00">
        <w:rPr>
          <w:rFonts w:ascii="Times" w:hAnsi="Times"/>
          <w:color w:val="000000" w:themeColor="text1"/>
        </w:rPr>
        <w:t>Malgré le développement qui précède, il ne s’agit pas de penser, ni d’affirmer,</w:t>
      </w:r>
      <w:r w:rsidR="002A2484" w:rsidRPr="00502F00">
        <w:rPr>
          <w:rFonts w:ascii="Times" w:hAnsi="Times"/>
          <w:color w:val="000000" w:themeColor="text1"/>
        </w:rPr>
        <w:t xml:space="preserve"> que l’éthique est </w:t>
      </w:r>
      <w:r w:rsidRPr="00502F00">
        <w:rPr>
          <w:rFonts w:ascii="Times" w:hAnsi="Times"/>
          <w:color w:val="000000" w:themeColor="text1"/>
        </w:rPr>
        <w:t>« </w:t>
      </w:r>
      <w:r w:rsidR="002A2484" w:rsidRPr="00502F00">
        <w:rPr>
          <w:rFonts w:ascii="Times" w:hAnsi="Times"/>
          <w:color w:val="000000" w:themeColor="text1"/>
        </w:rPr>
        <w:t>partout</w:t>
      </w:r>
      <w:r w:rsidRPr="00502F00">
        <w:rPr>
          <w:rFonts w:ascii="Times" w:hAnsi="Times"/>
          <w:color w:val="000000" w:themeColor="text1"/>
        </w:rPr>
        <w:t> »</w:t>
      </w:r>
      <w:r w:rsidR="002A2484" w:rsidRPr="00502F00">
        <w:rPr>
          <w:rFonts w:ascii="Times" w:hAnsi="Times"/>
          <w:color w:val="000000" w:themeColor="text1"/>
        </w:rPr>
        <w:t xml:space="preserve"> consacrée par la jurisprudence de la Cour</w:t>
      </w:r>
      <w:r w:rsidRPr="00502F00">
        <w:rPr>
          <w:rFonts w:ascii="Times" w:hAnsi="Times"/>
          <w:color w:val="000000" w:themeColor="text1"/>
        </w:rPr>
        <w:t>,</w:t>
      </w:r>
      <w:r w:rsidR="002A2484" w:rsidRPr="00502F00">
        <w:rPr>
          <w:rFonts w:ascii="Times" w:hAnsi="Times"/>
          <w:color w:val="000000" w:themeColor="text1"/>
        </w:rPr>
        <w:t xml:space="preserve"> en cas d’incertitude</w:t>
      </w:r>
      <w:r w:rsidRPr="00502F00">
        <w:rPr>
          <w:rFonts w:ascii="Times" w:hAnsi="Times"/>
          <w:color w:val="000000" w:themeColor="text1"/>
        </w:rPr>
        <w:t xml:space="preserve"> comme au-delà. Celle-ci demeure</w:t>
      </w:r>
      <w:r w:rsidR="002A2484" w:rsidRPr="00502F00">
        <w:rPr>
          <w:rFonts w:ascii="Times" w:hAnsi="Times"/>
          <w:color w:val="000000" w:themeColor="text1"/>
        </w:rPr>
        <w:t xml:space="preserve"> riche de cas </w:t>
      </w:r>
      <w:r w:rsidRPr="00502F00">
        <w:rPr>
          <w:rFonts w:ascii="Times" w:hAnsi="Times"/>
          <w:color w:val="000000" w:themeColor="text1"/>
        </w:rPr>
        <w:t>où le questionnement éthique n’a potentiellement pas eu lieu, ou n’a pas abouti à une solution juridique en phase avec ce qu’il est possible, de manière relative, contingente et subjective, de considérer comme un positionnement éthique. Ainsi, la</w:t>
      </w:r>
      <w:r w:rsidR="002A2484" w:rsidRPr="00502F00">
        <w:rPr>
          <w:rFonts w:ascii="Times" w:hAnsi="Times"/>
          <w:color w:val="000000" w:themeColor="text1"/>
        </w:rPr>
        <w:t xml:space="preserve"> question de l’interdiction du nucléaire est une question éminemment éthique</w:t>
      </w:r>
      <w:r w:rsidRPr="00502F00">
        <w:rPr>
          <w:rFonts w:ascii="Times" w:hAnsi="Times"/>
          <w:color w:val="000000" w:themeColor="text1"/>
        </w:rPr>
        <w:t> ; pourtant,</w:t>
      </w:r>
      <w:r w:rsidR="002A2484" w:rsidRPr="00502F00">
        <w:rPr>
          <w:rFonts w:ascii="Times" w:hAnsi="Times"/>
          <w:color w:val="000000" w:themeColor="text1"/>
        </w:rPr>
        <w:t xml:space="preserve"> la Cour a </w:t>
      </w:r>
      <w:r w:rsidRPr="00502F00">
        <w:rPr>
          <w:rFonts w:ascii="Times" w:hAnsi="Times"/>
          <w:color w:val="000000" w:themeColor="text1"/>
        </w:rPr>
        <w:t xml:space="preserve">toujours </w:t>
      </w:r>
      <w:r w:rsidR="002A2484" w:rsidRPr="00502F00">
        <w:rPr>
          <w:rFonts w:ascii="Times" w:hAnsi="Times"/>
          <w:color w:val="000000" w:themeColor="text1"/>
        </w:rPr>
        <w:t xml:space="preserve">pris </w:t>
      </w:r>
      <w:r w:rsidRPr="00502F00">
        <w:rPr>
          <w:rFonts w:ascii="Times" w:hAnsi="Times"/>
          <w:color w:val="000000" w:themeColor="text1"/>
        </w:rPr>
        <w:t xml:space="preserve">le </w:t>
      </w:r>
      <w:r w:rsidR="002A2484" w:rsidRPr="00502F00">
        <w:rPr>
          <w:rFonts w:ascii="Times" w:hAnsi="Times"/>
          <w:color w:val="000000" w:themeColor="text1"/>
        </w:rPr>
        <w:t xml:space="preserve">soin, pour des raisons juridiques </w:t>
      </w:r>
      <w:r w:rsidR="00EF409E" w:rsidRPr="00502F00">
        <w:rPr>
          <w:rFonts w:ascii="Times" w:hAnsi="Times"/>
          <w:color w:val="000000" w:themeColor="text1"/>
        </w:rPr>
        <w:t>mais</w:t>
      </w:r>
      <w:r w:rsidR="002A2484" w:rsidRPr="00502F00">
        <w:rPr>
          <w:rFonts w:ascii="Times" w:hAnsi="Times"/>
          <w:color w:val="000000" w:themeColor="text1"/>
        </w:rPr>
        <w:t xml:space="preserve"> surtout diplomatiques, d</w:t>
      </w:r>
      <w:r w:rsidRPr="00502F00">
        <w:rPr>
          <w:rFonts w:ascii="Times" w:hAnsi="Times"/>
          <w:color w:val="000000" w:themeColor="text1"/>
        </w:rPr>
        <w:t>e l’é</w:t>
      </w:r>
      <w:r w:rsidR="002A2484" w:rsidRPr="00502F00">
        <w:rPr>
          <w:rFonts w:ascii="Times" w:hAnsi="Times"/>
          <w:color w:val="000000" w:themeColor="text1"/>
        </w:rPr>
        <w:t>luder</w:t>
      </w:r>
      <w:r w:rsidR="00EF409E" w:rsidRPr="00502F00">
        <w:rPr>
          <w:rFonts w:ascii="Times" w:hAnsi="Times"/>
          <w:color w:val="000000" w:themeColor="text1"/>
        </w:rPr>
        <w:t xml:space="preserve"> –</w:t>
      </w:r>
      <w:r w:rsidRPr="00502F00">
        <w:rPr>
          <w:rFonts w:ascii="Times" w:hAnsi="Times"/>
          <w:color w:val="000000" w:themeColor="text1"/>
        </w:rPr>
        <w:t xml:space="preserve"> </w:t>
      </w:r>
      <w:r w:rsidR="00EF409E" w:rsidRPr="00502F00">
        <w:rPr>
          <w:rFonts w:ascii="Times" w:hAnsi="Times"/>
          <w:color w:val="000000" w:themeColor="text1"/>
        </w:rPr>
        <w:t xml:space="preserve">qu’il s’agisse de l’affaire des </w:t>
      </w:r>
      <w:r w:rsidR="00EF409E" w:rsidRPr="00502F00">
        <w:rPr>
          <w:rFonts w:ascii="Times" w:hAnsi="Times"/>
          <w:i/>
          <w:iCs/>
          <w:color w:val="000000" w:themeColor="text1"/>
        </w:rPr>
        <w:t>Essais nucléaires</w:t>
      </w:r>
      <w:r w:rsidR="00EF409E" w:rsidRPr="00502F00">
        <w:rPr>
          <w:rStyle w:val="Appelnotedebasdep"/>
          <w:rFonts w:ascii="Times" w:hAnsi="Times"/>
          <w:i/>
          <w:iCs/>
          <w:color w:val="000000" w:themeColor="text1"/>
        </w:rPr>
        <w:footnoteReference w:id="51"/>
      </w:r>
      <w:r w:rsidR="00EF409E" w:rsidRPr="00502F00">
        <w:rPr>
          <w:rFonts w:ascii="Times" w:hAnsi="Times"/>
          <w:color w:val="000000" w:themeColor="text1"/>
        </w:rPr>
        <w:t>, des différents avis consultatifs sur la question</w:t>
      </w:r>
      <w:r w:rsidR="00D236DE" w:rsidRPr="00502F00">
        <w:rPr>
          <w:rStyle w:val="Appelnotedebasdep"/>
          <w:rFonts w:ascii="Times" w:hAnsi="Times"/>
          <w:color w:val="000000" w:themeColor="text1"/>
        </w:rPr>
        <w:footnoteReference w:id="52"/>
      </w:r>
      <w:r w:rsidR="00EF409E" w:rsidRPr="00502F00">
        <w:rPr>
          <w:rFonts w:ascii="Times" w:hAnsi="Times"/>
          <w:color w:val="000000" w:themeColor="text1"/>
        </w:rPr>
        <w:t xml:space="preserve"> ou, </w:t>
      </w:r>
      <w:r w:rsidR="00EF409E" w:rsidRPr="00502F00">
        <w:rPr>
          <w:rFonts w:ascii="Times" w:hAnsi="Times"/>
          <w:color w:val="000000" w:themeColor="text1"/>
        </w:rPr>
        <w:lastRenderedPageBreak/>
        <w:t>plus récemment des affaires initiées par les Îles Marshall</w:t>
      </w:r>
      <w:r w:rsidR="00011AB0" w:rsidRPr="00502F00">
        <w:rPr>
          <w:rStyle w:val="Appelnotedebasdep"/>
          <w:rFonts w:ascii="Times" w:hAnsi="Times"/>
          <w:color w:val="000000" w:themeColor="text1"/>
        </w:rPr>
        <w:footnoteReference w:id="53"/>
      </w:r>
      <w:r w:rsidR="00EF409E" w:rsidRPr="00502F00">
        <w:rPr>
          <w:rFonts w:ascii="Times" w:hAnsi="Times"/>
          <w:color w:val="000000" w:themeColor="text1"/>
        </w:rPr>
        <w:t xml:space="preserve">. </w:t>
      </w:r>
      <w:r w:rsidRPr="00502F00">
        <w:rPr>
          <w:rFonts w:ascii="Times" w:hAnsi="Times"/>
          <w:color w:val="000000" w:themeColor="text1"/>
        </w:rPr>
        <w:t xml:space="preserve">Comme le relève </w:t>
      </w:r>
      <w:proofErr w:type="spellStart"/>
      <w:r w:rsidRPr="00502F00">
        <w:rPr>
          <w:rFonts w:ascii="Times" w:hAnsi="Times"/>
          <w:color w:val="000000" w:themeColor="text1"/>
        </w:rPr>
        <w:t>Kiara</w:t>
      </w:r>
      <w:proofErr w:type="spellEnd"/>
      <w:r w:rsidRPr="00502F00">
        <w:rPr>
          <w:rFonts w:ascii="Times" w:hAnsi="Times"/>
          <w:color w:val="000000" w:themeColor="text1"/>
        </w:rPr>
        <w:t xml:space="preserve"> Néri, « [l]’importance de l’enjeu et la faiblesse de la réglementation internationale en la matière ont parfois pu paralyser la Cour internationale de Justice et la conduire à décevoir les attentes placées en elle »</w:t>
      </w:r>
      <w:r w:rsidRPr="00502F00">
        <w:rPr>
          <w:rStyle w:val="Appelnotedebasdep"/>
          <w:rFonts w:ascii="Times" w:hAnsi="Times"/>
          <w:color w:val="000000" w:themeColor="text1"/>
        </w:rPr>
        <w:footnoteReference w:id="54"/>
      </w:r>
      <w:r w:rsidRPr="00502F00">
        <w:rPr>
          <w:rFonts w:ascii="Times" w:hAnsi="Times"/>
          <w:color w:val="000000" w:themeColor="text1"/>
        </w:rPr>
        <w:t xml:space="preserve">. </w:t>
      </w:r>
    </w:p>
    <w:p w14:paraId="03A25A2D" w14:textId="77777777" w:rsidR="00F06B1A" w:rsidRPr="00502F00" w:rsidRDefault="00F06B1A" w:rsidP="002A2484">
      <w:pPr>
        <w:jc w:val="both"/>
        <w:rPr>
          <w:rFonts w:ascii="Times" w:hAnsi="Times"/>
          <w:color w:val="000000" w:themeColor="text1"/>
        </w:rPr>
      </w:pPr>
    </w:p>
    <w:p w14:paraId="38E6E090" w14:textId="73446B26" w:rsidR="00DF7C30" w:rsidRPr="00502F00" w:rsidRDefault="00F06B1A" w:rsidP="00DF7C30">
      <w:pPr>
        <w:jc w:val="both"/>
        <w:rPr>
          <w:rFonts w:ascii="Times" w:hAnsi="Times"/>
          <w:color w:val="000000" w:themeColor="text1"/>
        </w:rPr>
      </w:pPr>
      <w:r w:rsidRPr="00502F00">
        <w:rPr>
          <w:rFonts w:ascii="Times" w:hAnsi="Times"/>
          <w:color w:val="000000" w:themeColor="text1"/>
        </w:rPr>
        <w:t>Au-delà de la question de savoir s’il y a eu questionnement éthique ou non et s’il est possible de considérer que la « balance » a penché du côté de son résultat plutôt que de celui de l’application d’un raisonnement exclusivement juridique – si tant est que cela soit possible –, l</w:t>
      </w:r>
      <w:r w:rsidR="002A2484" w:rsidRPr="00502F00">
        <w:rPr>
          <w:rFonts w:ascii="Times" w:hAnsi="Times"/>
          <w:color w:val="000000" w:themeColor="text1"/>
        </w:rPr>
        <w:t>’enjeu</w:t>
      </w:r>
      <w:r w:rsidR="00C1674C" w:rsidRPr="00502F00">
        <w:rPr>
          <w:rFonts w:ascii="Times" w:hAnsi="Times"/>
          <w:color w:val="000000" w:themeColor="text1"/>
        </w:rPr>
        <w:t xml:space="preserve"> principal</w:t>
      </w:r>
      <w:r w:rsidR="002A2484" w:rsidRPr="00502F00">
        <w:rPr>
          <w:rFonts w:ascii="Times" w:hAnsi="Times"/>
          <w:color w:val="000000" w:themeColor="text1"/>
        </w:rPr>
        <w:t xml:space="preserve"> </w:t>
      </w:r>
      <w:r w:rsidR="00C1674C" w:rsidRPr="00502F00">
        <w:rPr>
          <w:rFonts w:ascii="Times" w:hAnsi="Times"/>
          <w:color w:val="000000" w:themeColor="text1"/>
        </w:rPr>
        <w:t>transparaissant</w:t>
      </w:r>
      <w:r w:rsidR="002A2484" w:rsidRPr="00502F00">
        <w:rPr>
          <w:rFonts w:ascii="Times" w:hAnsi="Times"/>
          <w:color w:val="000000" w:themeColor="text1"/>
        </w:rPr>
        <w:t xml:space="preserve"> de </w:t>
      </w:r>
      <w:r w:rsidRPr="00502F00">
        <w:rPr>
          <w:rFonts w:ascii="Times" w:hAnsi="Times"/>
          <w:color w:val="000000" w:themeColor="text1"/>
        </w:rPr>
        <w:t>cette analyse réside</w:t>
      </w:r>
      <w:r w:rsidR="00C1674C" w:rsidRPr="00502F00">
        <w:rPr>
          <w:rFonts w:ascii="Times" w:hAnsi="Times"/>
          <w:color w:val="000000" w:themeColor="text1"/>
        </w:rPr>
        <w:t>, à notre sens,</w:t>
      </w:r>
      <w:r w:rsidRPr="00502F00">
        <w:rPr>
          <w:rFonts w:ascii="Times" w:hAnsi="Times"/>
          <w:color w:val="000000" w:themeColor="text1"/>
        </w:rPr>
        <w:t xml:space="preserve"> dans </w:t>
      </w:r>
      <w:r w:rsidR="002A2484" w:rsidRPr="00502F00">
        <w:rPr>
          <w:rFonts w:ascii="Times" w:hAnsi="Times"/>
          <w:color w:val="000000" w:themeColor="text1"/>
        </w:rPr>
        <w:t>la nécessité de réfléchir</w:t>
      </w:r>
      <w:r w:rsidR="00B46833" w:rsidRPr="00502F00">
        <w:rPr>
          <w:rFonts w:ascii="Times" w:hAnsi="Times"/>
          <w:color w:val="000000" w:themeColor="text1"/>
        </w:rPr>
        <w:t xml:space="preserve"> à</w:t>
      </w:r>
      <w:r w:rsidR="002A2484" w:rsidRPr="00502F00">
        <w:rPr>
          <w:rFonts w:ascii="Times" w:hAnsi="Times"/>
          <w:color w:val="000000" w:themeColor="text1"/>
        </w:rPr>
        <w:t xml:space="preserve"> la construction d’outils méthodologiques</w:t>
      </w:r>
      <w:r w:rsidRPr="00502F00">
        <w:rPr>
          <w:rFonts w:ascii="Times" w:hAnsi="Times"/>
          <w:color w:val="000000" w:themeColor="text1"/>
        </w:rPr>
        <w:t xml:space="preserve"> </w:t>
      </w:r>
      <w:r w:rsidR="002A2484" w:rsidRPr="00502F00">
        <w:rPr>
          <w:rFonts w:ascii="Times" w:hAnsi="Times"/>
          <w:color w:val="000000" w:themeColor="text1"/>
        </w:rPr>
        <w:t xml:space="preserve">pour mesurer le poids et la place réels de l’éthique dans le raisonnement du juge international, sans le </w:t>
      </w:r>
      <w:r w:rsidR="00C1674C" w:rsidRPr="00502F00">
        <w:rPr>
          <w:rFonts w:ascii="Times" w:hAnsi="Times"/>
          <w:color w:val="000000" w:themeColor="text1"/>
        </w:rPr>
        <w:t>surestimer</w:t>
      </w:r>
      <w:r w:rsidR="002A2484" w:rsidRPr="00502F00">
        <w:rPr>
          <w:rFonts w:ascii="Times" w:hAnsi="Times"/>
          <w:color w:val="000000" w:themeColor="text1"/>
        </w:rPr>
        <w:t xml:space="preserve"> ni le sous-estimer.</w:t>
      </w:r>
      <w:r w:rsidR="00B46833" w:rsidRPr="00502F00">
        <w:rPr>
          <w:rFonts w:ascii="Times" w:hAnsi="Times"/>
          <w:color w:val="000000" w:themeColor="text1"/>
        </w:rPr>
        <w:t xml:space="preserve"> Enfin est-il indispensable de développer les outils permettant d’évaluer les conclusions de ces </w:t>
      </w:r>
      <w:r w:rsidR="00C1674C" w:rsidRPr="00502F00">
        <w:rPr>
          <w:rFonts w:ascii="Times" w:hAnsi="Times"/>
          <w:color w:val="000000" w:themeColor="text1"/>
        </w:rPr>
        <w:t>analyses. L</w:t>
      </w:r>
      <w:r w:rsidR="00B46833" w:rsidRPr="00502F00">
        <w:rPr>
          <w:rFonts w:ascii="Times" w:hAnsi="Times"/>
          <w:color w:val="000000" w:themeColor="text1"/>
        </w:rPr>
        <w:t>’identification, sur la base d’indices</w:t>
      </w:r>
      <w:r w:rsidR="00C1674C" w:rsidRPr="00502F00">
        <w:rPr>
          <w:rFonts w:ascii="Times" w:hAnsi="Times"/>
          <w:color w:val="000000" w:themeColor="text1"/>
        </w:rPr>
        <w:t xml:space="preserve"> même systématisés</w:t>
      </w:r>
      <w:r w:rsidR="00B46833" w:rsidRPr="00502F00">
        <w:rPr>
          <w:rFonts w:ascii="Times" w:hAnsi="Times"/>
          <w:color w:val="000000" w:themeColor="text1"/>
        </w:rPr>
        <w:t xml:space="preserve">, de la présence d’un questionnement éthique dans la jurisprudence internationale est en elle-même satisfaisante, mais demeure insuffisante </w:t>
      </w:r>
      <w:r w:rsidR="00C1674C" w:rsidRPr="00502F00">
        <w:rPr>
          <w:rFonts w:ascii="Times" w:hAnsi="Times"/>
          <w:color w:val="000000" w:themeColor="text1"/>
        </w:rPr>
        <w:t>si elle ne s’accompagne pas d’une</w:t>
      </w:r>
      <w:r w:rsidR="00B46833" w:rsidRPr="00502F00">
        <w:rPr>
          <w:rFonts w:ascii="Times" w:hAnsi="Times"/>
          <w:color w:val="000000" w:themeColor="text1"/>
        </w:rPr>
        <w:t xml:space="preserve"> évaluation précise de la manière dont celui-ci influe la formation et l’application du droit international.</w:t>
      </w:r>
      <w:r w:rsidR="00C1674C" w:rsidRPr="00502F00">
        <w:rPr>
          <w:rFonts w:ascii="Times" w:hAnsi="Times"/>
          <w:color w:val="000000" w:themeColor="text1"/>
        </w:rPr>
        <w:t xml:space="preserve"> La démarche est délicate et se heurte au nécessaire secret du délibéré, dont la procédure </w:t>
      </w:r>
      <w:r w:rsidR="00C1674C" w:rsidRPr="00502F00">
        <w:rPr>
          <w:rFonts w:ascii="Times" w:hAnsi="Times"/>
          <w:color w:val="000000" w:themeColor="text1"/>
        </w:rPr>
        <w:t>« ne garantit pas qu’elle rende les meilleures décision</w:t>
      </w:r>
      <w:r w:rsidR="00D21675">
        <w:rPr>
          <w:rFonts w:ascii="Times" w:hAnsi="Times"/>
          <w:color w:val="000000" w:themeColor="text1"/>
        </w:rPr>
        <w:t>s »</w:t>
      </w:r>
      <w:r w:rsidR="00D21675" w:rsidRPr="00D21675">
        <w:rPr>
          <w:rStyle w:val="Appelnotedebasdep"/>
          <w:rFonts w:ascii="Times" w:hAnsi="Times"/>
          <w:color w:val="000000" w:themeColor="text1"/>
        </w:rPr>
        <w:t xml:space="preserve"> </w:t>
      </w:r>
      <w:r w:rsidR="00D21675" w:rsidRPr="00502F00">
        <w:rPr>
          <w:rStyle w:val="Appelnotedebasdep"/>
          <w:rFonts w:ascii="Times" w:hAnsi="Times"/>
          <w:color w:val="000000" w:themeColor="text1"/>
        </w:rPr>
        <w:footnoteReference w:id="55"/>
      </w:r>
      <w:r w:rsidR="00D21675">
        <w:rPr>
          <w:rFonts w:ascii="Times" w:hAnsi="Times"/>
          <w:color w:val="000000" w:themeColor="text1"/>
        </w:rPr>
        <w:t xml:space="preserve"> mais « </w:t>
      </w:r>
      <w:r w:rsidR="00C1674C" w:rsidRPr="00502F00">
        <w:rPr>
          <w:rFonts w:ascii="Times" w:hAnsi="Times"/>
          <w:color w:val="000000" w:themeColor="text1"/>
        </w:rPr>
        <w:t>empêche certainement qu’elle en rende de mauvaises »</w:t>
      </w:r>
      <w:r w:rsidR="007E23CD" w:rsidRPr="00502F00">
        <w:rPr>
          <w:rStyle w:val="Appelnotedebasdep"/>
          <w:rFonts w:ascii="Times" w:hAnsi="Times"/>
          <w:color w:val="000000" w:themeColor="text1"/>
        </w:rPr>
        <w:footnoteReference w:id="56"/>
      </w:r>
      <w:r w:rsidR="00C1674C" w:rsidRPr="00502F00">
        <w:rPr>
          <w:rFonts w:ascii="Times" w:hAnsi="Times"/>
          <w:color w:val="000000" w:themeColor="text1"/>
        </w:rPr>
        <w:t xml:space="preserve">. </w:t>
      </w:r>
      <w:r w:rsidR="00657930" w:rsidRPr="00502F00">
        <w:rPr>
          <w:rFonts w:ascii="Times" w:hAnsi="Times"/>
          <w:color w:val="000000" w:themeColor="text1"/>
        </w:rPr>
        <w:t>Pour</w:t>
      </w:r>
      <w:r w:rsidR="00C1674C" w:rsidRPr="00502F00">
        <w:rPr>
          <w:rFonts w:ascii="Times" w:hAnsi="Times"/>
          <w:color w:val="000000" w:themeColor="text1"/>
        </w:rPr>
        <w:t xml:space="preserve"> entreprendre</w:t>
      </w:r>
      <w:r w:rsidR="00B46833" w:rsidRPr="00502F00">
        <w:rPr>
          <w:rFonts w:ascii="Times" w:hAnsi="Times"/>
          <w:color w:val="000000" w:themeColor="text1"/>
        </w:rPr>
        <w:t xml:space="preserve"> </w:t>
      </w:r>
      <w:r w:rsidR="00C1674C" w:rsidRPr="00502F00">
        <w:rPr>
          <w:rFonts w:ascii="Times" w:hAnsi="Times"/>
          <w:color w:val="000000" w:themeColor="text1"/>
        </w:rPr>
        <w:t xml:space="preserve">ces </w:t>
      </w:r>
      <w:r w:rsidR="00B46833" w:rsidRPr="00502F00">
        <w:rPr>
          <w:rFonts w:ascii="Times" w:hAnsi="Times"/>
          <w:color w:val="000000" w:themeColor="text1"/>
        </w:rPr>
        <w:t>« chantier</w:t>
      </w:r>
      <w:r w:rsidR="00C1674C" w:rsidRPr="00502F00">
        <w:rPr>
          <w:rFonts w:ascii="Times" w:hAnsi="Times"/>
          <w:color w:val="000000" w:themeColor="text1"/>
        </w:rPr>
        <w:t>s</w:t>
      </w:r>
      <w:r w:rsidR="00B46833" w:rsidRPr="00502F00">
        <w:rPr>
          <w:rFonts w:ascii="Times" w:hAnsi="Times"/>
          <w:color w:val="000000" w:themeColor="text1"/>
        </w:rPr>
        <w:t> »</w:t>
      </w:r>
      <w:r w:rsidR="00C1674C" w:rsidRPr="00502F00">
        <w:rPr>
          <w:rFonts w:ascii="Times" w:hAnsi="Times"/>
          <w:color w:val="000000" w:themeColor="text1"/>
        </w:rPr>
        <w:t xml:space="preserve"> </w:t>
      </w:r>
      <w:r w:rsidR="00B46833" w:rsidRPr="00502F00">
        <w:rPr>
          <w:rFonts w:ascii="Times" w:hAnsi="Times"/>
          <w:color w:val="000000" w:themeColor="text1"/>
        </w:rPr>
        <w:t>pour l’essentiel méthodologiques</w:t>
      </w:r>
      <w:r w:rsidR="00AB130D" w:rsidRPr="00502F00">
        <w:rPr>
          <w:rFonts w:ascii="Times" w:hAnsi="Times"/>
          <w:color w:val="000000" w:themeColor="text1"/>
        </w:rPr>
        <w:t xml:space="preserve"> et ainsi mieux comprendre le rôle de l’éthique dans la jurisprudence de la Cour</w:t>
      </w:r>
      <w:r w:rsidR="00B46833" w:rsidRPr="00502F00">
        <w:rPr>
          <w:rFonts w:ascii="Times" w:hAnsi="Times"/>
          <w:color w:val="000000" w:themeColor="text1"/>
        </w:rPr>
        <w:t xml:space="preserve">, </w:t>
      </w:r>
      <w:r w:rsidR="00657930" w:rsidRPr="00502F00">
        <w:rPr>
          <w:rFonts w:ascii="Times" w:hAnsi="Times"/>
          <w:color w:val="000000" w:themeColor="text1"/>
        </w:rPr>
        <w:t xml:space="preserve">il faut dorénavant </w:t>
      </w:r>
      <w:r w:rsidR="00C1674C" w:rsidRPr="00502F00">
        <w:rPr>
          <w:rFonts w:ascii="Times" w:hAnsi="Times"/>
          <w:color w:val="000000" w:themeColor="text1"/>
        </w:rPr>
        <w:t>faire appel aux outils</w:t>
      </w:r>
      <w:r w:rsidR="00B46833" w:rsidRPr="00502F00">
        <w:rPr>
          <w:rFonts w:ascii="Times" w:hAnsi="Times"/>
          <w:color w:val="000000" w:themeColor="text1"/>
        </w:rPr>
        <w:t xml:space="preserve"> </w:t>
      </w:r>
      <w:r w:rsidR="00C1674C" w:rsidRPr="00502F00">
        <w:rPr>
          <w:rFonts w:ascii="Times" w:hAnsi="Times"/>
          <w:color w:val="000000" w:themeColor="text1"/>
        </w:rPr>
        <w:t xml:space="preserve">de </w:t>
      </w:r>
      <w:r w:rsidR="00DF7C30" w:rsidRPr="00502F00">
        <w:rPr>
          <w:rFonts w:ascii="Times" w:hAnsi="Times"/>
          <w:color w:val="000000" w:themeColor="text1"/>
        </w:rPr>
        <w:t>la sociologie,</w:t>
      </w:r>
      <w:r w:rsidR="00B46833" w:rsidRPr="00502F00">
        <w:rPr>
          <w:rFonts w:ascii="Times" w:hAnsi="Times"/>
          <w:color w:val="000000" w:themeColor="text1"/>
        </w:rPr>
        <w:t xml:space="preserve"> </w:t>
      </w:r>
      <w:r w:rsidR="00C1674C" w:rsidRPr="00502F00">
        <w:rPr>
          <w:rFonts w:ascii="Times" w:hAnsi="Times"/>
          <w:color w:val="000000" w:themeColor="text1"/>
        </w:rPr>
        <w:t>de</w:t>
      </w:r>
      <w:r w:rsidR="00DF7C30" w:rsidRPr="00502F00">
        <w:rPr>
          <w:rFonts w:ascii="Times" w:hAnsi="Times"/>
          <w:color w:val="000000" w:themeColor="text1"/>
        </w:rPr>
        <w:t xml:space="preserve"> l’anthropologie et sans doute</w:t>
      </w:r>
      <w:r w:rsidR="00B46833" w:rsidRPr="00502F00">
        <w:rPr>
          <w:rFonts w:ascii="Times" w:hAnsi="Times"/>
          <w:color w:val="000000" w:themeColor="text1"/>
        </w:rPr>
        <w:t xml:space="preserve"> </w:t>
      </w:r>
      <w:r w:rsidR="00C1674C" w:rsidRPr="00502F00">
        <w:rPr>
          <w:rFonts w:ascii="Times" w:hAnsi="Times"/>
          <w:color w:val="000000" w:themeColor="text1"/>
        </w:rPr>
        <w:t xml:space="preserve">ceux </w:t>
      </w:r>
      <w:r w:rsidR="00DF7C30" w:rsidRPr="00502F00">
        <w:rPr>
          <w:rFonts w:ascii="Times" w:hAnsi="Times"/>
          <w:color w:val="000000" w:themeColor="text1"/>
        </w:rPr>
        <w:t>d’autres science</w:t>
      </w:r>
      <w:r w:rsidR="00C1674C" w:rsidRPr="00502F00">
        <w:rPr>
          <w:rFonts w:ascii="Times" w:hAnsi="Times"/>
          <w:color w:val="000000" w:themeColor="text1"/>
        </w:rPr>
        <w:t xml:space="preserve">s : seul face à la jurisprudence, le juriste reste </w:t>
      </w:r>
      <w:r w:rsidR="00C1674C" w:rsidRPr="00502F00">
        <w:rPr>
          <w:rFonts w:ascii="Times" w:hAnsi="Times"/>
          <w:i/>
          <w:iCs/>
          <w:color w:val="000000" w:themeColor="text1"/>
        </w:rPr>
        <w:t>in fine</w:t>
      </w:r>
      <w:r w:rsidR="00C1674C" w:rsidRPr="00502F00">
        <w:rPr>
          <w:rFonts w:ascii="Times" w:hAnsi="Times"/>
          <w:color w:val="000000" w:themeColor="text1"/>
        </w:rPr>
        <w:t xml:space="preserve"> dans une relative, mais parfois confortable, incertitude.</w:t>
      </w:r>
    </w:p>
    <w:p w14:paraId="717581B1" w14:textId="77777777" w:rsidR="00DF7C30" w:rsidRPr="00502F00" w:rsidRDefault="00DF7C30" w:rsidP="002A2484">
      <w:pPr>
        <w:jc w:val="both"/>
        <w:rPr>
          <w:rFonts w:ascii="Times" w:hAnsi="Times"/>
          <w:color w:val="000000" w:themeColor="text1"/>
          <w:sz w:val="30"/>
          <w:szCs w:val="30"/>
        </w:rPr>
      </w:pPr>
    </w:p>
    <w:p w14:paraId="7AAF43E3" w14:textId="77777777" w:rsidR="002A2484" w:rsidRPr="00502F00" w:rsidRDefault="002A2484" w:rsidP="002A2484">
      <w:pPr>
        <w:jc w:val="both"/>
        <w:rPr>
          <w:rFonts w:ascii="Times" w:hAnsi="Times"/>
          <w:color w:val="000000" w:themeColor="text1"/>
          <w:sz w:val="30"/>
          <w:szCs w:val="30"/>
        </w:rPr>
      </w:pPr>
    </w:p>
    <w:p w14:paraId="30CC5E71" w14:textId="77777777" w:rsidR="002A2484" w:rsidRPr="00502F00" w:rsidRDefault="002A2484" w:rsidP="002A2484">
      <w:pPr>
        <w:rPr>
          <w:rFonts w:ascii="Times" w:hAnsi="Times"/>
          <w:color w:val="000000" w:themeColor="text1"/>
          <w:sz w:val="30"/>
          <w:szCs w:val="30"/>
        </w:rPr>
      </w:pPr>
    </w:p>
    <w:p w14:paraId="6467C881" w14:textId="77777777" w:rsidR="002A2484" w:rsidRPr="00502F00" w:rsidRDefault="002A2484" w:rsidP="002A2484">
      <w:pPr>
        <w:rPr>
          <w:rFonts w:ascii="Times" w:hAnsi="Times"/>
          <w:color w:val="000000" w:themeColor="text1"/>
        </w:rPr>
      </w:pPr>
    </w:p>
    <w:sectPr w:rsidR="002A2484" w:rsidRPr="00502F00" w:rsidSect="00E836B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4E0D" w14:textId="77777777" w:rsidR="00A8294F" w:rsidRDefault="00A8294F" w:rsidP="007845FF">
      <w:r>
        <w:separator/>
      </w:r>
    </w:p>
  </w:endnote>
  <w:endnote w:type="continuationSeparator" w:id="0">
    <w:p w14:paraId="45366D0C" w14:textId="77777777" w:rsidR="00A8294F" w:rsidRDefault="00A8294F" w:rsidP="0078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E58D" w14:textId="77777777" w:rsidR="00A8294F" w:rsidRDefault="00A8294F" w:rsidP="007845FF">
      <w:r>
        <w:separator/>
      </w:r>
    </w:p>
  </w:footnote>
  <w:footnote w:type="continuationSeparator" w:id="0">
    <w:p w14:paraId="0A20A136" w14:textId="77777777" w:rsidR="00A8294F" w:rsidRDefault="00A8294F" w:rsidP="007845FF">
      <w:r>
        <w:continuationSeparator/>
      </w:r>
    </w:p>
  </w:footnote>
  <w:footnote w:id="1">
    <w:p w14:paraId="13237F24" w14:textId="67E047DC" w:rsidR="007845FF" w:rsidRPr="00502F00" w:rsidRDefault="007845FF" w:rsidP="00301B11">
      <w:pPr>
        <w:pStyle w:val="Notedebasdepage"/>
        <w:rPr>
          <w:rFonts w:ascii="Times" w:hAnsi="Times"/>
          <w:i/>
          <w:iCs/>
          <w:color w:val="000000" w:themeColor="text1"/>
        </w:rPr>
      </w:pPr>
      <w:r w:rsidRPr="00502F00">
        <w:rPr>
          <w:rStyle w:val="Appelnotedebasdep"/>
          <w:rFonts w:ascii="Times" w:hAnsi="Times"/>
          <w:color w:val="000000" w:themeColor="text1"/>
        </w:rPr>
        <w:footnoteRef/>
      </w:r>
      <w:r w:rsidRPr="00502F00">
        <w:rPr>
          <w:rFonts w:ascii="Times" w:hAnsi="Times"/>
          <w:color w:val="000000" w:themeColor="text1"/>
        </w:rPr>
        <w:t xml:space="preserve"> </w:t>
      </w:r>
      <w:r w:rsidR="00F7570C" w:rsidRPr="00502F00">
        <w:rPr>
          <w:rFonts w:ascii="Times" w:hAnsi="Times"/>
          <w:color w:val="000000" w:themeColor="text1"/>
        </w:rPr>
        <w:t>Maître de conférences en droit public à l’Université de Bourgogne, CREDIMI (EA 7532), CEDIN (EA 382) et CMH (EA 4232).</w:t>
      </w:r>
      <w:r w:rsidRPr="00502F00">
        <w:rPr>
          <w:rFonts w:ascii="Times" w:hAnsi="Times"/>
          <w:color w:val="000000" w:themeColor="text1"/>
        </w:rPr>
        <w:t xml:space="preserve"> </w:t>
      </w:r>
    </w:p>
  </w:footnote>
  <w:footnote w:id="2">
    <w:p w14:paraId="7DCA4C0E" w14:textId="188D458A" w:rsidR="001B0034" w:rsidRPr="00502F00" w:rsidRDefault="001B003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Sur cette définition de l’éthique et ce thème en général, v. </w:t>
      </w:r>
      <w:r w:rsidRPr="00502F00">
        <w:rPr>
          <w:color w:val="000000" w:themeColor="text1"/>
        </w:rPr>
        <w:t>KERL</w:t>
      </w:r>
      <w:r w:rsidRPr="00502F00">
        <w:rPr>
          <w:color w:val="000000" w:themeColor="text1"/>
        </w:rPr>
        <w:t>É</w:t>
      </w:r>
      <w:r w:rsidRPr="00502F00">
        <w:rPr>
          <w:color w:val="000000" w:themeColor="text1"/>
        </w:rPr>
        <w:t>O</w:t>
      </w:r>
      <w:r w:rsidRPr="00502F00">
        <w:rPr>
          <w:color w:val="000000" w:themeColor="text1"/>
        </w:rPr>
        <w:t xml:space="preserve"> J.-F.</w:t>
      </w:r>
      <w:r w:rsidRPr="00502F00">
        <w:rPr>
          <w:color w:val="000000" w:themeColor="text1"/>
        </w:rPr>
        <w:t xml:space="preserve">, « Articuler la morale, l’éthique et la déontologie avec le droit », </w:t>
      </w:r>
      <w:r w:rsidRPr="00502F00">
        <w:rPr>
          <w:i/>
          <w:iCs/>
          <w:color w:val="000000" w:themeColor="text1"/>
        </w:rPr>
        <w:t>in</w:t>
      </w:r>
      <w:r w:rsidRPr="00502F00">
        <w:rPr>
          <w:color w:val="000000" w:themeColor="text1"/>
        </w:rPr>
        <w:t xml:space="preserve"> MAUREL</w:t>
      </w:r>
      <w:r w:rsidRPr="00502F00">
        <w:rPr>
          <w:color w:val="000000" w:themeColor="text1"/>
        </w:rPr>
        <w:t xml:space="preserve"> R.</w:t>
      </w:r>
      <w:r w:rsidRPr="00502F00">
        <w:rPr>
          <w:color w:val="000000" w:themeColor="text1"/>
        </w:rPr>
        <w:t xml:space="preserve"> (</w:t>
      </w:r>
      <w:proofErr w:type="spellStart"/>
      <w:r w:rsidRPr="00502F00">
        <w:rPr>
          <w:color w:val="000000" w:themeColor="text1"/>
        </w:rPr>
        <w:t>dir</w:t>
      </w:r>
      <w:proofErr w:type="spellEnd"/>
      <w:r w:rsidRPr="00502F00">
        <w:rPr>
          <w:color w:val="000000" w:themeColor="text1"/>
        </w:rPr>
        <w:t xml:space="preserve">.), </w:t>
      </w:r>
      <w:r w:rsidRPr="00502F00">
        <w:rPr>
          <w:i/>
          <w:iCs/>
          <w:color w:val="000000" w:themeColor="text1"/>
        </w:rPr>
        <w:t>Le droit international des investissements au prisme de l’éthique</w:t>
      </w:r>
      <w:r w:rsidRPr="00502F00">
        <w:rPr>
          <w:color w:val="000000" w:themeColor="text1"/>
        </w:rPr>
        <w:t xml:space="preserve">, </w:t>
      </w:r>
      <w:r w:rsidRPr="00502F00">
        <w:rPr>
          <w:color w:val="000000" w:themeColor="text1"/>
        </w:rPr>
        <w:t xml:space="preserve">Dijon, </w:t>
      </w:r>
      <w:proofErr w:type="spellStart"/>
      <w:r w:rsidRPr="00502F00">
        <w:rPr>
          <w:color w:val="000000" w:themeColor="text1"/>
        </w:rPr>
        <w:t>LexisNexis</w:t>
      </w:r>
      <w:proofErr w:type="spellEnd"/>
      <w:r w:rsidRPr="00502F00">
        <w:rPr>
          <w:color w:val="000000" w:themeColor="text1"/>
        </w:rPr>
        <w:t xml:space="preserve">, 2021, </w:t>
      </w:r>
      <w:r w:rsidRPr="00502F00">
        <w:rPr>
          <w:color w:val="000000" w:themeColor="text1"/>
        </w:rPr>
        <w:t>pp. 23-40.</w:t>
      </w:r>
    </w:p>
  </w:footnote>
  <w:footnote w:id="3">
    <w:p w14:paraId="571FA35D" w14:textId="73527CBE" w:rsidR="00A72AD0" w:rsidRPr="00502F00" w:rsidRDefault="00A72AD0"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Voir encore, récemment, l’intervention de Franck </w:t>
      </w:r>
      <w:r w:rsidR="008B3BDF" w:rsidRPr="00502F00">
        <w:rPr>
          <w:color w:val="000000" w:themeColor="text1"/>
        </w:rPr>
        <w:t>LATTY</w:t>
      </w:r>
      <w:r w:rsidRPr="00502F00">
        <w:rPr>
          <w:color w:val="000000" w:themeColor="text1"/>
        </w:rPr>
        <w:t xml:space="preserve"> le 19 novembre 2021 au colloque de Nanterre (CEDIN) « La Cour internationale de justice a 75 ans », sur le thème « la question des conflits d’intérêts », ai</w:t>
      </w:r>
      <w:r w:rsidRPr="00502F00">
        <w:rPr>
          <w:color w:val="000000" w:themeColor="text1"/>
        </w:rPr>
        <w:t>nsi que la section du rapport introductif au panel rédigé par Rachel LUCAS (en ligne sur le site internet du CEDIN, pp. 3-5</w:t>
      </w:r>
      <w:r w:rsidRPr="00502F00">
        <w:rPr>
          <w:color w:val="000000" w:themeColor="text1"/>
        </w:rPr>
        <w:t xml:space="preserve"> : </w:t>
      </w:r>
      <w:hyperlink r:id="rId1" w:history="1">
        <w:r w:rsidRPr="00502F00">
          <w:rPr>
            <w:rStyle w:val="Lienhypertexte"/>
            <w:color w:val="000000" w:themeColor="text1"/>
          </w:rPr>
          <w:t>https://cedin.parisnanterre.fr/manifestations-scientifiques/colloque-la-cour-internationale-de-justice-a-75-ans</w:t>
        </w:r>
      </w:hyperlink>
      <w:r w:rsidRPr="00502F00">
        <w:rPr>
          <w:color w:val="000000" w:themeColor="text1"/>
        </w:rPr>
        <w:t>)</w:t>
      </w:r>
      <w:r w:rsidRPr="00502F00">
        <w:rPr>
          <w:color w:val="000000" w:themeColor="text1"/>
        </w:rPr>
        <w:t xml:space="preserve">. Plus généralement, v. </w:t>
      </w:r>
      <w:r w:rsidRPr="00502F00">
        <w:rPr>
          <w:color w:val="000000" w:themeColor="text1"/>
        </w:rPr>
        <w:t>RUIZ-FABRI</w:t>
      </w:r>
      <w:r w:rsidRPr="00502F00">
        <w:rPr>
          <w:color w:val="000000" w:themeColor="text1"/>
        </w:rPr>
        <w:t xml:space="preserve"> H.</w:t>
      </w:r>
      <w:r w:rsidRPr="00502F00">
        <w:rPr>
          <w:color w:val="000000" w:themeColor="text1"/>
        </w:rPr>
        <w:t xml:space="preserve">, </w:t>
      </w:r>
      <w:r w:rsidRPr="00502F00">
        <w:rPr>
          <w:color w:val="000000" w:themeColor="text1"/>
        </w:rPr>
        <w:t xml:space="preserve">SOREL </w:t>
      </w:r>
      <w:r w:rsidRPr="00502F00">
        <w:rPr>
          <w:color w:val="000000" w:themeColor="text1"/>
        </w:rPr>
        <w:t>J.-M. (</w:t>
      </w:r>
      <w:proofErr w:type="spellStart"/>
      <w:r w:rsidRPr="00502F00">
        <w:rPr>
          <w:color w:val="000000" w:themeColor="text1"/>
        </w:rPr>
        <w:t>dir</w:t>
      </w:r>
      <w:proofErr w:type="spellEnd"/>
      <w:r w:rsidRPr="00502F00">
        <w:rPr>
          <w:color w:val="000000" w:themeColor="text1"/>
        </w:rPr>
        <w:t xml:space="preserve">.), </w:t>
      </w:r>
      <w:r w:rsidRPr="00502F00">
        <w:rPr>
          <w:i/>
          <w:iCs/>
          <w:color w:val="000000" w:themeColor="text1"/>
        </w:rPr>
        <w:t>Indépendance et impartialité des juges internationaux</w:t>
      </w:r>
      <w:r w:rsidRPr="00502F00">
        <w:rPr>
          <w:color w:val="000000" w:themeColor="text1"/>
        </w:rPr>
        <w:t xml:space="preserve">, Paris, </w:t>
      </w:r>
      <w:proofErr w:type="spellStart"/>
      <w:r w:rsidRPr="00502F00">
        <w:rPr>
          <w:color w:val="000000" w:themeColor="text1"/>
        </w:rPr>
        <w:t>Pedone</w:t>
      </w:r>
      <w:proofErr w:type="spellEnd"/>
      <w:r w:rsidRPr="00502F00">
        <w:rPr>
          <w:color w:val="000000" w:themeColor="text1"/>
        </w:rPr>
        <w:t xml:space="preserve">, 2010, 304 p., et </w:t>
      </w:r>
      <w:r w:rsidRPr="00502F00">
        <w:rPr>
          <w:color w:val="000000" w:themeColor="text1"/>
        </w:rPr>
        <w:t>la contribution dédiée</w:t>
      </w:r>
      <w:r w:rsidRPr="00502F00">
        <w:rPr>
          <w:color w:val="000000" w:themeColor="text1"/>
        </w:rPr>
        <w:t xml:space="preserve"> </w:t>
      </w:r>
      <w:r w:rsidRPr="00502F00">
        <w:rPr>
          <w:color w:val="000000" w:themeColor="text1"/>
        </w:rPr>
        <w:t>à</w:t>
      </w:r>
      <w:r w:rsidRPr="00502F00">
        <w:rPr>
          <w:color w:val="000000" w:themeColor="text1"/>
        </w:rPr>
        <w:t xml:space="preserve"> la C</w:t>
      </w:r>
      <w:r w:rsidRPr="00502F00">
        <w:rPr>
          <w:color w:val="000000" w:themeColor="text1"/>
        </w:rPr>
        <w:t xml:space="preserve">our, </w:t>
      </w:r>
      <w:r w:rsidRPr="00502F00">
        <w:rPr>
          <w:color w:val="000000" w:themeColor="text1"/>
        </w:rPr>
        <w:t>SANTULLI</w:t>
      </w:r>
      <w:r w:rsidRPr="00502F00">
        <w:rPr>
          <w:color w:val="000000" w:themeColor="text1"/>
        </w:rPr>
        <w:t xml:space="preserve"> C.</w:t>
      </w:r>
      <w:r w:rsidRPr="00502F00">
        <w:rPr>
          <w:color w:val="000000" w:themeColor="text1"/>
        </w:rPr>
        <w:t xml:space="preserve">, </w:t>
      </w:r>
      <w:r w:rsidRPr="00502F00">
        <w:rPr>
          <w:color w:val="000000" w:themeColor="text1"/>
        </w:rPr>
        <w:t>« </w:t>
      </w:r>
      <w:r w:rsidRPr="00502F00">
        <w:rPr>
          <w:color w:val="000000" w:themeColor="text1"/>
        </w:rPr>
        <w:t>Trois observations sur l'indépendance et l'impartialité des juridictions internationales</w:t>
      </w:r>
      <w:r w:rsidRPr="00502F00">
        <w:rPr>
          <w:color w:val="000000" w:themeColor="text1"/>
        </w:rPr>
        <w:t> »</w:t>
      </w:r>
      <w:r w:rsidRPr="00502F00">
        <w:rPr>
          <w:color w:val="000000" w:themeColor="text1"/>
        </w:rPr>
        <w:t xml:space="preserve">, </w:t>
      </w:r>
      <w:r w:rsidRPr="00502F00">
        <w:rPr>
          <w:i/>
          <w:iCs/>
          <w:color w:val="000000" w:themeColor="text1"/>
        </w:rPr>
        <w:t>ibid</w:t>
      </w:r>
      <w:r w:rsidRPr="00502F00">
        <w:rPr>
          <w:color w:val="000000" w:themeColor="text1"/>
        </w:rPr>
        <w:t>., pp. 225-232.</w:t>
      </w:r>
    </w:p>
  </w:footnote>
  <w:footnote w:id="4">
    <w:p w14:paraId="19E0E7D6" w14:textId="31FF72AE" w:rsidR="00AB4752" w:rsidRPr="00502F00" w:rsidRDefault="00AB4752"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Sur ce sujet, v. notamment </w:t>
      </w:r>
      <w:r w:rsidRPr="00502F00">
        <w:rPr>
          <w:color w:val="000000" w:themeColor="text1"/>
        </w:rPr>
        <w:t xml:space="preserve">MAUREL </w:t>
      </w:r>
      <w:r w:rsidRPr="00502F00">
        <w:rPr>
          <w:color w:val="000000" w:themeColor="text1"/>
        </w:rPr>
        <w:t>R.</w:t>
      </w:r>
      <w:r w:rsidRPr="00502F00">
        <w:rPr>
          <w:color w:val="000000" w:themeColor="text1"/>
        </w:rPr>
        <w:t xml:space="preserve">, « Révolution discrète ou communication malheureuse ? À propos de la « compilation des décisions » adoptées par la Cour internationale de justice en matière d’activités extérieures des juges », </w:t>
      </w:r>
      <w:r w:rsidRPr="00502F00">
        <w:rPr>
          <w:i/>
          <w:iCs/>
          <w:color w:val="000000" w:themeColor="text1"/>
        </w:rPr>
        <w:t>Blog INTER-ÉTHIQUE</w:t>
      </w:r>
      <w:r w:rsidRPr="00502F00">
        <w:rPr>
          <w:color w:val="000000" w:themeColor="text1"/>
        </w:rPr>
        <w:t xml:space="preserve">, décembre 2020, en ligne : </w:t>
      </w:r>
      <w:hyperlink r:id="rId2" w:history="1">
        <w:r w:rsidRPr="00502F00">
          <w:rPr>
            <w:rStyle w:val="Lienhypertexte"/>
            <w:color w:val="000000" w:themeColor="text1"/>
          </w:rPr>
          <w:t>https://blog.u-bourgogne.fr/droit-inter-ethique/2020/12/22/revolution-discrete-ou-communication-malheureuse-a-propos-de-la-compilation-des-decisions-adoptees-par-la-cour-internationale-de-justice/</w:t>
        </w:r>
      </w:hyperlink>
      <w:r w:rsidRPr="00502F00">
        <w:rPr>
          <w:color w:val="000000" w:themeColor="text1"/>
        </w:rPr>
        <w:t xml:space="preserve">. </w:t>
      </w:r>
    </w:p>
  </w:footnote>
  <w:footnote w:id="5">
    <w:p w14:paraId="2A6CFB43" w14:textId="2ED62D2A" w:rsidR="00373724" w:rsidRPr="00502F00" w:rsidRDefault="00373724" w:rsidP="00301B11">
      <w:pPr>
        <w:pStyle w:val="Notedebasdepage"/>
        <w:rPr>
          <w:color w:val="000000" w:themeColor="text1"/>
        </w:rPr>
      </w:pPr>
      <w:r w:rsidRPr="00502F00">
        <w:rPr>
          <w:rStyle w:val="Appelnotedebasdep"/>
          <w:color w:val="000000" w:themeColor="text1"/>
        </w:rPr>
        <w:footnoteRef/>
      </w:r>
      <w:r w:rsidR="00D74C61" w:rsidRPr="00502F00">
        <w:rPr>
          <w:color w:val="000000" w:themeColor="text1"/>
        </w:rPr>
        <w:t> </w:t>
      </w:r>
      <w:r w:rsidRPr="00502F00">
        <w:rPr>
          <w:color w:val="000000" w:themeColor="text1"/>
        </w:rPr>
        <w:t>Pour une approche sous l'angle du droit interne français, voir, récemment, LEMAIRE E., SAISON J., UNTERMAIER-KERLÉO É. (</w:t>
      </w:r>
      <w:proofErr w:type="spellStart"/>
      <w:r w:rsidRPr="00502F00">
        <w:rPr>
          <w:color w:val="000000" w:themeColor="text1"/>
        </w:rPr>
        <w:t>dir</w:t>
      </w:r>
      <w:proofErr w:type="spellEnd"/>
      <w:r w:rsidRPr="00502F00">
        <w:rPr>
          <w:color w:val="000000" w:themeColor="text1"/>
        </w:rPr>
        <w:t xml:space="preserve">.), </w:t>
      </w:r>
      <w:r w:rsidRPr="00502F00">
        <w:rPr>
          <w:i/>
          <w:iCs/>
          <w:color w:val="000000" w:themeColor="text1"/>
        </w:rPr>
        <w:t>La déontologie des juges. État des lieux et perspectives d'avenir</w:t>
      </w:r>
      <w:r w:rsidRPr="00502F00">
        <w:rPr>
          <w:color w:val="000000" w:themeColor="text1"/>
        </w:rPr>
        <w:t>, Paris, IFJD, 2021, 282 p.</w:t>
      </w:r>
      <w:r w:rsidR="00F06B1A" w:rsidRPr="00502F00">
        <w:rPr>
          <w:color w:val="000000" w:themeColor="text1"/>
        </w:rPr>
        <w:t xml:space="preserve"> Les approches en droit international sont rares ; v. cependant COT J.-P, « L’éthique du procès international. Leçon inaugurale », </w:t>
      </w:r>
      <w:r w:rsidR="00F06B1A" w:rsidRPr="00502F00">
        <w:rPr>
          <w:i/>
          <w:iCs/>
          <w:color w:val="000000" w:themeColor="text1"/>
        </w:rPr>
        <w:t>RCADI</w:t>
      </w:r>
      <w:r w:rsidR="00F06B1A" w:rsidRPr="00502F00">
        <w:rPr>
          <w:color w:val="000000" w:themeColor="text1"/>
        </w:rPr>
        <w:t>, vol. 391, 2018, pp. 377-384, et les références citées.</w:t>
      </w:r>
    </w:p>
  </w:footnote>
  <w:footnote w:id="6">
    <w:p w14:paraId="38A29592" w14:textId="1731872A" w:rsidR="00E53D2E" w:rsidRPr="00502F00" w:rsidRDefault="00E53D2E"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Sur ce thème, v. </w:t>
      </w:r>
      <w:r w:rsidR="00172A79" w:rsidRPr="00502F00">
        <w:rPr>
          <w:color w:val="000000" w:themeColor="text1"/>
        </w:rPr>
        <w:t>p</w:t>
      </w:r>
      <w:r w:rsidRPr="00502F00">
        <w:rPr>
          <w:color w:val="000000" w:themeColor="text1"/>
        </w:rPr>
        <w:t xml:space="preserve">ar exemple </w:t>
      </w:r>
      <w:r w:rsidRPr="00502F00">
        <w:rPr>
          <w:color w:val="000000" w:themeColor="text1"/>
        </w:rPr>
        <w:t>RADICATI DI BROZOLO</w:t>
      </w:r>
      <w:r w:rsidRPr="00502F00">
        <w:rPr>
          <w:color w:val="000000" w:themeColor="text1"/>
        </w:rPr>
        <w:t xml:space="preserve">, L. G., </w:t>
      </w:r>
      <w:r w:rsidRPr="00502F00">
        <w:rPr>
          <w:color w:val="000000" w:themeColor="text1"/>
        </w:rPr>
        <w:t>« </w:t>
      </w:r>
      <w:r w:rsidRPr="00502F00">
        <w:rPr>
          <w:color w:val="000000" w:themeColor="text1"/>
        </w:rPr>
        <w:t>Arbitrage commercial international et lois de police. Considérations sur les conflits de juridictions dans le commerce international</w:t>
      </w:r>
      <w:r w:rsidRPr="00502F00">
        <w:rPr>
          <w:color w:val="000000" w:themeColor="text1"/>
        </w:rPr>
        <w:t> »</w:t>
      </w:r>
      <w:r w:rsidRPr="00502F00">
        <w:rPr>
          <w:color w:val="000000" w:themeColor="text1"/>
        </w:rPr>
        <w:t xml:space="preserve">, </w:t>
      </w:r>
      <w:r w:rsidRPr="00502F00">
        <w:rPr>
          <w:i/>
          <w:iCs/>
          <w:color w:val="000000" w:themeColor="text1"/>
        </w:rPr>
        <w:t>RCADI</w:t>
      </w:r>
      <w:r w:rsidRPr="00502F00">
        <w:rPr>
          <w:color w:val="000000" w:themeColor="text1"/>
        </w:rPr>
        <w:t xml:space="preserve">, vol. 315, 2005, pp. 265-501 ; l'auteur mentionne incidemment (p. 474), face à </w:t>
      </w:r>
      <w:r w:rsidRPr="00502F00">
        <w:rPr>
          <w:color w:val="000000" w:themeColor="text1"/>
        </w:rPr>
        <w:t>« </w:t>
      </w:r>
      <w:r w:rsidRPr="00502F00">
        <w:rPr>
          <w:color w:val="000000" w:themeColor="text1"/>
        </w:rPr>
        <w:t>l'incertitude</w:t>
      </w:r>
      <w:r w:rsidRPr="00502F00">
        <w:rPr>
          <w:color w:val="000000" w:themeColor="text1"/>
        </w:rPr>
        <w:t> »</w:t>
      </w:r>
      <w:r w:rsidRPr="00502F00">
        <w:rPr>
          <w:color w:val="000000" w:themeColor="text1"/>
        </w:rPr>
        <w:t xml:space="preserve"> (p. 473), </w:t>
      </w:r>
      <w:r w:rsidRPr="00502F00">
        <w:rPr>
          <w:color w:val="000000" w:themeColor="text1"/>
        </w:rPr>
        <w:t>« </w:t>
      </w:r>
      <w:r w:rsidRPr="00502F00">
        <w:rPr>
          <w:color w:val="000000" w:themeColor="text1"/>
        </w:rPr>
        <w:t>le poids que peuvent avoir les considérations d’ordre éthique ou moral</w:t>
      </w:r>
      <w:r w:rsidRPr="00502F00">
        <w:rPr>
          <w:color w:val="000000" w:themeColor="text1"/>
        </w:rPr>
        <w:t xml:space="preserve"> » </w:t>
      </w:r>
      <w:r w:rsidRPr="00502F00">
        <w:rPr>
          <w:color w:val="000000" w:themeColor="text1"/>
        </w:rPr>
        <w:t>dans la solution rendue par les arbitres quant à l'application des lois de police.</w:t>
      </w:r>
    </w:p>
  </w:footnote>
  <w:footnote w:id="7">
    <w:p w14:paraId="66CCFD81" w14:textId="746B0C53" w:rsidR="00A66A03" w:rsidRPr="00502F00" w:rsidRDefault="00A66A03"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RICOEUR</w:t>
      </w:r>
      <w:r w:rsidRPr="00502F00">
        <w:rPr>
          <w:color w:val="000000" w:themeColor="text1"/>
        </w:rPr>
        <w:t xml:space="preserve"> P.</w:t>
      </w:r>
      <w:r w:rsidRPr="00502F00">
        <w:rPr>
          <w:color w:val="000000" w:themeColor="text1"/>
        </w:rPr>
        <w:t xml:space="preserve">, </w:t>
      </w:r>
      <w:r w:rsidRPr="00502F00">
        <w:rPr>
          <w:i/>
          <w:iCs/>
          <w:color w:val="000000" w:themeColor="text1"/>
        </w:rPr>
        <w:t>Soi-même comme un autre</w:t>
      </w:r>
      <w:r w:rsidRPr="00502F00">
        <w:rPr>
          <w:color w:val="000000" w:themeColor="text1"/>
        </w:rPr>
        <w:t>, Paris, Éditions du Seuil, 1990, p. 237</w:t>
      </w:r>
      <w:r w:rsidRPr="00502F00">
        <w:rPr>
          <w:color w:val="000000" w:themeColor="text1"/>
        </w:rPr>
        <w:t xml:space="preserve"> p. ; v. également </w:t>
      </w:r>
      <w:r w:rsidRPr="00502F00">
        <w:rPr>
          <w:color w:val="000000" w:themeColor="text1"/>
        </w:rPr>
        <w:t>ses analystes</w:t>
      </w:r>
      <w:r w:rsidRPr="00502F00">
        <w:rPr>
          <w:color w:val="000000" w:themeColor="text1"/>
        </w:rPr>
        <w:t>, par</w:t>
      </w:r>
      <w:r w:rsidRPr="00502F00">
        <w:rPr>
          <w:color w:val="000000" w:themeColor="text1"/>
        </w:rPr>
        <w:t xml:space="preserve"> ex. LECOURT</w:t>
      </w:r>
      <w:r w:rsidRPr="00502F00">
        <w:rPr>
          <w:color w:val="000000" w:themeColor="text1"/>
        </w:rPr>
        <w:t xml:space="preserve"> V.</w:t>
      </w:r>
      <w:r w:rsidRPr="00502F00">
        <w:rPr>
          <w:color w:val="000000" w:themeColor="text1"/>
        </w:rPr>
        <w:t xml:space="preserve">, </w:t>
      </w:r>
      <w:r w:rsidRPr="00502F00">
        <w:rPr>
          <w:i/>
          <w:iCs/>
          <w:color w:val="000000" w:themeColor="text1"/>
        </w:rPr>
        <w:t>Le processus questionnant en éthique : une étude exploratoire à partir d’expériences individuelles et organisationnelles</w:t>
      </w:r>
      <w:r w:rsidRPr="00502F00">
        <w:rPr>
          <w:color w:val="000000" w:themeColor="text1"/>
        </w:rPr>
        <w:t>, Thèse en sciences de gestion, HEC Montréal et Université Paris 1 Panthéon-Sorbonne, 2014, pp. 41-54.</w:t>
      </w:r>
    </w:p>
  </w:footnote>
  <w:footnote w:id="8">
    <w:p w14:paraId="1BFEBFF1" w14:textId="174490AD" w:rsidR="00244698" w:rsidRPr="00502F00" w:rsidRDefault="00244698"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SIMARD J, MORENCY M.-A., </w:t>
      </w:r>
      <w:r w:rsidRPr="00502F00">
        <w:rPr>
          <w:color w:val="000000" w:themeColor="text1"/>
        </w:rPr>
        <w:t>« </w:t>
      </w:r>
      <w:r w:rsidRPr="00502F00">
        <w:rPr>
          <w:color w:val="000000" w:themeColor="text1"/>
        </w:rPr>
        <w:t>L’interprétation du droit par les juristes : la place de la délibération éthique</w:t>
      </w:r>
      <w:r w:rsidRPr="00502F00">
        <w:rPr>
          <w:color w:val="000000" w:themeColor="text1"/>
        </w:rPr>
        <w:t> »</w:t>
      </w:r>
      <w:r w:rsidRPr="00502F00">
        <w:rPr>
          <w:color w:val="000000" w:themeColor="text1"/>
        </w:rPr>
        <w:t xml:space="preserve">, </w:t>
      </w:r>
      <w:r w:rsidRPr="00502F00">
        <w:rPr>
          <w:i/>
          <w:iCs/>
          <w:color w:val="000000" w:themeColor="text1"/>
        </w:rPr>
        <w:t>Les ateliers de l'éthique</w:t>
      </w:r>
      <w:r w:rsidRPr="00502F00">
        <w:rPr>
          <w:color w:val="000000" w:themeColor="text1"/>
        </w:rPr>
        <w:t>, vol. 6, n°2, 2011, pp. 26-48.</w:t>
      </w:r>
      <w:r w:rsidRPr="00502F00">
        <w:rPr>
          <w:color w:val="000000" w:themeColor="text1"/>
        </w:rPr>
        <w:t xml:space="preserve"> </w:t>
      </w:r>
      <w:r w:rsidRPr="00502F00">
        <w:rPr>
          <w:color w:val="000000" w:themeColor="text1"/>
        </w:rPr>
        <w:t xml:space="preserve">Consultant la doctrine qu'ils croisent avec des exemples de jugements de la Cour suprême du Canada, les auteurs constatent le </w:t>
      </w:r>
      <w:r w:rsidRPr="00502F00">
        <w:rPr>
          <w:color w:val="000000" w:themeColor="text1"/>
        </w:rPr>
        <w:t>« </w:t>
      </w:r>
      <w:r w:rsidRPr="00502F00">
        <w:rPr>
          <w:color w:val="000000" w:themeColor="text1"/>
        </w:rPr>
        <w:t>recours à des arguments pragmatiques (comme l’effet de la loi, c’est-à-dire les conséquences pratiques de son application pour les justiciables) même lorsque cela n’est pas mentionné et autorisé dans le libellé des lois</w:t>
      </w:r>
      <w:r w:rsidRPr="00502F00">
        <w:rPr>
          <w:color w:val="000000" w:themeColor="text1"/>
        </w:rPr>
        <w:t> »</w:t>
      </w:r>
      <w:r w:rsidRPr="00502F00">
        <w:rPr>
          <w:color w:val="000000" w:themeColor="text1"/>
        </w:rPr>
        <w:t xml:space="preserve"> (p. 34). Ils s'appuient également sur des interventions et prises de paroles de juges, en marge ou après l'expiration de leurs mandats</w:t>
      </w:r>
      <w:r w:rsidRPr="00502F00">
        <w:rPr>
          <w:color w:val="000000" w:themeColor="text1"/>
        </w:rPr>
        <w:t xml:space="preserve"> </w:t>
      </w:r>
      <w:r w:rsidRPr="00502F00">
        <w:rPr>
          <w:color w:val="000000" w:themeColor="text1"/>
        </w:rPr>
        <w:t>(pp. 39-42).</w:t>
      </w:r>
    </w:p>
  </w:footnote>
  <w:footnote w:id="9">
    <w:p w14:paraId="0F954757" w14:textId="018C244C" w:rsidR="006434F4" w:rsidRPr="00502F00" w:rsidRDefault="006434F4" w:rsidP="006434F4">
      <w:pPr>
        <w:pStyle w:val="Notedebasdepage"/>
        <w:rPr>
          <w:rFonts w:ascii="Times" w:hAnsi="Times"/>
          <w:color w:val="000000" w:themeColor="text1"/>
        </w:rPr>
      </w:pPr>
      <w:r w:rsidRPr="00502F00">
        <w:rPr>
          <w:rStyle w:val="Appelnotedebasdep"/>
          <w:color w:val="000000" w:themeColor="text1"/>
        </w:rPr>
        <w:footnoteRef/>
      </w:r>
      <w:r w:rsidRPr="00502F00">
        <w:rPr>
          <w:color w:val="000000" w:themeColor="text1"/>
        </w:rPr>
        <w:t> </w:t>
      </w:r>
      <w:r w:rsidRPr="00502F00">
        <w:rPr>
          <w:rFonts w:ascii="Times" w:hAnsi="Times"/>
          <w:color w:val="000000" w:themeColor="text1"/>
        </w:rPr>
        <w:t xml:space="preserve">DOMINICÉ Ch., « La Cour internationale de Justice et l’éthique des relations internationales », </w:t>
      </w:r>
      <w:r w:rsidRPr="00502F00">
        <w:rPr>
          <w:rFonts w:ascii="Times" w:hAnsi="Times"/>
          <w:i/>
          <w:iCs/>
          <w:color w:val="000000" w:themeColor="text1"/>
        </w:rPr>
        <w:t>in</w:t>
      </w:r>
      <w:r w:rsidR="00706633" w:rsidRPr="00502F00">
        <w:rPr>
          <w:rFonts w:ascii="Times" w:hAnsi="Times"/>
          <w:color w:val="000000" w:themeColor="text1"/>
        </w:rPr>
        <w:t xml:space="preserve"> DOMINICÉ Ch.</w:t>
      </w:r>
      <w:r w:rsidRPr="00502F00">
        <w:rPr>
          <w:rFonts w:ascii="Times" w:hAnsi="Times"/>
          <w:color w:val="000000" w:themeColor="text1"/>
        </w:rPr>
        <w:t xml:space="preserve">, </w:t>
      </w:r>
      <w:r w:rsidRPr="00502F00">
        <w:rPr>
          <w:rFonts w:ascii="Times" w:hAnsi="Times"/>
          <w:i/>
          <w:iCs/>
          <w:color w:val="000000" w:themeColor="text1"/>
        </w:rPr>
        <w:t>L’ordre juridique international entre tradition et innovation</w:t>
      </w:r>
      <w:r w:rsidRPr="00502F00">
        <w:rPr>
          <w:rFonts w:ascii="Times" w:hAnsi="Times"/>
          <w:color w:val="000000" w:themeColor="text1"/>
        </w:rPr>
        <w:t>, Paris, PUF, 1997, pp. 45-55</w:t>
      </w:r>
      <w:r w:rsidRPr="00502F00">
        <w:rPr>
          <w:rFonts w:ascii="Times" w:hAnsi="Times"/>
          <w:color w:val="000000" w:themeColor="text1"/>
        </w:rPr>
        <w:t xml:space="preserve"> ; MAUREL R., </w:t>
      </w:r>
      <w:r w:rsidRPr="00502F00">
        <w:rPr>
          <w:rFonts w:ascii="Times" w:hAnsi="Times"/>
          <w:color w:val="000000" w:themeColor="text1"/>
        </w:rPr>
        <w:t xml:space="preserve">« De l’éthique dans la jurisprudence de la Cour internationale de justice ? L’exemple de l’interdiction du recours à la force dans l’arrêt </w:t>
      </w:r>
      <w:r w:rsidRPr="00502F00">
        <w:rPr>
          <w:rFonts w:ascii="Times" w:hAnsi="Times"/>
          <w:i/>
          <w:iCs/>
          <w:color w:val="000000" w:themeColor="text1"/>
        </w:rPr>
        <w:t>Activités militaires et paramilitaires au Nicaragua et contre celui-ci</w:t>
      </w:r>
      <w:r w:rsidRPr="00502F00">
        <w:rPr>
          <w:rFonts w:ascii="Times" w:hAnsi="Times"/>
          <w:color w:val="000000" w:themeColor="text1"/>
        </w:rPr>
        <w:t xml:space="preserve"> », </w:t>
      </w:r>
      <w:r w:rsidRPr="00502F00">
        <w:rPr>
          <w:rFonts w:ascii="Times" w:hAnsi="Times"/>
          <w:i/>
          <w:iCs/>
          <w:color w:val="000000" w:themeColor="text1"/>
        </w:rPr>
        <w:t>Blog INTER-ÉTHIQUE</w:t>
      </w:r>
      <w:r w:rsidRPr="00502F00">
        <w:rPr>
          <w:rFonts w:ascii="Times" w:hAnsi="Times"/>
          <w:color w:val="000000" w:themeColor="text1"/>
        </w:rPr>
        <w:t xml:space="preserve">, septembre 2020, en ligne : </w:t>
      </w:r>
      <w:hyperlink r:id="rId3" w:history="1">
        <w:r w:rsidRPr="00502F00">
          <w:rPr>
            <w:rStyle w:val="Lienhypertexte"/>
            <w:rFonts w:ascii="Times" w:hAnsi="Times"/>
            <w:color w:val="000000" w:themeColor="text1"/>
          </w:rPr>
          <w:t>https://blog.u-bourgogne.fr/droit-inter-ethique/2020/09/28/de-lethique-dans-la-jurisprudence-de-la-cour-internationale-de-justice-lexemple-de-linterdiction-du-recours-a-la-force-dans-larret-activites-militaires-et-paramilitaires-au-nicaragua-et-c-c/</w:t>
        </w:r>
      </w:hyperlink>
      <w:r w:rsidRPr="00502F00">
        <w:rPr>
          <w:rFonts w:ascii="Times" w:hAnsi="Times"/>
          <w:color w:val="000000" w:themeColor="text1"/>
        </w:rPr>
        <w:t xml:space="preserve">. </w:t>
      </w:r>
    </w:p>
    <w:p w14:paraId="13A0113F" w14:textId="6CDE82D5" w:rsidR="006434F4" w:rsidRPr="00502F00" w:rsidRDefault="006434F4">
      <w:pPr>
        <w:pStyle w:val="Notedebasdepage"/>
        <w:rPr>
          <w:color w:val="000000" w:themeColor="text1"/>
        </w:rPr>
      </w:pPr>
    </w:p>
  </w:footnote>
  <w:footnote w:id="10">
    <w:p w14:paraId="5036A1C2" w14:textId="5A58916F" w:rsidR="00CE6A5A" w:rsidRPr="00502F00" w:rsidRDefault="00CE6A5A"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Sur cette idée, voir </w:t>
      </w:r>
      <w:r w:rsidRPr="00502F00">
        <w:rPr>
          <w:color w:val="000000" w:themeColor="text1"/>
        </w:rPr>
        <w:t xml:space="preserve">TZENG P., </w:t>
      </w:r>
      <w:r w:rsidRPr="00502F00">
        <w:rPr>
          <w:color w:val="000000" w:themeColor="text1"/>
        </w:rPr>
        <w:t>« </w:t>
      </w:r>
      <w:r w:rsidRPr="00502F00">
        <w:rPr>
          <w:color w:val="000000" w:themeColor="text1"/>
        </w:rPr>
        <w:t xml:space="preserve">A </w:t>
      </w:r>
      <w:proofErr w:type="spellStart"/>
      <w:r w:rsidRPr="00502F00">
        <w:rPr>
          <w:color w:val="000000" w:themeColor="text1"/>
        </w:rPr>
        <w:t>Strategy</w:t>
      </w:r>
      <w:proofErr w:type="spellEnd"/>
      <w:r w:rsidRPr="00502F00">
        <w:rPr>
          <w:color w:val="000000" w:themeColor="text1"/>
        </w:rPr>
        <w:t xml:space="preserve"> of Non-Participation </w:t>
      </w:r>
      <w:proofErr w:type="spellStart"/>
      <w:r w:rsidRPr="00502F00">
        <w:rPr>
          <w:color w:val="000000" w:themeColor="text1"/>
        </w:rPr>
        <w:t>before</w:t>
      </w:r>
      <w:proofErr w:type="spellEnd"/>
      <w:r w:rsidRPr="00502F00">
        <w:rPr>
          <w:color w:val="000000" w:themeColor="text1"/>
        </w:rPr>
        <w:t xml:space="preserve"> International Courts and </w:t>
      </w:r>
      <w:proofErr w:type="spellStart"/>
      <w:r w:rsidRPr="00502F00">
        <w:rPr>
          <w:color w:val="000000" w:themeColor="text1"/>
        </w:rPr>
        <w:t>Tribunals</w:t>
      </w:r>
      <w:proofErr w:type="spellEnd"/>
      <w:r w:rsidRPr="00502F00">
        <w:rPr>
          <w:color w:val="000000" w:themeColor="text1"/>
        </w:rPr>
        <w:t> »</w:t>
      </w:r>
      <w:r w:rsidRPr="00502F00">
        <w:rPr>
          <w:color w:val="000000" w:themeColor="text1"/>
        </w:rPr>
        <w:t xml:space="preserve">, </w:t>
      </w:r>
      <w:r w:rsidRPr="00502F00">
        <w:rPr>
          <w:i/>
          <w:iCs/>
          <w:color w:val="000000" w:themeColor="text1"/>
        </w:rPr>
        <w:t xml:space="preserve">The Law &amp; Practice of International Courts and </w:t>
      </w:r>
      <w:proofErr w:type="spellStart"/>
      <w:r w:rsidRPr="00502F00">
        <w:rPr>
          <w:i/>
          <w:iCs/>
          <w:color w:val="000000" w:themeColor="text1"/>
        </w:rPr>
        <w:t>Tribunals</w:t>
      </w:r>
      <w:proofErr w:type="spellEnd"/>
      <w:r w:rsidRPr="00502F00">
        <w:rPr>
          <w:color w:val="000000" w:themeColor="text1"/>
        </w:rPr>
        <w:t>, n° 2019/1, pp. 5-27.</w:t>
      </w:r>
    </w:p>
  </w:footnote>
  <w:footnote w:id="11">
    <w:p w14:paraId="79A4EBA3" w14:textId="6717C333" w:rsidR="00243EE9" w:rsidRPr="00502F00" w:rsidRDefault="00243EE9"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O</w:t>
      </w:r>
      <w:r w:rsidRPr="00502F00">
        <w:rPr>
          <w:color w:val="000000" w:themeColor="text1"/>
        </w:rPr>
        <w:t xml:space="preserve">n pense notamment à l’expertise requise en 2020 par la Cour pour l’aider à </w:t>
      </w:r>
      <w:r w:rsidRPr="00502F00">
        <w:rPr>
          <w:color w:val="000000" w:themeColor="text1"/>
        </w:rPr>
        <w:t xml:space="preserve">enfin </w:t>
      </w:r>
      <w:r w:rsidRPr="00502F00">
        <w:rPr>
          <w:color w:val="000000" w:themeColor="text1"/>
        </w:rPr>
        <w:t xml:space="preserve">déterminer le montant dû par la </w:t>
      </w:r>
      <w:r w:rsidRPr="00502F00">
        <w:rPr>
          <w:color w:val="000000" w:themeColor="text1"/>
        </w:rPr>
        <w:t>République démocratique du Congo</w:t>
      </w:r>
      <w:r w:rsidRPr="00502F00">
        <w:rPr>
          <w:color w:val="000000" w:themeColor="text1"/>
        </w:rPr>
        <w:t xml:space="preserve"> à l’Ouganda</w:t>
      </w:r>
      <w:r w:rsidRPr="00502F00">
        <w:rPr>
          <w:color w:val="000000" w:themeColor="text1"/>
        </w:rPr>
        <w:t> ; v. CIJ,</w:t>
      </w:r>
      <w:r w:rsidR="00A6739A" w:rsidRPr="00502F00">
        <w:rPr>
          <w:color w:val="000000" w:themeColor="text1"/>
        </w:rPr>
        <w:t xml:space="preserve"> </w:t>
      </w:r>
      <w:r w:rsidR="00A6739A" w:rsidRPr="00502F00">
        <w:rPr>
          <w:i/>
          <w:iCs/>
          <w:color w:val="000000" w:themeColor="text1"/>
        </w:rPr>
        <w:t>Activités armées sur le territoire du Congo (République démocratique du Congo c. Ouganda)</w:t>
      </w:r>
      <w:r w:rsidR="00A6739A" w:rsidRPr="00502F00">
        <w:rPr>
          <w:color w:val="000000" w:themeColor="text1"/>
        </w:rPr>
        <w:t xml:space="preserve">, ordonnance du 12 octobre 2020, </w:t>
      </w:r>
      <w:r w:rsidR="00A6739A" w:rsidRPr="00502F00">
        <w:rPr>
          <w:i/>
          <w:iCs/>
          <w:color w:val="000000" w:themeColor="text1"/>
        </w:rPr>
        <w:t>C</w:t>
      </w:r>
      <w:r w:rsidR="00A56679" w:rsidRPr="00502F00">
        <w:rPr>
          <w:i/>
          <w:iCs/>
          <w:color w:val="000000" w:themeColor="text1"/>
        </w:rPr>
        <w:t>IJ</w:t>
      </w:r>
      <w:r w:rsidR="00A6739A" w:rsidRPr="00502F00">
        <w:rPr>
          <w:i/>
          <w:iCs/>
          <w:color w:val="000000" w:themeColor="text1"/>
        </w:rPr>
        <w:t xml:space="preserve"> Rec. </w:t>
      </w:r>
      <w:r w:rsidR="00A6739A" w:rsidRPr="00502F00">
        <w:rPr>
          <w:color w:val="000000" w:themeColor="text1"/>
        </w:rPr>
        <w:t>2020, p. 295.</w:t>
      </w:r>
    </w:p>
  </w:footnote>
  <w:footnote w:id="12">
    <w:p w14:paraId="01453D5A" w14:textId="4A071307" w:rsidR="00763CEB" w:rsidRPr="00502F00" w:rsidRDefault="00763CEB" w:rsidP="00301B11">
      <w:pPr>
        <w:pStyle w:val="Notedebasdepage"/>
        <w:rPr>
          <w:color w:val="000000" w:themeColor="text1"/>
        </w:rPr>
      </w:pPr>
      <w:r w:rsidRPr="00502F00">
        <w:rPr>
          <w:rStyle w:val="Appelnotedebasdep"/>
          <w:color w:val="000000" w:themeColor="text1"/>
        </w:rPr>
        <w:footnoteRef/>
      </w:r>
      <w:r w:rsidR="00A6739A" w:rsidRPr="00502F00">
        <w:rPr>
          <w:color w:val="000000" w:themeColor="text1"/>
        </w:rPr>
        <w:t xml:space="preserve"> V. notamment </w:t>
      </w:r>
      <w:r w:rsidR="00A6739A" w:rsidRPr="00502F00">
        <w:rPr>
          <w:color w:val="000000" w:themeColor="text1"/>
        </w:rPr>
        <w:t xml:space="preserve">CIJ, </w:t>
      </w:r>
      <w:r w:rsidR="00A6739A" w:rsidRPr="00502F00">
        <w:rPr>
          <w:i/>
          <w:iCs/>
          <w:color w:val="000000" w:themeColor="text1"/>
        </w:rPr>
        <w:t>Certaines activités menées par le Nicaragua dans la région frontalière (Costa Rica c. Nicaragua)</w:t>
      </w:r>
      <w:r w:rsidR="00A6739A" w:rsidRPr="00502F00">
        <w:rPr>
          <w:color w:val="000000" w:themeColor="text1"/>
        </w:rPr>
        <w:t xml:space="preserve">, indemnisation, arrêt du 2 février 2018, </w:t>
      </w:r>
      <w:r w:rsidR="00A6739A" w:rsidRPr="00502F00">
        <w:rPr>
          <w:i/>
          <w:iCs/>
          <w:color w:val="000000" w:themeColor="text1"/>
        </w:rPr>
        <w:t>C</w:t>
      </w:r>
      <w:r w:rsidR="00A56679" w:rsidRPr="00502F00">
        <w:rPr>
          <w:i/>
          <w:iCs/>
          <w:color w:val="000000" w:themeColor="text1"/>
        </w:rPr>
        <w:t>IJ</w:t>
      </w:r>
      <w:r w:rsidR="00A6739A" w:rsidRPr="00502F00">
        <w:rPr>
          <w:i/>
          <w:iCs/>
          <w:color w:val="000000" w:themeColor="text1"/>
        </w:rPr>
        <w:t xml:space="preserve"> Rec.</w:t>
      </w:r>
      <w:r w:rsidR="00A6739A" w:rsidRPr="00502F00">
        <w:rPr>
          <w:color w:val="000000" w:themeColor="text1"/>
        </w:rPr>
        <w:t xml:space="preserve"> 2018, §§78-87</w:t>
      </w:r>
      <w:r w:rsidR="00A6739A" w:rsidRPr="00502F00">
        <w:rPr>
          <w:color w:val="000000" w:themeColor="text1"/>
        </w:rPr>
        <w:t>, et, à propos de la méthode d’indemnisation dégagée, DEMARIA T., « </w:t>
      </w:r>
      <w:r w:rsidR="00A6739A" w:rsidRPr="00502F00">
        <w:rPr>
          <w:color w:val="000000" w:themeColor="text1"/>
        </w:rPr>
        <w:t xml:space="preserve">La Cour internationale de Justice et l’indemnisation des dommages dans l’arrêt </w:t>
      </w:r>
      <w:r w:rsidR="00A6739A" w:rsidRPr="00502F00">
        <w:rPr>
          <w:i/>
          <w:iCs/>
          <w:color w:val="000000" w:themeColor="text1"/>
        </w:rPr>
        <w:t>Certaines activités menées par le Nicaragua dans la région frontalière (Costa Rica c. Nicaragua)</w:t>
      </w:r>
      <w:r w:rsidR="00A6739A" w:rsidRPr="00502F00">
        <w:rPr>
          <w:color w:val="000000" w:themeColor="text1"/>
        </w:rPr>
        <w:t xml:space="preserve"> du 2 février 2018</w:t>
      </w:r>
      <w:r w:rsidR="00A6739A" w:rsidRPr="00502F00">
        <w:rPr>
          <w:color w:val="000000" w:themeColor="text1"/>
        </w:rPr>
        <w:t xml:space="preserve"> », </w:t>
      </w:r>
      <w:r w:rsidR="00A6739A" w:rsidRPr="00502F00">
        <w:rPr>
          <w:i/>
          <w:iCs/>
          <w:color w:val="000000" w:themeColor="text1"/>
        </w:rPr>
        <w:t>L’Observateur des Nations Unies</w:t>
      </w:r>
      <w:r w:rsidR="00A6739A" w:rsidRPr="00502F00">
        <w:rPr>
          <w:color w:val="000000" w:themeColor="text1"/>
        </w:rPr>
        <w:t>, vol. 48, 2020, pp. 277-296 ou MAUREL R., « </w:t>
      </w:r>
      <w:r w:rsidR="00A6739A" w:rsidRPr="00502F00">
        <w:rPr>
          <w:color w:val="000000" w:themeColor="text1"/>
        </w:rPr>
        <w:t xml:space="preserve">Une décision historique : l’indemnisation du dommage environnemental par la Cour internationale de justice, Note sous l’arrêt de la CIJ du 2 février 2018, </w:t>
      </w:r>
      <w:r w:rsidR="00A6739A" w:rsidRPr="00502F00">
        <w:rPr>
          <w:i/>
          <w:iCs/>
          <w:color w:val="000000" w:themeColor="text1"/>
        </w:rPr>
        <w:t>Certaines activités menées par le Nicaragua dans la région frontalière (Costa Rica c. Nicaragua)</w:t>
      </w:r>
      <w:r w:rsidR="00A6739A" w:rsidRPr="00502F00">
        <w:rPr>
          <w:color w:val="000000" w:themeColor="text1"/>
        </w:rPr>
        <w:t> »</w:t>
      </w:r>
      <w:r w:rsidR="00A6739A" w:rsidRPr="00502F00">
        <w:rPr>
          <w:color w:val="000000" w:themeColor="text1"/>
        </w:rPr>
        <w:t>,</w:t>
      </w:r>
      <w:r w:rsidR="00A6739A" w:rsidRPr="00502F00">
        <w:rPr>
          <w:color w:val="000000" w:themeColor="text1"/>
        </w:rPr>
        <w:t xml:space="preserve"> </w:t>
      </w:r>
      <w:r w:rsidR="00A6739A" w:rsidRPr="00502F00">
        <w:rPr>
          <w:i/>
          <w:iCs/>
          <w:color w:val="000000" w:themeColor="text1"/>
        </w:rPr>
        <w:t>La Revue du CMH</w:t>
      </w:r>
      <w:r w:rsidR="00A6739A" w:rsidRPr="00502F00">
        <w:rPr>
          <w:color w:val="000000" w:themeColor="text1"/>
        </w:rPr>
        <w:t>, n°13, 2018, pp. 57-61.</w:t>
      </w:r>
    </w:p>
  </w:footnote>
  <w:footnote w:id="13">
    <w:p w14:paraId="7CCC7110" w14:textId="73EDBADE" w:rsidR="00763CEB" w:rsidRPr="00502F00" w:rsidRDefault="00763CEB"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Telle est, en substance, la question posée à la Cour dans l’affaire </w:t>
      </w:r>
      <w:r w:rsidRPr="00502F00">
        <w:rPr>
          <w:i/>
          <w:iCs/>
          <w:color w:val="000000" w:themeColor="text1"/>
        </w:rPr>
        <w:t>RDC c. Ouganda</w:t>
      </w:r>
      <w:r w:rsidRPr="00502F00">
        <w:rPr>
          <w:color w:val="000000" w:themeColor="text1"/>
        </w:rPr>
        <w:t xml:space="preserve"> (v. </w:t>
      </w:r>
      <w:r w:rsidRPr="00502F00">
        <w:rPr>
          <w:i/>
          <w:iCs/>
          <w:color w:val="000000" w:themeColor="text1"/>
        </w:rPr>
        <w:t>supra</w:t>
      </w:r>
      <w:r w:rsidRPr="00502F00">
        <w:rPr>
          <w:color w:val="000000" w:themeColor="text1"/>
        </w:rPr>
        <w:t xml:space="preserve">, note </w:t>
      </w:r>
      <w:r w:rsidRPr="00502F00">
        <w:rPr>
          <w:color w:val="000000" w:themeColor="text1"/>
        </w:rPr>
        <w:fldChar w:fldCharType="begin"/>
      </w:r>
      <w:r w:rsidRPr="00502F00">
        <w:rPr>
          <w:color w:val="000000" w:themeColor="text1"/>
        </w:rPr>
        <w:instrText xml:space="preserve"> NOTEREF _Ref91412226 \h </w:instrText>
      </w:r>
      <w:r w:rsidRPr="00502F00">
        <w:rPr>
          <w:color w:val="000000" w:themeColor="text1"/>
        </w:rPr>
      </w:r>
      <w:r w:rsidR="00301B11" w:rsidRPr="00502F00">
        <w:rPr>
          <w:color w:val="000000" w:themeColor="text1"/>
        </w:rPr>
        <w:instrText xml:space="preserve"> \* MERGEFORMAT </w:instrText>
      </w:r>
      <w:r w:rsidRPr="00502F00">
        <w:rPr>
          <w:color w:val="000000" w:themeColor="text1"/>
        </w:rPr>
        <w:fldChar w:fldCharType="separate"/>
      </w:r>
      <w:r w:rsidR="00502F00" w:rsidRPr="00502F00">
        <w:rPr>
          <w:color w:val="000000" w:themeColor="text1"/>
        </w:rPr>
        <w:t>11</w:t>
      </w:r>
      <w:r w:rsidRPr="00502F00">
        <w:rPr>
          <w:color w:val="000000" w:themeColor="text1"/>
        </w:rPr>
        <w:fldChar w:fldCharType="end"/>
      </w:r>
      <w:r w:rsidRPr="00502F00">
        <w:rPr>
          <w:color w:val="000000" w:themeColor="text1"/>
        </w:rPr>
        <w:t>).</w:t>
      </w:r>
    </w:p>
  </w:footnote>
  <w:footnote w:id="14">
    <w:p w14:paraId="49DB5FD4" w14:textId="6EB37B8E" w:rsidR="001B7A57" w:rsidRPr="00502F00" w:rsidRDefault="001B7A57"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V., en dernier lieu, CIJ, </w:t>
      </w:r>
      <w:r w:rsidRPr="00502F00">
        <w:rPr>
          <w:i/>
          <w:iCs/>
          <w:color w:val="000000" w:themeColor="text1"/>
        </w:rPr>
        <w:t>Application de la convention internationale sur l’élimination de toutes les formes de discrimination raciale (Qatar c. Émirats arabes unis)</w:t>
      </w:r>
      <w:r w:rsidRPr="00502F00">
        <w:rPr>
          <w:color w:val="000000" w:themeColor="text1"/>
        </w:rPr>
        <w:t xml:space="preserve">, exceptions préliminaires, arrêt du 4 février 2021, Rôle général n°172. Dans cette affaire et malgré l’indication de mesures conservatoires par l’ordonnance du 23 juillet 2018 (CIJ, </w:t>
      </w:r>
      <w:r w:rsidRPr="00502F00">
        <w:rPr>
          <w:i/>
          <w:iCs/>
          <w:color w:val="000000" w:themeColor="text1"/>
        </w:rPr>
        <w:t>Application de la convention internationale</w:t>
      </w:r>
      <w:r w:rsidRPr="00502F00">
        <w:rPr>
          <w:i/>
          <w:iCs/>
          <w:color w:val="000000" w:themeColor="text1"/>
        </w:rPr>
        <w:t xml:space="preserve"> </w:t>
      </w:r>
      <w:r w:rsidRPr="00502F00">
        <w:rPr>
          <w:i/>
          <w:iCs/>
          <w:color w:val="000000" w:themeColor="text1"/>
        </w:rPr>
        <w:t xml:space="preserve">sur l’élimination de toutes les formes de discrimination raciale (Qatar c. </w:t>
      </w:r>
      <w:r w:rsidRPr="00502F00">
        <w:rPr>
          <w:i/>
          <w:iCs/>
          <w:color w:val="000000" w:themeColor="text1"/>
        </w:rPr>
        <w:t>Émirats</w:t>
      </w:r>
      <w:r w:rsidRPr="00502F00">
        <w:rPr>
          <w:i/>
          <w:iCs/>
          <w:color w:val="000000" w:themeColor="text1"/>
        </w:rPr>
        <w:t xml:space="preserve"> arabes unis)</w:t>
      </w:r>
      <w:r w:rsidRPr="00502F00">
        <w:rPr>
          <w:color w:val="000000" w:themeColor="text1"/>
        </w:rPr>
        <w:t xml:space="preserve">, mesures conservatoires, ordonnance du 23 juillet 2018, </w:t>
      </w:r>
      <w:r w:rsidRPr="00502F00">
        <w:rPr>
          <w:i/>
          <w:iCs/>
          <w:color w:val="000000" w:themeColor="text1"/>
        </w:rPr>
        <w:t>C.I.J. Rec</w:t>
      </w:r>
      <w:r w:rsidRPr="00502F00">
        <w:rPr>
          <w:i/>
          <w:iCs/>
          <w:color w:val="000000" w:themeColor="text1"/>
        </w:rPr>
        <w:t>.</w:t>
      </w:r>
      <w:r w:rsidRPr="00502F00">
        <w:rPr>
          <w:color w:val="000000" w:themeColor="text1"/>
        </w:rPr>
        <w:t xml:space="preserve"> 2018, p.</w:t>
      </w:r>
      <w:r w:rsidR="001231B7" w:rsidRPr="00502F00">
        <w:rPr>
          <w:color w:val="000000" w:themeColor="text1"/>
        </w:rPr>
        <w:t xml:space="preserve"> </w:t>
      </w:r>
      <w:r w:rsidRPr="00502F00">
        <w:rPr>
          <w:color w:val="000000" w:themeColor="text1"/>
        </w:rPr>
        <w:t>406</w:t>
      </w:r>
      <w:r w:rsidRPr="00502F00">
        <w:rPr>
          <w:color w:val="000000" w:themeColor="text1"/>
        </w:rPr>
        <w:t xml:space="preserve">), la Cour a jugé, par 11 voix contre 6, qu’elle n’était finalement pas compétente </w:t>
      </w:r>
      <w:proofErr w:type="spellStart"/>
      <w:r w:rsidRPr="00502F00">
        <w:rPr>
          <w:i/>
          <w:iCs/>
          <w:color w:val="000000" w:themeColor="text1"/>
        </w:rPr>
        <w:t>ratione</w:t>
      </w:r>
      <w:proofErr w:type="spellEnd"/>
      <w:r w:rsidRPr="00502F00">
        <w:rPr>
          <w:i/>
          <w:iCs/>
          <w:color w:val="000000" w:themeColor="text1"/>
        </w:rPr>
        <w:t xml:space="preserve"> materiae</w:t>
      </w:r>
      <w:r w:rsidRPr="00502F00">
        <w:rPr>
          <w:color w:val="000000" w:themeColor="text1"/>
        </w:rPr>
        <w:t>.</w:t>
      </w:r>
    </w:p>
  </w:footnote>
  <w:footnote w:id="15">
    <w:p w14:paraId="6CEA852D" w14:textId="3FA49721" w:rsidR="001B7A57" w:rsidRPr="00502F00" w:rsidRDefault="001B7A57"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Par. </w:t>
      </w:r>
      <w:proofErr w:type="gramStart"/>
      <w:r w:rsidRPr="00502F00">
        <w:rPr>
          <w:color w:val="000000" w:themeColor="text1"/>
        </w:rPr>
        <w:t>ex</w:t>
      </w:r>
      <w:proofErr w:type="gramEnd"/>
      <w:r w:rsidRPr="00502F00">
        <w:rPr>
          <w:color w:val="000000" w:themeColor="text1"/>
        </w:rPr>
        <w:t xml:space="preserve"> CIJ, </w:t>
      </w:r>
      <w:r w:rsidRPr="00502F00">
        <w:rPr>
          <w:i/>
          <w:iCs/>
          <w:color w:val="000000" w:themeColor="text1"/>
        </w:rPr>
        <w:t>V</w:t>
      </w:r>
      <w:r w:rsidRPr="00502F00">
        <w:rPr>
          <w:i/>
          <w:iCs/>
          <w:color w:val="000000" w:themeColor="text1"/>
        </w:rPr>
        <w:t xml:space="preserve">iolations alléguées du traité d’amitié, de commerce et de droits consulaires de 1955 (République islamique d’Iran c. </w:t>
      </w:r>
      <w:r w:rsidRPr="00502F00">
        <w:rPr>
          <w:i/>
          <w:iCs/>
          <w:color w:val="000000" w:themeColor="text1"/>
        </w:rPr>
        <w:t>É</w:t>
      </w:r>
      <w:r w:rsidRPr="00502F00">
        <w:rPr>
          <w:i/>
          <w:iCs/>
          <w:color w:val="000000" w:themeColor="text1"/>
        </w:rPr>
        <w:t>tats-Unis d’Amérique)</w:t>
      </w:r>
      <w:r w:rsidRPr="00502F00">
        <w:rPr>
          <w:color w:val="000000" w:themeColor="text1"/>
        </w:rPr>
        <w:t xml:space="preserve">, mesures conservatoires, ordonnance du 3 octobre 2018, </w:t>
      </w:r>
      <w:r w:rsidR="00743D24" w:rsidRPr="00502F00">
        <w:rPr>
          <w:i/>
          <w:iCs/>
          <w:color w:val="000000" w:themeColor="text1"/>
        </w:rPr>
        <w:t>CIJ</w:t>
      </w:r>
      <w:r w:rsidRPr="00502F00">
        <w:rPr>
          <w:i/>
          <w:iCs/>
          <w:color w:val="000000" w:themeColor="text1"/>
        </w:rPr>
        <w:t xml:space="preserve"> Rec</w:t>
      </w:r>
      <w:r w:rsidRPr="00502F00">
        <w:rPr>
          <w:i/>
          <w:iCs/>
          <w:color w:val="000000" w:themeColor="text1"/>
        </w:rPr>
        <w:t xml:space="preserve">. </w:t>
      </w:r>
      <w:r w:rsidRPr="00502F00">
        <w:rPr>
          <w:color w:val="000000" w:themeColor="text1"/>
        </w:rPr>
        <w:t>2018</w:t>
      </w:r>
      <w:r w:rsidRPr="00502F00">
        <w:rPr>
          <w:color w:val="000000" w:themeColor="text1"/>
        </w:rPr>
        <w:t xml:space="preserve">, </w:t>
      </w:r>
      <w:r w:rsidRPr="00502F00">
        <w:rPr>
          <w:color w:val="000000" w:themeColor="text1"/>
        </w:rPr>
        <w:t xml:space="preserve">§53 ; CIJ, </w:t>
      </w:r>
      <w:r w:rsidRPr="00502F00">
        <w:rPr>
          <w:i/>
          <w:color w:val="000000" w:themeColor="text1"/>
        </w:rPr>
        <w:t>Application de la convention internationale sur l’élimination de toutes les formes de discrimination raciale (Qatar c. Émirats arabes unis)</w:t>
      </w:r>
      <w:r w:rsidRPr="00502F00">
        <w:rPr>
          <w:color w:val="000000" w:themeColor="text1"/>
        </w:rPr>
        <w:t xml:space="preserve">, ordonnance précitée </w:t>
      </w:r>
      <w:r w:rsidRPr="00502F00">
        <w:rPr>
          <w:i/>
          <w:iCs/>
          <w:color w:val="000000" w:themeColor="text1"/>
        </w:rPr>
        <w:t>ibid</w:t>
      </w:r>
      <w:r w:rsidRPr="00502F00">
        <w:rPr>
          <w:color w:val="000000" w:themeColor="text1"/>
        </w:rPr>
        <w:t>.,</w:t>
      </w:r>
      <w:r w:rsidRPr="00502F00">
        <w:rPr>
          <w:color w:val="000000" w:themeColor="text1"/>
        </w:rPr>
        <w:t xml:space="preserve"> §43.</w:t>
      </w:r>
    </w:p>
  </w:footnote>
  <w:footnote w:id="16">
    <w:p w14:paraId="69191483" w14:textId="2880B8FA" w:rsidR="00FC4E8F" w:rsidRPr="00502F00" w:rsidRDefault="00FC4E8F"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Plusieurs des éléments présentés dans les développements qui suivent constituent une synthèse actualisée </w:t>
      </w:r>
      <w:r w:rsidRPr="00502F00">
        <w:rPr>
          <w:color w:val="000000" w:themeColor="text1"/>
        </w:rPr>
        <w:t>d’une précédente étude :</w:t>
      </w:r>
      <w:r w:rsidRPr="00502F00">
        <w:rPr>
          <w:color w:val="000000" w:themeColor="text1"/>
        </w:rPr>
        <w:t xml:space="preserve"> R. MAUREL, « Remarques sur les ordonnances en indication de mesures conservatoires rendues par la Cour internationale de Justice dans les affaires </w:t>
      </w:r>
      <w:r w:rsidRPr="00502F00">
        <w:rPr>
          <w:i/>
          <w:iCs/>
          <w:color w:val="000000" w:themeColor="text1"/>
        </w:rPr>
        <w:t>Qatar c. Émirats arabes unis</w:t>
      </w:r>
      <w:r w:rsidRPr="00502F00">
        <w:rPr>
          <w:color w:val="000000" w:themeColor="text1"/>
        </w:rPr>
        <w:t xml:space="preserve"> (23 juillet 2018) et </w:t>
      </w:r>
      <w:r w:rsidRPr="00502F00">
        <w:rPr>
          <w:i/>
          <w:iCs/>
          <w:color w:val="000000" w:themeColor="text1"/>
        </w:rPr>
        <w:t>Iran c. États-Unis d’Amérique</w:t>
      </w:r>
      <w:r w:rsidRPr="00502F00">
        <w:rPr>
          <w:color w:val="000000" w:themeColor="text1"/>
        </w:rPr>
        <w:t xml:space="preserve"> (3 octobre 2018) », </w:t>
      </w:r>
      <w:r w:rsidRPr="00502F00">
        <w:rPr>
          <w:i/>
          <w:iCs/>
          <w:color w:val="000000" w:themeColor="text1"/>
        </w:rPr>
        <w:t>La Revue du CMH</w:t>
      </w:r>
      <w:r w:rsidRPr="00502F00">
        <w:rPr>
          <w:color w:val="000000" w:themeColor="text1"/>
        </w:rPr>
        <w:t>, n°16, 2018, pp. 81-93</w:t>
      </w:r>
      <w:r w:rsidR="000E2E76" w:rsidRPr="00502F00">
        <w:rPr>
          <w:color w:val="000000" w:themeColor="text1"/>
        </w:rPr>
        <w:t>.</w:t>
      </w:r>
    </w:p>
  </w:footnote>
  <w:footnote w:id="17">
    <w:p w14:paraId="2AEC863D" w14:textId="261C96BE" w:rsidR="00B21854" w:rsidRPr="00502F00" w:rsidRDefault="00B2185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color w:val="000000" w:themeColor="text1"/>
        </w:rPr>
        <w:t>Application de la convention internationale sur l’élimination de toutes les formes de discrimination raciale (Qatar c. Émirats arabes unis)</w:t>
      </w:r>
      <w:r w:rsidRPr="00502F00">
        <w:rPr>
          <w:color w:val="000000" w:themeColor="text1"/>
        </w:rPr>
        <w:t>, ordonnance précitée, §47.</w:t>
      </w:r>
    </w:p>
  </w:footnote>
  <w:footnote w:id="18">
    <w:p w14:paraId="4EE6A82D" w14:textId="77777777" w:rsidR="00B21854" w:rsidRPr="00502F00" w:rsidRDefault="00B2185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i/>
          <w:color w:val="000000" w:themeColor="text1"/>
        </w:rPr>
        <w:t>Idem</w:t>
      </w:r>
      <w:r w:rsidRPr="00502F00">
        <w:rPr>
          <w:color w:val="000000" w:themeColor="text1"/>
        </w:rPr>
        <w:t>.</w:t>
      </w:r>
    </w:p>
  </w:footnote>
  <w:footnote w:id="19">
    <w:p w14:paraId="01CEB446" w14:textId="77777777" w:rsidR="00B21854" w:rsidRPr="00502F00" w:rsidRDefault="00B2185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i/>
          <w:color w:val="000000" w:themeColor="text1"/>
        </w:rPr>
        <w:t>Ibid</w:t>
      </w:r>
      <w:r w:rsidRPr="00502F00">
        <w:rPr>
          <w:color w:val="000000" w:themeColor="text1"/>
        </w:rPr>
        <w:t>., §§56-59.</w:t>
      </w:r>
    </w:p>
  </w:footnote>
  <w:footnote w:id="20">
    <w:p w14:paraId="22ABFA6A" w14:textId="27AE33B4" w:rsidR="001A1D26" w:rsidRPr="00502F00" w:rsidRDefault="001A1D26"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CIJ, </w:t>
      </w:r>
      <w:r w:rsidRPr="00502F00">
        <w:rPr>
          <w:i/>
          <w:iCs/>
          <w:color w:val="000000" w:themeColor="text1"/>
        </w:rPr>
        <w:t>Application de la convention internationale sur l’élimination de toutes les formes de discrimination raciale (Qatar c. Émirats arabes unis)</w:t>
      </w:r>
      <w:r w:rsidRPr="00502F00">
        <w:rPr>
          <w:color w:val="000000" w:themeColor="text1"/>
        </w:rPr>
        <w:t>, exceptions préliminaires, arrêt du 4 février 2021</w:t>
      </w:r>
      <w:r w:rsidRPr="00502F00">
        <w:rPr>
          <w:color w:val="000000" w:themeColor="text1"/>
        </w:rPr>
        <w:t xml:space="preserve"> précité note </w:t>
      </w:r>
      <w:r w:rsidRPr="00502F00">
        <w:rPr>
          <w:color w:val="000000" w:themeColor="text1"/>
        </w:rPr>
        <w:fldChar w:fldCharType="begin"/>
      </w:r>
      <w:r w:rsidRPr="00502F00">
        <w:rPr>
          <w:color w:val="000000" w:themeColor="text1"/>
        </w:rPr>
        <w:instrText xml:space="preserve"> NOTEREF _Ref91799558 \h </w:instrText>
      </w:r>
      <w:r w:rsidRPr="00502F00">
        <w:rPr>
          <w:color w:val="000000" w:themeColor="text1"/>
        </w:rPr>
      </w:r>
      <w:r w:rsidR="00301B11" w:rsidRPr="00502F00">
        <w:rPr>
          <w:color w:val="000000" w:themeColor="text1"/>
        </w:rPr>
        <w:instrText xml:space="preserve"> \* MERGEFORMAT </w:instrText>
      </w:r>
      <w:r w:rsidRPr="00502F00">
        <w:rPr>
          <w:color w:val="000000" w:themeColor="text1"/>
        </w:rPr>
        <w:fldChar w:fldCharType="separate"/>
      </w:r>
      <w:r w:rsidR="00502F00" w:rsidRPr="00502F00">
        <w:rPr>
          <w:color w:val="000000" w:themeColor="text1"/>
        </w:rPr>
        <w:t>14</w:t>
      </w:r>
      <w:r w:rsidRPr="00502F00">
        <w:rPr>
          <w:color w:val="000000" w:themeColor="text1"/>
        </w:rPr>
        <w:fldChar w:fldCharType="end"/>
      </w:r>
      <w:r w:rsidRPr="00502F00">
        <w:rPr>
          <w:color w:val="000000" w:themeColor="text1"/>
        </w:rPr>
        <w:t>.</w:t>
      </w:r>
    </w:p>
  </w:footnote>
  <w:footnote w:id="21">
    <w:p w14:paraId="1A623F0B" w14:textId="2D6FCA1C" w:rsidR="001042EB" w:rsidRPr="00502F00" w:rsidRDefault="001042EB"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CIJ, </w:t>
      </w:r>
      <w:r w:rsidRPr="00502F00">
        <w:rPr>
          <w:i/>
          <w:iCs/>
          <w:color w:val="000000" w:themeColor="text1"/>
        </w:rPr>
        <w:t>Violations alléguées du traité d’amitié, de commerce et de droits consulaires de 1955 (République islamique d’Iran c. États-Unis d’Amérique)</w:t>
      </w:r>
      <w:r w:rsidRPr="00502F00">
        <w:rPr>
          <w:color w:val="000000" w:themeColor="text1"/>
        </w:rPr>
        <w:t>, mesures conservatoires, ordonnance du 3 octobre 2018</w:t>
      </w:r>
      <w:r w:rsidRPr="00502F00">
        <w:rPr>
          <w:color w:val="000000" w:themeColor="text1"/>
        </w:rPr>
        <w:t xml:space="preserve"> précitée note </w:t>
      </w:r>
      <w:r w:rsidRPr="00502F00">
        <w:rPr>
          <w:color w:val="000000" w:themeColor="text1"/>
        </w:rPr>
        <w:fldChar w:fldCharType="begin"/>
      </w:r>
      <w:r w:rsidRPr="00502F00">
        <w:rPr>
          <w:color w:val="000000" w:themeColor="text1"/>
        </w:rPr>
        <w:instrText xml:space="preserve"> NOTEREF _Ref91799682 \h </w:instrText>
      </w:r>
      <w:r w:rsidRPr="00502F00">
        <w:rPr>
          <w:color w:val="000000" w:themeColor="text1"/>
        </w:rPr>
      </w:r>
      <w:r w:rsidR="00301B11" w:rsidRPr="00502F00">
        <w:rPr>
          <w:color w:val="000000" w:themeColor="text1"/>
        </w:rPr>
        <w:instrText xml:space="preserve"> \* MERGEFORMAT </w:instrText>
      </w:r>
      <w:r w:rsidRPr="00502F00">
        <w:rPr>
          <w:color w:val="000000" w:themeColor="text1"/>
        </w:rPr>
        <w:fldChar w:fldCharType="separate"/>
      </w:r>
      <w:r w:rsidR="00502F00" w:rsidRPr="00502F00">
        <w:rPr>
          <w:color w:val="000000" w:themeColor="text1"/>
        </w:rPr>
        <w:t>15</w:t>
      </w:r>
      <w:r w:rsidRPr="00502F00">
        <w:rPr>
          <w:color w:val="000000" w:themeColor="text1"/>
        </w:rPr>
        <w:fldChar w:fldCharType="end"/>
      </w:r>
      <w:r w:rsidRPr="00502F00">
        <w:rPr>
          <w:color w:val="000000" w:themeColor="text1"/>
        </w:rPr>
        <w:t>.</w:t>
      </w:r>
    </w:p>
  </w:footnote>
  <w:footnote w:id="22">
    <w:p w14:paraId="128F5404" w14:textId="4E9F6A3A" w:rsidR="001042EB" w:rsidRPr="00502F00" w:rsidRDefault="001042EB"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Violations alléguées du traité d’amitié, de commerce et de droits consulaires de 1955 (République islamique d’Iran c. États-Unis d’Amérique)</w:t>
      </w:r>
      <w:r w:rsidRPr="00502F00">
        <w:rPr>
          <w:color w:val="000000" w:themeColor="text1"/>
        </w:rPr>
        <w:t xml:space="preserve">, </w:t>
      </w:r>
      <w:r w:rsidRPr="00502F00">
        <w:rPr>
          <w:color w:val="000000" w:themeColor="text1"/>
        </w:rPr>
        <w:t>exceptions préliminaires</w:t>
      </w:r>
      <w:r w:rsidRPr="00502F00">
        <w:rPr>
          <w:color w:val="000000" w:themeColor="text1"/>
        </w:rPr>
        <w:t xml:space="preserve">, </w:t>
      </w:r>
      <w:r w:rsidRPr="00502F00">
        <w:rPr>
          <w:color w:val="000000" w:themeColor="text1"/>
        </w:rPr>
        <w:t>arrêt du 3 février 2021, Rôle général n°175.</w:t>
      </w:r>
    </w:p>
  </w:footnote>
  <w:footnote w:id="23">
    <w:p w14:paraId="7AC70C06" w14:textId="5EB56B63" w:rsidR="009F1B9F" w:rsidRPr="00502F00" w:rsidRDefault="009F1B9F"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CIJ, </w:t>
      </w:r>
      <w:r w:rsidRPr="00502F00">
        <w:rPr>
          <w:i/>
          <w:iCs/>
          <w:color w:val="000000" w:themeColor="text1"/>
        </w:rPr>
        <w:t>Violations alléguées du traité d’amitié, de commerce et de droits consulaires de 1955 (République islamique d’Iran c. États-Unis d’Amérique)</w:t>
      </w:r>
      <w:r w:rsidRPr="00502F00">
        <w:rPr>
          <w:color w:val="000000" w:themeColor="text1"/>
        </w:rPr>
        <w:t xml:space="preserve">, ordonnance précitée note </w:t>
      </w:r>
      <w:r w:rsidRPr="00502F00">
        <w:rPr>
          <w:color w:val="000000" w:themeColor="text1"/>
        </w:rPr>
        <w:fldChar w:fldCharType="begin"/>
      </w:r>
      <w:r w:rsidRPr="00502F00">
        <w:rPr>
          <w:color w:val="000000" w:themeColor="text1"/>
        </w:rPr>
        <w:instrText xml:space="preserve"> NOTEREF _Ref91799682 \h </w:instrText>
      </w:r>
      <w:r w:rsidRPr="00502F00">
        <w:rPr>
          <w:color w:val="000000" w:themeColor="text1"/>
        </w:rPr>
      </w:r>
      <w:r w:rsidR="00301B11" w:rsidRPr="00502F00">
        <w:rPr>
          <w:color w:val="000000" w:themeColor="text1"/>
        </w:rPr>
        <w:instrText xml:space="preserve"> \* MERGEFORMAT </w:instrText>
      </w:r>
      <w:r w:rsidRPr="00502F00">
        <w:rPr>
          <w:color w:val="000000" w:themeColor="text1"/>
        </w:rPr>
        <w:fldChar w:fldCharType="separate"/>
      </w:r>
      <w:r w:rsidR="00502F00" w:rsidRPr="00502F00">
        <w:rPr>
          <w:color w:val="000000" w:themeColor="text1"/>
        </w:rPr>
        <w:t>15</w:t>
      </w:r>
      <w:r w:rsidRPr="00502F00">
        <w:rPr>
          <w:color w:val="000000" w:themeColor="text1"/>
        </w:rPr>
        <w:fldChar w:fldCharType="end"/>
      </w:r>
      <w:r w:rsidRPr="00502F00">
        <w:rPr>
          <w:color w:val="000000" w:themeColor="text1"/>
        </w:rPr>
        <w:t>, §69</w:t>
      </w:r>
      <w:r w:rsidR="00FC4E8F" w:rsidRPr="00502F00">
        <w:rPr>
          <w:color w:val="000000" w:themeColor="text1"/>
        </w:rPr>
        <w:t xml:space="preserve"> (nous soulignons). </w:t>
      </w:r>
    </w:p>
  </w:footnote>
  <w:footnote w:id="24">
    <w:p w14:paraId="17ED9454" w14:textId="41B8955E" w:rsidR="00A614C2" w:rsidRPr="00502F00" w:rsidRDefault="00A614C2"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V. en particulier les §§75-76 : </w:t>
      </w:r>
      <w:r w:rsidRPr="00502F00">
        <w:rPr>
          <w:color w:val="000000" w:themeColor="text1"/>
        </w:rPr>
        <w:t xml:space="preserve">« [d]e l’avis de la Cour, </w:t>
      </w:r>
      <w:r w:rsidRPr="00502F00">
        <w:rPr>
          <w:i/>
          <w:iCs/>
          <w:color w:val="000000" w:themeColor="text1"/>
        </w:rPr>
        <w:t>certains aspects</w:t>
      </w:r>
      <w:r w:rsidRPr="00502F00">
        <w:rPr>
          <w:color w:val="000000" w:themeColor="text1"/>
        </w:rPr>
        <w:t xml:space="preserve"> des mesures demandées par l’Iran en vue de garantir la liberté de commerce et d’échanges […] </w:t>
      </w:r>
      <w:r w:rsidRPr="00502F00">
        <w:rPr>
          <w:i/>
          <w:iCs/>
          <w:color w:val="000000" w:themeColor="text1"/>
        </w:rPr>
        <w:t>peuvent être considérés comme étant liés</w:t>
      </w:r>
      <w:r w:rsidRPr="00502F00">
        <w:rPr>
          <w:color w:val="000000" w:themeColor="text1"/>
        </w:rPr>
        <w:t xml:space="preserve"> </w:t>
      </w:r>
      <w:r w:rsidRPr="00502F00">
        <w:rPr>
          <w:i/>
          <w:iCs/>
          <w:color w:val="000000" w:themeColor="text1"/>
        </w:rPr>
        <w:t>aux droits qu’elle a jugés plausibles, parmi ceux dont la protection est recherchée</w:t>
      </w:r>
      <w:r w:rsidRPr="00502F00">
        <w:rPr>
          <w:color w:val="000000" w:themeColor="text1"/>
        </w:rPr>
        <w:t>. La Cour conclut en conséquence qu’il existe un lien entre certains des droits dont la protection est recherchée et certains aspects des mesures conservatoires demandées par l’Iran »</w:t>
      </w:r>
      <w:r w:rsidRPr="00502F00">
        <w:rPr>
          <w:color w:val="000000" w:themeColor="text1"/>
        </w:rPr>
        <w:t xml:space="preserve"> (nous soulignons).</w:t>
      </w:r>
    </w:p>
  </w:footnote>
  <w:footnote w:id="25">
    <w:p w14:paraId="0B9174B3" w14:textId="460E4639" w:rsidR="00276BF7" w:rsidRPr="00502F00" w:rsidRDefault="00276BF7"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Application de la convention pour la prévention et la répression du crime de génocide (Gambie c. Myanmar)</w:t>
      </w:r>
      <w:r w:rsidRPr="00502F00">
        <w:rPr>
          <w:color w:val="000000" w:themeColor="text1"/>
        </w:rPr>
        <w:t>,</w:t>
      </w:r>
      <w:r w:rsidRPr="00502F00">
        <w:rPr>
          <w:color w:val="000000" w:themeColor="text1"/>
        </w:rPr>
        <w:t xml:space="preserve"> </w:t>
      </w:r>
      <w:r w:rsidRPr="00502F00">
        <w:rPr>
          <w:color w:val="000000" w:themeColor="text1"/>
        </w:rPr>
        <w:t xml:space="preserve">mesures conservatoires, ordonnance du 23 janvier 2020, </w:t>
      </w:r>
      <w:r w:rsidRPr="00502F00">
        <w:rPr>
          <w:i/>
          <w:iCs/>
          <w:color w:val="000000" w:themeColor="text1"/>
        </w:rPr>
        <w:t>C.I.J. Rec</w:t>
      </w:r>
      <w:r w:rsidRPr="00502F00">
        <w:rPr>
          <w:i/>
          <w:iCs/>
          <w:color w:val="000000" w:themeColor="text1"/>
        </w:rPr>
        <w:t>.</w:t>
      </w:r>
      <w:r w:rsidRPr="00502F00">
        <w:rPr>
          <w:color w:val="000000" w:themeColor="text1"/>
        </w:rPr>
        <w:t xml:space="preserve"> 2020, p. 3</w:t>
      </w:r>
      <w:r w:rsidRPr="00502F00">
        <w:rPr>
          <w:color w:val="000000" w:themeColor="text1"/>
        </w:rPr>
        <w:t xml:space="preserve"> ; v. </w:t>
      </w:r>
      <w:proofErr w:type="spellStart"/>
      <w:r w:rsidRPr="00502F00">
        <w:rPr>
          <w:color w:val="000000" w:themeColor="text1"/>
        </w:rPr>
        <w:t>spéc</w:t>
      </w:r>
      <w:proofErr w:type="spellEnd"/>
      <w:r w:rsidRPr="00502F00">
        <w:rPr>
          <w:color w:val="000000" w:themeColor="text1"/>
        </w:rPr>
        <w:t xml:space="preserve">. </w:t>
      </w:r>
      <w:proofErr w:type="gramStart"/>
      <w:r w:rsidRPr="00502F00">
        <w:rPr>
          <w:color w:val="000000" w:themeColor="text1"/>
        </w:rPr>
        <w:t>les</w:t>
      </w:r>
      <w:proofErr w:type="gramEnd"/>
      <w:r w:rsidR="000F620E" w:rsidRPr="00502F00">
        <w:rPr>
          <w:color w:val="000000" w:themeColor="text1"/>
        </w:rPr>
        <w:t xml:space="preserve"> courts</w:t>
      </w:r>
      <w:r w:rsidRPr="00502F00">
        <w:rPr>
          <w:color w:val="000000" w:themeColor="text1"/>
        </w:rPr>
        <w:t xml:space="preserve"> §§6</w:t>
      </w:r>
      <w:r w:rsidR="000F620E" w:rsidRPr="00502F00">
        <w:rPr>
          <w:color w:val="000000" w:themeColor="text1"/>
        </w:rPr>
        <w:t>0</w:t>
      </w:r>
      <w:r w:rsidRPr="00502F00">
        <w:rPr>
          <w:color w:val="000000" w:themeColor="text1"/>
        </w:rPr>
        <w:t>-</w:t>
      </w:r>
      <w:r w:rsidR="000F620E" w:rsidRPr="00502F00">
        <w:rPr>
          <w:color w:val="000000" w:themeColor="text1"/>
        </w:rPr>
        <w:t>63</w:t>
      </w:r>
      <w:r w:rsidRPr="00502F00">
        <w:rPr>
          <w:color w:val="000000" w:themeColor="text1"/>
        </w:rPr>
        <w:t>. Sur ce point</w:t>
      </w:r>
      <w:r w:rsidR="00305113" w:rsidRPr="00502F00">
        <w:rPr>
          <w:color w:val="000000" w:themeColor="text1"/>
        </w:rPr>
        <w:t xml:space="preserve"> et dans le même sens</w:t>
      </w:r>
      <w:r w:rsidRPr="00502F00">
        <w:rPr>
          <w:color w:val="000000" w:themeColor="text1"/>
        </w:rPr>
        <w:t>, v. également MAUREL R., « </w:t>
      </w:r>
      <w:r w:rsidRPr="00502F00">
        <w:rPr>
          <w:color w:val="000000" w:themeColor="text1"/>
        </w:rPr>
        <w:t xml:space="preserve">La contribution de l’ordonnance </w:t>
      </w:r>
      <w:r w:rsidRPr="00502F00">
        <w:rPr>
          <w:i/>
          <w:iCs/>
          <w:color w:val="000000" w:themeColor="text1"/>
        </w:rPr>
        <w:t>Gambie c. Myanmar</w:t>
      </w:r>
      <w:r w:rsidRPr="00502F00">
        <w:rPr>
          <w:color w:val="000000" w:themeColor="text1"/>
        </w:rPr>
        <w:t xml:space="preserve"> à l’élaboration d’un droit des mesures conservatoires</w:t>
      </w:r>
      <w:r w:rsidRPr="00502F00">
        <w:rPr>
          <w:color w:val="000000" w:themeColor="text1"/>
        </w:rPr>
        <w:t xml:space="preserve"> », </w:t>
      </w:r>
      <w:r w:rsidRPr="00502F00">
        <w:rPr>
          <w:i/>
          <w:iCs/>
          <w:color w:val="000000" w:themeColor="text1"/>
        </w:rPr>
        <w:t>La Revue du CMH</w:t>
      </w:r>
      <w:r w:rsidRPr="00502F00">
        <w:rPr>
          <w:color w:val="000000" w:themeColor="text1"/>
        </w:rPr>
        <w:t>, n°20, 2020, pp. 103-104.</w:t>
      </w:r>
    </w:p>
  </w:footnote>
  <w:footnote w:id="26">
    <w:p w14:paraId="6E44A0AF" w14:textId="32FC48E2" w:rsidR="0036524D" w:rsidRPr="00502F00" w:rsidRDefault="0036524D"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Sur cette id</w:t>
      </w:r>
      <w:r w:rsidR="00276BF7" w:rsidRPr="00502F00">
        <w:rPr>
          <w:color w:val="000000" w:themeColor="text1"/>
        </w:rPr>
        <w:t>é</w:t>
      </w:r>
      <w:r w:rsidRPr="00502F00">
        <w:rPr>
          <w:color w:val="000000" w:themeColor="text1"/>
        </w:rPr>
        <w:t xml:space="preserve">e liée à l’émergence de l’individu sur la scène juridique internationale, v. PELLET A., « Le droit international à la lumière de la pratique : l’introuvable théorie de la réalité. Cours général de droit international public », </w:t>
      </w:r>
      <w:r w:rsidRPr="00502F00">
        <w:rPr>
          <w:i/>
          <w:iCs/>
          <w:color w:val="000000" w:themeColor="text1"/>
        </w:rPr>
        <w:t>RCADI</w:t>
      </w:r>
      <w:r w:rsidRPr="00502F00">
        <w:rPr>
          <w:color w:val="000000" w:themeColor="text1"/>
        </w:rPr>
        <w:t xml:space="preserve">, vol. 414, 2021, </w:t>
      </w:r>
      <w:proofErr w:type="spellStart"/>
      <w:r w:rsidRPr="00502F00">
        <w:rPr>
          <w:color w:val="000000" w:themeColor="text1"/>
        </w:rPr>
        <w:t>spéc</w:t>
      </w:r>
      <w:proofErr w:type="spellEnd"/>
      <w:r w:rsidRPr="00502F00">
        <w:rPr>
          <w:color w:val="000000" w:themeColor="text1"/>
        </w:rPr>
        <w:t xml:space="preserve">. </w:t>
      </w:r>
      <w:proofErr w:type="gramStart"/>
      <w:r w:rsidRPr="00502F00">
        <w:rPr>
          <w:color w:val="000000" w:themeColor="text1"/>
        </w:rPr>
        <w:t>le</w:t>
      </w:r>
      <w:proofErr w:type="gramEnd"/>
      <w:r w:rsidRPr="00502F00">
        <w:rPr>
          <w:color w:val="000000" w:themeColor="text1"/>
        </w:rPr>
        <w:t xml:space="preserve"> chapitre 9 sur « l’« humanisation » du droit international et ses limites », pp. 370 et </w:t>
      </w:r>
      <w:proofErr w:type="spellStart"/>
      <w:r w:rsidRPr="00502F00">
        <w:rPr>
          <w:color w:val="000000" w:themeColor="text1"/>
        </w:rPr>
        <w:t>ss</w:t>
      </w:r>
      <w:proofErr w:type="spellEnd"/>
      <w:r w:rsidRPr="00502F00">
        <w:rPr>
          <w:color w:val="000000" w:themeColor="text1"/>
        </w:rPr>
        <w:t xml:space="preserve">. ; plus généralement CANÇADO TRINDADE A. A., </w:t>
      </w:r>
      <w:r w:rsidRPr="00502F00">
        <w:rPr>
          <w:i/>
          <w:iCs/>
          <w:color w:val="000000" w:themeColor="text1"/>
        </w:rPr>
        <w:t>Le droit international pour la personnes humaine</w:t>
      </w:r>
      <w:r w:rsidRPr="00502F00">
        <w:rPr>
          <w:color w:val="000000" w:themeColor="text1"/>
        </w:rPr>
        <w:t xml:space="preserve">, Paris, </w:t>
      </w:r>
      <w:proofErr w:type="spellStart"/>
      <w:r w:rsidRPr="00502F00">
        <w:rPr>
          <w:color w:val="000000" w:themeColor="text1"/>
        </w:rPr>
        <w:t>Pedone</w:t>
      </w:r>
      <w:proofErr w:type="spellEnd"/>
      <w:r w:rsidRPr="00502F00">
        <w:rPr>
          <w:color w:val="000000" w:themeColor="text1"/>
        </w:rPr>
        <w:t>, coll. Doctrine(s), 2012, 368 p.</w:t>
      </w:r>
    </w:p>
  </w:footnote>
  <w:footnote w:id="27">
    <w:p w14:paraId="4DFE7D0A" w14:textId="77777777" w:rsidR="002A2484" w:rsidRPr="00502F00" w:rsidRDefault="002A248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color w:val="000000" w:themeColor="text1"/>
        </w:rPr>
        <w:t>Passage par le Grand-Belt (Finlande c. Danemark)</w:t>
      </w:r>
      <w:r w:rsidRPr="00502F00">
        <w:rPr>
          <w:color w:val="000000" w:themeColor="text1"/>
        </w:rPr>
        <w:t xml:space="preserve">, mesures conservatoires, ordonnance du 29 juillet 1991, </w:t>
      </w:r>
      <w:r w:rsidRPr="00502F00">
        <w:rPr>
          <w:i/>
          <w:color w:val="000000" w:themeColor="text1"/>
        </w:rPr>
        <w:t>CIJ Rec.</w:t>
      </w:r>
      <w:r w:rsidRPr="00502F00">
        <w:rPr>
          <w:color w:val="000000" w:themeColor="text1"/>
        </w:rPr>
        <w:t xml:space="preserve"> 1991, §23.</w:t>
      </w:r>
    </w:p>
  </w:footnote>
  <w:footnote w:id="28">
    <w:p w14:paraId="0F1562AB" w14:textId="50F9D990" w:rsidR="000F620E" w:rsidRPr="00502F00" w:rsidRDefault="000F620E"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Application de la Convention internationale sur l’élimination de toutes les formes de discrimination raciale (Arménie c. Azerbaïdjan)</w:t>
      </w:r>
      <w:r w:rsidRPr="00502F00">
        <w:rPr>
          <w:color w:val="000000" w:themeColor="text1"/>
        </w:rPr>
        <w:t xml:space="preserve">, mesures conservatoires, ordonnance du 7 décembre 2021, Rôle général n°180, §80 ; CIJ, </w:t>
      </w:r>
      <w:r w:rsidRPr="00502F00">
        <w:rPr>
          <w:i/>
          <w:iCs/>
          <w:color w:val="000000" w:themeColor="text1"/>
        </w:rPr>
        <w:t>Application de la convention internationale sur l’élimination de toutes les formes de discrimination raciale (Azerbaïdjan c. Arménie)</w:t>
      </w:r>
      <w:r w:rsidRPr="00502F00">
        <w:rPr>
          <w:color w:val="000000" w:themeColor="text1"/>
        </w:rPr>
        <w:t xml:space="preserve">, </w:t>
      </w:r>
      <w:r w:rsidRPr="00502F00">
        <w:rPr>
          <w:color w:val="000000" w:themeColor="text1"/>
        </w:rPr>
        <w:t>mesures conservatoires, ordonnance du 7 décembre 2021, Rôle général n°18</w:t>
      </w:r>
      <w:r w:rsidRPr="00502F00">
        <w:rPr>
          <w:color w:val="000000" w:themeColor="text1"/>
        </w:rPr>
        <w:t>1</w:t>
      </w:r>
      <w:r w:rsidRPr="00502F00">
        <w:rPr>
          <w:color w:val="000000" w:themeColor="text1"/>
        </w:rPr>
        <w:t>, §</w:t>
      </w:r>
      <w:r w:rsidRPr="00502F00">
        <w:rPr>
          <w:color w:val="000000" w:themeColor="text1"/>
        </w:rPr>
        <w:t>64.</w:t>
      </w:r>
    </w:p>
  </w:footnote>
  <w:footnote w:id="29">
    <w:p w14:paraId="370FC971" w14:textId="33D1ED6B" w:rsidR="002A2484" w:rsidRPr="00502F00" w:rsidRDefault="002A248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00FC6A7C" w:rsidRPr="00502F00">
        <w:rPr>
          <w:color w:val="000000" w:themeColor="text1"/>
        </w:rPr>
        <w:t xml:space="preserve">CIJ, </w:t>
      </w:r>
      <w:r w:rsidR="00FC6A7C" w:rsidRPr="00502F00">
        <w:rPr>
          <w:i/>
          <w:iCs/>
          <w:color w:val="000000" w:themeColor="text1"/>
        </w:rPr>
        <w:t>Application de la convention internationale sur l’élimination de toutes les formes de discrimination raciale (Qatar c. Émirats arabes unis)</w:t>
      </w:r>
      <w:r w:rsidR="00FC6A7C" w:rsidRPr="00502F00">
        <w:rPr>
          <w:color w:val="000000" w:themeColor="text1"/>
        </w:rPr>
        <w:t>, mesures conservatoires, ordonnance du 23 juillet 2018</w:t>
      </w:r>
      <w:r w:rsidR="00FC6A7C" w:rsidRPr="00502F00">
        <w:rPr>
          <w:color w:val="000000" w:themeColor="text1"/>
        </w:rPr>
        <w:t xml:space="preserve"> précitée note </w:t>
      </w:r>
      <w:r w:rsidR="00FC6A7C" w:rsidRPr="00502F00">
        <w:rPr>
          <w:color w:val="000000" w:themeColor="text1"/>
        </w:rPr>
        <w:fldChar w:fldCharType="begin"/>
      </w:r>
      <w:r w:rsidR="00FC6A7C" w:rsidRPr="00502F00">
        <w:rPr>
          <w:color w:val="000000" w:themeColor="text1"/>
        </w:rPr>
        <w:instrText xml:space="preserve"> NOTEREF _Ref91799558 \h </w:instrText>
      </w:r>
      <w:r w:rsidR="00FC6A7C" w:rsidRPr="00502F00">
        <w:rPr>
          <w:color w:val="000000" w:themeColor="text1"/>
        </w:rPr>
      </w:r>
      <w:r w:rsidR="00301B11" w:rsidRPr="00502F00">
        <w:rPr>
          <w:color w:val="000000" w:themeColor="text1"/>
        </w:rPr>
        <w:instrText xml:space="preserve"> \* MERGEFORMAT </w:instrText>
      </w:r>
      <w:r w:rsidR="00FC6A7C" w:rsidRPr="00502F00">
        <w:rPr>
          <w:color w:val="000000" w:themeColor="text1"/>
        </w:rPr>
        <w:fldChar w:fldCharType="separate"/>
      </w:r>
      <w:r w:rsidR="00502F00" w:rsidRPr="00502F00">
        <w:rPr>
          <w:color w:val="000000" w:themeColor="text1"/>
        </w:rPr>
        <w:t>14</w:t>
      </w:r>
      <w:r w:rsidR="00FC6A7C" w:rsidRPr="00502F00">
        <w:rPr>
          <w:color w:val="000000" w:themeColor="text1"/>
        </w:rPr>
        <w:fldChar w:fldCharType="end"/>
      </w:r>
      <w:r w:rsidR="00FC6A7C" w:rsidRPr="00502F00">
        <w:rPr>
          <w:color w:val="000000" w:themeColor="text1"/>
        </w:rPr>
        <w:t>,</w:t>
      </w:r>
      <w:r w:rsidR="00FC6A7C" w:rsidRPr="00502F00">
        <w:rPr>
          <w:color w:val="000000" w:themeColor="text1"/>
        </w:rPr>
        <w:t xml:space="preserve"> §69</w:t>
      </w:r>
      <w:r w:rsidR="000F620E" w:rsidRPr="00502F00">
        <w:rPr>
          <w:color w:val="000000" w:themeColor="text1"/>
        </w:rPr>
        <w:t>.</w:t>
      </w:r>
    </w:p>
  </w:footnote>
  <w:footnote w:id="30">
    <w:p w14:paraId="277EE2DF" w14:textId="1DD9B12F" w:rsidR="00FC6A7C" w:rsidRPr="00502F00" w:rsidRDefault="00FC6A7C"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Par ex. </w:t>
      </w:r>
      <w:r w:rsidRPr="00502F00">
        <w:rPr>
          <w:color w:val="000000" w:themeColor="text1"/>
        </w:rPr>
        <w:t xml:space="preserve">CIJ, </w:t>
      </w:r>
      <w:r w:rsidRPr="00502F00">
        <w:rPr>
          <w:i/>
          <w:color w:val="000000" w:themeColor="text1"/>
        </w:rPr>
        <w:t>Demande en interprétation de l’arrêt du 31 mars 2004 en l’affaire</w:t>
      </w:r>
      <w:r w:rsidRPr="00502F00">
        <w:rPr>
          <w:color w:val="000000" w:themeColor="text1"/>
        </w:rPr>
        <w:t xml:space="preserve"> </w:t>
      </w:r>
      <w:proofErr w:type="spellStart"/>
      <w:r w:rsidRPr="00502F00">
        <w:rPr>
          <w:color w:val="000000" w:themeColor="text1"/>
        </w:rPr>
        <w:t>Avena</w:t>
      </w:r>
      <w:proofErr w:type="spellEnd"/>
      <w:r w:rsidRPr="00502F00">
        <w:rPr>
          <w:color w:val="000000" w:themeColor="text1"/>
        </w:rPr>
        <w:t xml:space="preserve"> et autres ressortissants mexicains (Mexique c. États-Unis d’Amérique) </w:t>
      </w:r>
      <w:r w:rsidRPr="00502F00">
        <w:rPr>
          <w:i/>
          <w:color w:val="000000" w:themeColor="text1"/>
        </w:rPr>
        <w:t>(Mexique c. États-Unis d’Amérique)</w:t>
      </w:r>
      <w:r w:rsidRPr="00502F00">
        <w:rPr>
          <w:color w:val="000000" w:themeColor="text1"/>
        </w:rPr>
        <w:t xml:space="preserve">, mesures conservatoires, ordonnance du 16 juillet 2008, </w:t>
      </w:r>
      <w:r w:rsidRPr="00502F00">
        <w:rPr>
          <w:i/>
          <w:color w:val="000000" w:themeColor="text1"/>
        </w:rPr>
        <w:t>CIJ</w:t>
      </w:r>
      <w:r w:rsidRPr="00502F00">
        <w:rPr>
          <w:color w:val="000000" w:themeColor="text1"/>
        </w:rPr>
        <w:t xml:space="preserve"> </w:t>
      </w:r>
      <w:r w:rsidRPr="00502F00">
        <w:rPr>
          <w:i/>
          <w:color w:val="000000" w:themeColor="text1"/>
        </w:rPr>
        <w:t>Rec</w:t>
      </w:r>
      <w:r w:rsidRPr="00502F00">
        <w:rPr>
          <w:color w:val="000000" w:themeColor="text1"/>
        </w:rPr>
        <w:t>. 2008, §73.</w:t>
      </w:r>
    </w:p>
  </w:footnote>
  <w:footnote w:id="31">
    <w:p w14:paraId="73AFC199" w14:textId="3DD8BCF6" w:rsidR="002A2484" w:rsidRPr="00502F00" w:rsidRDefault="002A248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00FC6A7C" w:rsidRPr="00502F00">
        <w:rPr>
          <w:color w:val="000000" w:themeColor="text1"/>
        </w:rPr>
        <w:t xml:space="preserve">CIJ, </w:t>
      </w:r>
      <w:r w:rsidR="00FC6A7C" w:rsidRPr="00502F00">
        <w:rPr>
          <w:i/>
          <w:iCs/>
          <w:color w:val="000000" w:themeColor="text1"/>
        </w:rPr>
        <w:t>Application de la convention internationale sur l’élimination de toutes les formes de discrimination raciale (Qatar c. Émirats arabes unis)</w:t>
      </w:r>
      <w:r w:rsidR="00FC6A7C" w:rsidRPr="00502F00">
        <w:rPr>
          <w:color w:val="000000" w:themeColor="text1"/>
        </w:rPr>
        <w:t xml:space="preserve">, </w:t>
      </w:r>
      <w:r w:rsidR="00FC6A7C" w:rsidRPr="00502F00">
        <w:rPr>
          <w:color w:val="000000" w:themeColor="text1"/>
        </w:rPr>
        <w:t xml:space="preserve">ordonnance </w:t>
      </w:r>
      <w:r w:rsidR="00FC6A7C" w:rsidRPr="00502F00">
        <w:rPr>
          <w:color w:val="000000" w:themeColor="text1"/>
        </w:rPr>
        <w:t xml:space="preserve">précitée note </w:t>
      </w:r>
      <w:r w:rsidR="00FC6A7C" w:rsidRPr="00502F00">
        <w:rPr>
          <w:color w:val="000000" w:themeColor="text1"/>
        </w:rPr>
        <w:fldChar w:fldCharType="begin"/>
      </w:r>
      <w:r w:rsidR="00FC6A7C" w:rsidRPr="00502F00">
        <w:rPr>
          <w:color w:val="000000" w:themeColor="text1"/>
        </w:rPr>
        <w:instrText xml:space="preserve"> NOTEREF _Ref91799558 \h </w:instrText>
      </w:r>
      <w:r w:rsidR="00FC6A7C" w:rsidRPr="00502F00">
        <w:rPr>
          <w:color w:val="000000" w:themeColor="text1"/>
        </w:rPr>
      </w:r>
      <w:r w:rsidR="00301B11" w:rsidRPr="00502F00">
        <w:rPr>
          <w:color w:val="000000" w:themeColor="text1"/>
        </w:rPr>
        <w:instrText xml:space="preserve"> \* MERGEFORMAT </w:instrText>
      </w:r>
      <w:r w:rsidR="00FC6A7C" w:rsidRPr="00502F00">
        <w:rPr>
          <w:color w:val="000000" w:themeColor="text1"/>
        </w:rPr>
        <w:fldChar w:fldCharType="separate"/>
      </w:r>
      <w:r w:rsidR="00502F00" w:rsidRPr="00502F00">
        <w:rPr>
          <w:color w:val="000000" w:themeColor="text1"/>
        </w:rPr>
        <w:t>14</w:t>
      </w:r>
      <w:r w:rsidR="00FC6A7C" w:rsidRPr="00502F00">
        <w:rPr>
          <w:color w:val="000000" w:themeColor="text1"/>
        </w:rPr>
        <w:fldChar w:fldCharType="end"/>
      </w:r>
      <w:r w:rsidR="00FC6A7C" w:rsidRPr="00502F00">
        <w:rPr>
          <w:color w:val="000000" w:themeColor="text1"/>
        </w:rPr>
        <w:t xml:space="preserve">, </w:t>
      </w:r>
      <w:r w:rsidRPr="00502F00">
        <w:rPr>
          <w:color w:val="000000" w:themeColor="text1"/>
        </w:rPr>
        <w:t>§70. Nous soulignons.</w:t>
      </w:r>
    </w:p>
  </w:footnote>
  <w:footnote w:id="32">
    <w:p w14:paraId="61DEB2F8" w14:textId="77777777" w:rsidR="002A2484" w:rsidRPr="00502F00" w:rsidRDefault="002A248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i/>
          <w:color w:val="000000" w:themeColor="text1"/>
        </w:rPr>
        <w:t>Ibid</w:t>
      </w:r>
      <w:r w:rsidRPr="00502F00">
        <w:rPr>
          <w:color w:val="000000" w:themeColor="text1"/>
        </w:rPr>
        <w:t>., §71.</w:t>
      </w:r>
    </w:p>
  </w:footnote>
  <w:footnote w:id="33">
    <w:p w14:paraId="6B1F0007" w14:textId="32432591" w:rsidR="000F620E" w:rsidRPr="00502F00" w:rsidRDefault="000F620E"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CIJ, </w:t>
      </w:r>
      <w:r w:rsidRPr="00502F00">
        <w:rPr>
          <w:i/>
          <w:iCs/>
          <w:color w:val="000000" w:themeColor="text1"/>
        </w:rPr>
        <w:t>Application de la convention pour la prévention et la répression du crime de génocide (Gambie c. Myanmar)</w:t>
      </w:r>
      <w:r w:rsidRPr="00502F00">
        <w:rPr>
          <w:color w:val="000000" w:themeColor="text1"/>
        </w:rPr>
        <w:t>, mesures conservatoires, ordonnance du 23 janvier 2020</w:t>
      </w:r>
      <w:r w:rsidRPr="00502F00">
        <w:rPr>
          <w:color w:val="000000" w:themeColor="text1"/>
        </w:rPr>
        <w:t xml:space="preserve"> précitée note </w:t>
      </w:r>
      <w:r w:rsidRPr="00502F00">
        <w:rPr>
          <w:color w:val="000000" w:themeColor="text1"/>
        </w:rPr>
        <w:fldChar w:fldCharType="begin"/>
      </w:r>
      <w:r w:rsidRPr="00502F00">
        <w:rPr>
          <w:color w:val="000000" w:themeColor="text1"/>
        </w:rPr>
        <w:instrText xml:space="preserve"> NOTEREF _Ref91803245 \h </w:instrText>
      </w:r>
      <w:r w:rsidRPr="00502F00">
        <w:rPr>
          <w:color w:val="000000" w:themeColor="text1"/>
        </w:rPr>
      </w:r>
      <w:r w:rsidR="00301B11" w:rsidRPr="00502F00">
        <w:rPr>
          <w:color w:val="000000" w:themeColor="text1"/>
        </w:rPr>
        <w:instrText xml:space="preserve"> \* MERGEFORMAT </w:instrText>
      </w:r>
      <w:r w:rsidRPr="00502F00">
        <w:rPr>
          <w:color w:val="000000" w:themeColor="text1"/>
        </w:rPr>
        <w:fldChar w:fldCharType="separate"/>
      </w:r>
      <w:r w:rsidR="00502F00" w:rsidRPr="00502F00">
        <w:rPr>
          <w:color w:val="000000" w:themeColor="text1"/>
        </w:rPr>
        <w:t>25</w:t>
      </w:r>
      <w:r w:rsidRPr="00502F00">
        <w:rPr>
          <w:color w:val="000000" w:themeColor="text1"/>
        </w:rPr>
        <w:fldChar w:fldCharType="end"/>
      </w:r>
      <w:r w:rsidRPr="00502F00">
        <w:rPr>
          <w:color w:val="000000" w:themeColor="text1"/>
        </w:rPr>
        <w:t xml:space="preserve">, §§69-75. </w:t>
      </w:r>
    </w:p>
  </w:footnote>
  <w:footnote w:id="34">
    <w:p w14:paraId="3A3444CA" w14:textId="3AB78163" w:rsidR="005F63C6" w:rsidRPr="00502F00" w:rsidRDefault="005F63C6">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CIJ, </w:t>
      </w:r>
      <w:r w:rsidRPr="00502F00">
        <w:rPr>
          <w:i/>
          <w:iCs/>
          <w:color w:val="000000" w:themeColor="text1"/>
        </w:rPr>
        <w:t>Application de la convention internationale sur l’élimination de toutes les formes de discrimination raciale (Azerbaïdjan c. Arménie)</w:t>
      </w:r>
      <w:r w:rsidRPr="00502F00">
        <w:rPr>
          <w:color w:val="000000" w:themeColor="text1"/>
        </w:rPr>
        <w:t>, mesures conservatoires, ordonnance du 7 décembre 2021</w:t>
      </w:r>
      <w:r w:rsidRPr="00502F00">
        <w:rPr>
          <w:color w:val="000000" w:themeColor="text1"/>
        </w:rPr>
        <w:t xml:space="preserve"> précitée note </w:t>
      </w:r>
      <w:r w:rsidRPr="00502F00">
        <w:rPr>
          <w:color w:val="000000" w:themeColor="text1"/>
        </w:rPr>
        <w:fldChar w:fldCharType="begin"/>
      </w:r>
      <w:r w:rsidRPr="00502F00">
        <w:rPr>
          <w:color w:val="000000" w:themeColor="text1"/>
        </w:rPr>
        <w:instrText xml:space="preserve"> NOTEREF _Ref91803710 \h </w:instrText>
      </w:r>
      <w:r w:rsidRPr="00502F00">
        <w:rPr>
          <w:color w:val="000000" w:themeColor="text1"/>
        </w:rPr>
      </w:r>
      <w:r w:rsidRPr="00502F00">
        <w:rPr>
          <w:color w:val="000000" w:themeColor="text1"/>
        </w:rPr>
        <w:fldChar w:fldCharType="separate"/>
      </w:r>
      <w:r w:rsidR="00502F00" w:rsidRPr="00502F00">
        <w:rPr>
          <w:color w:val="000000" w:themeColor="text1"/>
        </w:rPr>
        <w:t>28</w:t>
      </w:r>
      <w:r w:rsidRPr="00502F00">
        <w:rPr>
          <w:color w:val="000000" w:themeColor="text1"/>
        </w:rPr>
        <w:fldChar w:fldCharType="end"/>
      </w:r>
      <w:r w:rsidRPr="00502F00">
        <w:rPr>
          <w:color w:val="000000" w:themeColor="text1"/>
        </w:rPr>
        <w:t>, §66.</w:t>
      </w:r>
    </w:p>
  </w:footnote>
  <w:footnote w:id="35">
    <w:p w14:paraId="754785F1" w14:textId="777E1809" w:rsidR="00DA5132" w:rsidRPr="00502F00" w:rsidRDefault="00DA5132">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i/>
          <w:iCs/>
          <w:color w:val="000000" w:themeColor="text1"/>
        </w:rPr>
        <w:t>Ibid.</w:t>
      </w:r>
      <w:r w:rsidRPr="00502F00">
        <w:rPr>
          <w:color w:val="000000" w:themeColor="text1"/>
        </w:rPr>
        <w:t>, §67.</w:t>
      </w:r>
    </w:p>
  </w:footnote>
  <w:footnote w:id="36">
    <w:p w14:paraId="04022F16" w14:textId="4CB5B585" w:rsidR="00BC332F" w:rsidRPr="00502F00" w:rsidRDefault="00BC332F">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Affaire du</w:t>
      </w:r>
      <w:r w:rsidRPr="00502F00">
        <w:rPr>
          <w:color w:val="000000" w:themeColor="text1"/>
        </w:rPr>
        <w:t xml:space="preserve"> </w:t>
      </w:r>
      <w:r w:rsidRPr="00502F00">
        <w:rPr>
          <w:i/>
          <w:iCs/>
          <w:color w:val="000000" w:themeColor="text1"/>
        </w:rPr>
        <w:t>Détroit de Corfou (Royaume-Uni c. Albanie)</w:t>
      </w:r>
      <w:r w:rsidRPr="00502F00">
        <w:rPr>
          <w:color w:val="000000" w:themeColor="text1"/>
        </w:rPr>
        <w:t xml:space="preserve">, fond, arrêt du 9 avril 1949, </w:t>
      </w:r>
      <w:r w:rsidRPr="00502F00">
        <w:rPr>
          <w:i/>
          <w:iCs/>
          <w:color w:val="000000" w:themeColor="text1"/>
        </w:rPr>
        <w:t>CIJ Rec.</w:t>
      </w:r>
      <w:r w:rsidRPr="00502F00">
        <w:rPr>
          <w:color w:val="000000" w:themeColor="text1"/>
        </w:rPr>
        <w:t xml:space="preserve"> 1949, p. 22.</w:t>
      </w:r>
    </w:p>
  </w:footnote>
  <w:footnote w:id="37">
    <w:p w14:paraId="33B5E4A5" w14:textId="498A8FB5" w:rsidR="00F236D9" w:rsidRPr="00502F00" w:rsidRDefault="00F236D9">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CIJ, </w:t>
      </w:r>
      <w:r w:rsidRPr="00502F00">
        <w:rPr>
          <w:i/>
          <w:iCs/>
          <w:color w:val="000000" w:themeColor="text1"/>
        </w:rPr>
        <w:t>Activités militaires et paramilitaires au Nicaragua et contre celui-ci (Nicaragua/États-Unis)</w:t>
      </w:r>
      <w:r w:rsidRPr="00502F00">
        <w:rPr>
          <w:color w:val="000000" w:themeColor="text1"/>
        </w:rPr>
        <w:t>, fond, arrêt du</w:t>
      </w:r>
      <w:r w:rsidRPr="00502F00">
        <w:rPr>
          <w:color w:val="000000" w:themeColor="text1"/>
        </w:rPr>
        <w:t xml:space="preserve"> 27 juin 1986, </w:t>
      </w:r>
      <w:r w:rsidRPr="00502F00">
        <w:rPr>
          <w:i/>
          <w:iCs/>
          <w:color w:val="000000" w:themeColor="text1"/>
        </w:rPr>
        <w:t>CIJ Rec.</w:t>
      </w:r>
      <w:r w:rsidRPr="00502F00">
        <w:rPr>
          <w:color w:val="000000" w:themeColor="text1"/>
        </w:rPr>
        <w:t xml:space="preserve"> 1986, §§181 et </w:t>
      </w:r>
      <w:proofErr w:type="spellStart"/>
      <w:r w:rsidRPr="00502F00">
        <w:rPr>
          <w:color w:val="000000" w:themeColor="text1"/>
        </w:rPr>
        <w:t>ss</w:t>
      </w:r>
      <w:proofErr w:type="spellEnd"/>
      <w:r w:rsidRPr="00502F00">
        <w:rPr>
          <w:color w:val="000000" w:themeColor="text1"/>
        </w:rPr>
        <w:t>.</w:t>
      </w:r>
    </w:p>
  </w:footnote>
  <w:footnote w:id="38">
    <w:p w14:paraId="3E634798" w14:textId="62EA537D" w:rsidR="00142E1E" w:rsidRPr="00502F00" w:rsidRDefault="00142E1E" w:rsidP="00142E1E">
      <w:pPr>
        <w:pStyle w:val="Notedebasdepage"/>
        <w:rPr>
          <w:rFonts w:ascii="Times" w:hAnsi="Times"/>
          <w:color w:val="000000" w:themeColor="text1"/>
        </w:rPr>
      </w:pPr>
      <w:r w:rsidRPr="00502F00">
        <w:rPr>
          <w:rStyle w:val="Appelnotedebasdep"/>
          <w:rFonts w:ascii="Times" w:hAnsi="Times"/>
          <w:color w:val="000000" w:themeColor="text1"/>
        </w:rPr>
        <w:footnoteRef/>
      </w:r>
      <w:r w:rsidRPr="00502F00">
        <w:rPr>
          <w:rFonts w:ascii="Times" w:hAnsi="Times"/>
          <w:color w:val="000000" w:themeColor="text1"/>
        </w:rPr>
        <w:t xml:space="preserve"> Notamment DOMINICÉ Ch., « La Cour internationale de Justice et l’éthique des relations internationales », </w:t>
      </w:r>
      <w:r w:rsidRPr="00502F00">
        <w:rPr>
          <w:rFonts w:ascii="Times" w:hAnsi="Times"/>
          <w:i/>
          <w:iCs/>
          <w:color w:val="000000" w:themeColor="text1"/>
        </w:rPr>
        <w:t xml:space="preserve">op. </w:t>
      </w:r>
      <w:proofErr w:type="spellStart"/>
      <w:proofErr w:type="gramStart"/>
      <w:r w:rsidRPr="00502F00">
        <w:rPr>
          <w:rFonts w:ascii="Times" w:hAnsi="Times"/>
          <w:i/>
          <w:iCs/>
          <w:color w:val="000000" w:themeColor="text1"/>
        </w:rPr>
        <w:t>cit</w:t>
      </w:r>
      <w:proofErr w:type="spellEnd"/>
      <w:proofErr w:type="gramEnd"/>
      <w:r w:rsidRPr="00502F00">
        <w:rPr>
          <w:rFonts w:ascii="Times" w:hAnsi="Times"/>
          <w:color w:val="000000" w:themeColor="text1"/>
        </w:rPr>
        <w:t xml:space="preserve">. </w:t>
      </w:r>
      <w:proofErr w:type="gramStart"/>
      <w:r w:rsidRPr="00502F00">
        <w:rPr>
          <w:rFonts w:ascii="Times" w:hAnsi="Times"/>
          <w:color w:val="000000" w:themeColor="text1"/>
        </w:rPr>
        <w:t>note</w:t>
      </w:r>
      <w:proofErr w:type="gramEnd"/>
      <w:r w:rsidRPr="00502F00">
        <w:rPr>
          <w:rFonts w:ascii="Times" w:hAnsi="Times"/>
          <w:color w:val="000000" w:themeColor="text1"/>
        </w:rPr>
        <w:t xml:space="preserve"> </w:t>
      </w:r>
      <w:r w:rsidRPr="00502F00">
        <w:rPr>
          <w:rFonts w:ascii="Times" w:hAnsi="Times"/>
          <w:color w:val="000000" w:themeColor="text1"/>
        </w:rPr>
        <w:fldChar w:fldCharType="begin"/>
      </w:r>
      <w:r w:rsidRPr="00502F00">
        <w:rPr>
          <w:rFonts w:ascii="Times" w:hAnsi="Times"/>
          <w:color w:val="000000" w:themeColor="text1"/>
        </w:rPr>
        <w:instrText xml:space="preserve"> NOTEREF _Ref91804936 \h </w:instrText>
      </w:r>
      <w:r w:rsidRPr="00502F00">
        <w:rPr>
          <w:rFonts w:ascii="Times" w:hAnsi="Times"/>
          <w:color w:val="000000" w:themeColor="text1"/>
        </w:rPr>
      </w:r>
      <w:r w:rsidRPr="00502F00">
        <w:rPr>
          <w:rFonts w:ascii="Times" w:hAnsi="Times"/>
          <w:color w:val="000000" w:themeColor="text1"/>
        </w:rPr>
        <w:fldChar w:fldCharType="separate"/>
      </w:r>
      <w:r w:rsidR="00502F00" w:rsidRPr="00502F00">
        <w:rPr>
          <w:rFonts w:ascii="Times" w:hAnsi="Times"/>
          <w:color w:val="000000" w:themeColor="text1"/>
        </w:rPr>
        <w:t>9</w:t>
      </w:r>
      <w:r w:rsidRPr="00502F00">
        <w:rPr>
          <w:rFonts w:ascii="Times" w:hAnsi="Times"/>
          <w:color w:val="000000" w:themeColor="text1"/>
        </w:rPr>
        <w:fldChar w:fldCharType="end"/>
      </w:r>
      <w:r w:rsidRPr="00502F00">
        <w:rPr>
          <w:rFonts w:ascii="Times" w:hAnsi="Times"/>
          <w:color w:val="000000" w:themeColor="text1"/>
        </w:rPr>
        <w:t>.</w:t>
      </w:r>
    </w:p>
  </w:footnote>
  <w:footnote w:id="39">
    <w:p w14:paraId="3A5919BD" w14:textId="4FDDE009" w:rsidR="00142E1E" w:rsidRPr="00502F00" w:rsidRDefault="00142E1E">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i/>
          <w:iCs/>
          <w:color w:val="000000" w:themeColor="text1"/>
        </w:rPr>
        <w:t>Ibid</w:t>
      </w:r>
      <w:r w:rsidRPr="00502F00">
        <w:rPr>
          <w:color w:val="000000" w:themeColor="text1"/>
        </w:rPr>
        <w:t>., §48.</w:t>
      </w:r>
    </w:p>
  </w:footnote>
  <w:footnote w:id="40">
    <w:p w14:paraId="770321C7" w14:textId="7B4DB58A" w:rsidR="00142E1E" w:rsidRPr="00502F00" w:rsidRDefault="00142E1E">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Affaires du plateau continental de la mer du Nord (République fédérale d’Allemagne c. Danemark ; République fédérale d’Allemagne c. Pays-Bas)</w:t>
      </w:r>
      <w:r w:rsidRPr="00502F00">
        <w:rPr>
          <w:color w:val="000000" w:themeColor="text1"/>
        </w:rPr>
        <w:t xml:space="preserve">, arrêt du 20 février 1969, </w:t>
      </w:r>
      <w:r w:rsidRPr="00502F00">
        <w:rPr>
          <w:i/>
          <w:iCs/>
          <w:color w:val="000000" w:themeColor="text1"/>
        </w:rPr>
        <w:t>CIJ Rec.</w:t>
      </w:r>
      <w:r w:rsidRPr="00502F00">
        <w:rPr>
          <w:color w:val="000000" w:themeColor="text1"/>
        </w:rPr>
        <w:t xml:space="preserve"> 1969, p. 3.</w:t>
      </w:r>
    </w:p>
  </w:footnote>
  <w:footnote w:id="41">
    <w:p w14:paraId="6ECE7C9D" w14:textId="2C7C6675" w:rsidR="00142E1E" w:rsidRPr="00502F00" w:rsidRDefault="00142E1E" w:rsidP="00B81B7D">
      <w:pPr>
        <w:pStyle w:val="Notedebasdepage"/>
        <w:tabs>
          <w:tab w:val="left" w:pos="1086"/>
        </w:tabs>
        <w:rPr>
          <w:color w:val="000000" w:themeColor="text1"/>
        </w:rPr>
      </w:pPr>
      <w:r w:rsidRPr="00502F00">
        <w:rPr>
          <w:rStyle w:val="Appelnotedebasdep"/>
          <w:color w:val="000000" w:themeColor="text1"/>
        </w:rPr>
        <w:footnoteRef/>
      </w:r>
      <w:r w:rsidRPr="00502F00">
        <w:rPr>
          <w:color w:val="000000" w:themeColor="text1"/>
        </w:rPr>
        <w:t xml:space="preserve"> </w:t>
      </w:r>
      <w:r w:rsidR="00B81B7D" w:rsidRPr="00502F00">
        <w:rPr>
          <w:color w:val="000000" w:themeColor="text1"/>
        </w:rPr>
        <w:t xml:space="preserve">Opinion dissidente de M. </w:t>
      </w:r>
      <w:r w:rsidR="004327FF" w:rsidRPr="00502F00">
        <w:rPr>
          <w:color w:val="000000" w:themeColor="text1"/>
        </w:rPr>
        <w:t>KORETSKY</w:t>
      </w:r>
      <w:r w:rsidR="00B81B7D" w:rsidRPr="00502F00">
        <w:rPr>
          <w:color w:val="000000" w:themeColor="text1"/>
        </w:rPr>
        <w:t>, vice-président, p. 166.</w:t>
      </w:r>
    </w:p>
  </w:footnote>
  <w:footnote w:id="42">
    <w:p w14:paraId="7AB4FD1A" w14:textId="733F7E30" w:rsidR="002A2484" w:rsidRPr="00502F00" w:rsidRDefault="002A2484" w:rsidP="00301B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00B81B7D" w:rsidRPr="00502F00">
        <w:rPr>
          <w:color w:val="000000" w:themeColor="text1"/>
        </w:rPr>
        <w:t>SCELLE G.</w:t>
      </w:r>
      <w:r w:rsidRPr="00502F00">
        <w:rPr>
          <w:color w:val="000000" w:themeColor="text1"/>
        </w:rPr>
        <w:t xml:space="preserve">, </w:t>
      </w:r>
      <w:r w:rsidR="00B81B7D" w:rsidRPr="00502F00">
        <w:rPr>
          <w:color w:val="000000" w:themeColor="text1"/>
        </w:rPr>
        <w:t>« </w:t>
      </w:r>
      <w:r w:rsidRPr="00502F00">
        <w:rPr>
          <w:color w:val="000000" w:themeColor="text1"/>
        </w:rPr>
        <w:t>Plateau continental et droit international</w:t>
      </w:r>
      <w:r w:rsidR="00B81B7D" w:rsidRPr="00502F00">
        <w:rPr>
          <w:color w:val="000000" w:themeColor="text1"/>
        </w:rPr>
        <w:t> »</w:t>
      </w:r>
      <w:r w:rsidRPr="00502F00">
        <w:rPr>
          <w:color w:val="000000" w:themeColor="text1"/>
        </w:rPr>
        <w:t>,</w:t>
      </w:r>
      <w:r w:rsidR="00B81B7D" w:rsidRPr="00502F00">
        <w:rPr>
          <w:color w:val="000000" w:themeColor="text1"/>
        </w:rPr>
        <w:t xml:space="preserve"> </w:t>
      </w:r>
      <w:r w:rsidR="00B81B7D" w:rsidRPr="00502F00">
        <w:rPr>
          <w:i/>
          <w:iCs/>
          <w:color w:val="000000" w:themeColor="text1"/>
        </w:rPr>
        <w:t>RGDIP</w:t>
      </w:r>
      <w:r w:rsidR="00B81B7D" w:rsidRPr="00502F00">
        <w:rPr>
          <w:color w:val="000000" w:themeColor="text1"/>
        </w:rPr>
        <w:t>, vol. 59,</w:t>
      </w:r>
      <w:r w:rsidRPr="00502F00">
        <w:rPr>
          <w:color w:val="000000" w:themeColor="text1"/>
        </w:rPr>
        <w:t xml:space="preserve"> 1955, pp. 35-36.</w:t>
      </w:r>
      <w:r w:rsidR="009123DF" w:rsidRPr="00502F00">
        <w:rPr>
          <w:color w:val="000000" w:themeColor="text1"/>
        </w:rPr>
        <w:t xml:space="preserve"> L’auteur écrit notamment p. 35 : « [e]n ce qui concerne le plateau continental, il est indiscutable que les proclamations constituent une répétition de faits, mais il est difficile d’y déceler une éthique largement acceptée comme constituant le Droit, c’est-à-dire traduisant une conception d’intérêt général ou d’équité ».</w:t>
      </w:r>
    </w:p>
  </w:footnote>
  <w:footnote w:id="43">
    <w:p w14:paraId="6BE32AF4" w14:textId="407900AD" w:rsidR="00B23884" w:rsidRPr="00502F00" w:rsidRDefault="00B23884">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Dans le même sens bien que formulé différemment, Alain </w:t>
      </w:r>
      <w:r w:rsidR="004327FF" w:rsidRPr="00502F00">
        <w:rPr>
          <w:color w:val="000000" w:themeColor="text1"/>
        </w:rPr>
        <w:t>PELLET</w:t>
      </w:r>
      <w:r w:rsidRPr="00502F00">
        <w:rPr>
          <w:color w:val="000000" w:themeColor="text1"/>
        </w:rPr>
        <w:t xml:space="preserve"> y voit le « s</w:t>
      </w:r>
      <w:r w:rsidRPr="00502F00">
        <w:rPr>
          <w:color w:val="000000" w:themeColor="text1"/>
        </w:rPr>
        <w:t>ocle minimal de la solidarité entre les membres de la société internationale contemporain</w:t>
      </w:r>
      <w:r w:rsidRPr="00502F00">
        <w:rPr>
          <w:color w:val="000000" w:themeColor="text1"/>
        </w:rPr>
        <w:t> » (</w:t>
      </w:r>
      <w:r w:rsidR="00762254" w:rsidRPr="00502F00">
        <w:rPr>
          <w:color w:val="000000" w:themeColor="text1"/>
        </w:rPr>
        <w:t xml:space="preserve">PELLET A., « Le droit international à la lumière de la pratique : l’introuvable théorie de la réalité. Cours général de droit international public », </w:t>
      </w:r>
      <w:r w:rsidR="00762254" w:rsidRPr="00502F00">
        <w:rPr>
          <w:i/>
          <w:iCs/>
          <w:color w:val="000000" w:themeColor="text1"/>
        </w:rPr>
        <w:t xml:space="preserve">op. </w:t>
      </w:r>
      <w:proofErr w:type="spellStart"/>
      <w:proofErr w:type="gramStart"/>
      <w:r w:rsidR="00762254" w:rsidRPr="00502F00">
        <w:rPr>
          <w:i/>
          <w:iCs/>
          <w:color w:val="000000" w:themeColor="text1"/>
        </w:rPr>
        <w:t>cit</w:t>
      </w:r>
      <w:proofErr w:type="spellEnd"/>
      <w:proofErr w:type="gramEnd"/>
      <w:r w:rsidR="00762254" w:rsidRPr="00502F00">
        <w:rPr>
          <w:i/>
          <w:iCs/>
          <w:color w:val="000000" w:themeColor="text1"/>
        </w:rPr>
        <w:t>.</w:t>
      </w:r>
      <w:r w:rsidR="00762254" w:rsidRPr="00502F00">
        <w:rPr>
          <w:color w:val="000000" w:themeColor="text1"/>
        </w:rPr>
        <w:t xml:space="preserve"> </w:t>
      </w:r>
      <w:proofErr w:type="gramStart"/>
      <w:r w:rsidR="00762254" w:rsidRPr="00502F00">
        <w:rPr>
          <w:color w:val="000000" w:themeColor="text1"/>
        </w:rPr>
        <w:t>note</w:t>
      </w:r>
      <w:proofErr w:type="gramEnd"/>
      <w:r w:rsidR="00762254" w:rsidRPr="00502F00">
        <w:rPr>
          <w:color w:val="000000" w:themeColor="text1"/>
        </w:rPr>
        <w:t xml:space="preserve"> </w:t>
      </w:r>
      <w:r w:rsidR="00762254" w:rsidRPr="00502F00">
        <w:rPr>
          <w:color w:val="000000" w:themeColor="text1"/>
        </w:rPr>
        <w:fldChar w:fldCharType="begin"/>
      </w:r>
      <w:r w:rsidR="00762254" w:rsidRPr="00502F00">
        <w:rPr>
          <w:color w:val="000000" w:themeColor="text1"/>
        </w:rPr>
        <w:instrText xml:space="preserve"> NOTEREF _Ref91807061 \h </w:instrText>
      </w:r>
      <w:r w:rsidR="00762254" w:rsidRPr="00502F00">
        <w:rPr>
          <w:color w:val="000000" w:themeColor="text1"/>
        </w:rPr>
      </w:r>
      <w:r w:rsidR="00762254" w:rsidRPr="00502F00">
        <w:rPr>
          <w:color w:val="000000" w:themeColor="text1"/>
        </w:rPr>
        <w:fldChar w:fldCharType="separate"/>
      </w:r>
      <w:r w:rsidR="00502F00" w:rsidRPr="00502F00">
        <w:rPr>
          <w:color w:val="000000" w:themeColor="text1"/>
        </w:rPr>
        <w:t>26</w:t>
      </w:r>
      <w:r w:rsidR="00762254" w:rsidRPr="00502F00">
        <w:rPr>
          <w:color w:val="000000" w:themeColor="text1"/>
        </w:rPr>
        <w:fldChar w:fldCharType="end"/>
      </w:r>
      <w:r w:rsidR="00762254" w:rsidRPr="00502F00">
        <w:rPr>
          <w:color w:val="000000" w:themeColor="text1"/>
        </w:rPr>
        <w:t xml:space="preserve">, </w:t>
      </w:r>
      <w:r w:rsidRPr="00502F00">
        <w:rPr>
          <w:color w:val="000000" w:themeColor="text1"/>
        </w:rPr>
        <w:t>p. 203).</w:t>
      </w:r>
    </w:p>
  </w:footnote>
  <w:footnote w:id="44">
    <w:p w14:paraId="2D6014F9" w14:textId="52DEB03E" w:rsidR="00F94E11" w:rsidRPr="00502F00" w:rsidRDefault="00F94E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Réserves à la convention pour la prévention et la répression du crime de génocide</w:t>
      </w:r>
      <w:r w:rsidRPr="00502F00">
        <w:rPr>
          <w:color w:val="000000" w:themeColor="text1"/>
        </w:rPr>
        <w:t xml:space="preserve">, avis consultatif du 28 mai 1951, </w:t>
      </w:r>
      <w:r w:rsidRPr="00502F00">
        <w:rPr>
          <w:i/>
          <w:iCs/>
          <w:color w:val="000000" w:themeColor="text1"/>
        </w:rPr>
        <w:t xml:space="preserve">CIJ Rec. </w:t>
      </w:r>
      <w:r w:rsidRPr="00502F00">
        <w:rPr>
          <w:color w:val="000000" w:themeColor="text1"/>
        </w:rPr>
        <w:t>1951, p. 24.</w:t>
      </w:r>
    </w:p>
  </w:footnote>
  <w:footnote w:id="45">
    <w:p w14:paraId="5D749E6D" w14:textId="37377215" w:rsidR="00F94E11" w:rsidRPr="00502F00" w:rsidRDefault="00F94E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Activités armées sur le territoire du Congo (nouvelle requête</w:t>
      </w:r>
      <w:r w:rsidRPr="00502F00">
        <w:rPr>
          <w:i/>
          <w:iCs/>
          <w:color w:val="000000" w:themeColor="text1"/>
        </w:rPr>
        <w:t> :</w:t>
      </w:r>
      <w:r w:rsidRPr="00502F00">
        <w:rPr>
          <w:i/>
          <w:iCs/>
          <w:color w:val="000000" w:themeColor="text1"/>
        </w:rPr>
        <w:t xml:space="preserve"> 2002) (République démocratique du Congo c. Rwanda)</w:t>
      </w:r>
      <w:r w:rsidRPr="00502F00">
        <w:rPr>
          <w:color w:val="000000" w:themeColor="text1"/>
        </w:rPr>
        <w:t>, compétence et recevabilité, arrêt</w:t>
      </w:r>
      <w:r w:rsidRPr="00502F00">
        <w:rPr>
          <w:color w:val="000000" w:themeColor="text1"/>
        </w:rPr>
        <w:t xml:space="preserve"> du 3 février 2006</w:t>
      </w:r>
      <w:r w:rsidRPr="00502F00">
        <w:rPr>
          <w:color w:val="000000" w:themeColor="text1"/>
        </w:rPr>
        <w:t xml:space="preserve">, </w:t>
      </w:r>
      <w:r w:rsidRPr="00502F00">
        <w:rPr>
          <w:i/>
          <w:iCs/>
          <w:color w:val="000000" w:themeColor="text1"/>
        </w:rPr>
        <w:t>C</w:t>
      </w:r>
      <w:r w:rsidRPr="00502F00">
        <w:rPr>
          <w:i/>
          <w:iCs/>
          <w:color w:val="000000" w:themeColor="text1"/>
        </w:rPr>
        <w:t>IJ</w:t>
      </w:r>
      <w:r w:rsidRPr="00502F00">
        <w:rPr>
          <w:i/>
          <w:iCs/>
          <w:color w:val="000000" w:themeColor="text1"/>
        </w:rPr>
        <w:t xml:space="preserve"> Rec</w:t>
      </w:r>
      <w:r w:rsidRPr="00502F00">
        <w:rPr>
          <w:i/>
          <w:iCs/>
          <w:color w:val="000000" w:themeColor="text1"/>
        </w:rPr>
        <w:t>.</w:t>
      </w:r>
      <w:r w:rsidRPr="00502F00">
        <w:rPr>
          <w:color w:val="000000" w:themeColor="text1"/>
        </w:rPr>
        <w:t xml:space="preserve"> 2006, </w:t>
      </w:r>
      <w:r w:rsidRPr="00502F00">
        <w:rPr>
          <w:color w:val="000000" w:themeColor="text1"/>
        </w:rPr>
        <w:t>§64.</w:t>
      </w:r>
    </w:p>
  </w:footnote>
  <w:footnote w:id="46">
    <w:p w14:paraId="28B4442C" w14:textId="73E3640D" w:rsidR="00F94E11" w:rsidRPr="00502F00" w:rsidRDefault="00F94E11" w:rsidP="00F94E11">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w:t>
      </w:r>
      <w:r w:rsidRPr="00502F00">
        <w:rPr>
          <w:i/>
          <w:iCs/>
          <w:color w:val="000000" w:themeColor="text1"/>
        </w:rPr>
        <w:t xml:space="preserve">, </w:t>
      </w:r>
      <w:r w:rsidRPr="00502F00">
        <w:rPr>
          <w:i/>
          <w:iCs/>
          <w:color w:val="000000" w:themeColor="text1"/>
        </w:rPr>
        <w:t>Application de la convention pour la prévention et la répression</w:t>
      </w:r>
      <w:r w:rsidRPr="00502F00">
        <w:rPr>
          <w:i/>
          <w:iCs/>
          <w:color w:val="000000" w:themeColor="text1"/>
        </w:rPr>
        <w:t xml:space="preserve"> </w:t>
      </w:r>
      <w:r w:rsidRPr="00502F00">
        <w:rPr>
          <w:i/>
          <w:iCs/>
          <w:color w:val="000000" w:themeColor="text1"/>
        </w:rPr>
        <w:t>du crime de génocide (Bosnie-Herzégovine c. Serbie-et-Monténégro)</w:t>
      </w:r>
      <w:r w:rsidRPr="00502F00">
        <w:rPr>
          <w:color w:val="000000" w:themeColor="text1"/>
        </w:rPr>
        <w:t xml:space="preserve">, </w:t>
      </w:r>
      <w:r w:rsidRPr="00502F00">
        <w:rPr>
          <w:color w:val="000000" w:themeColor="text1"/>
        </w:rPr>
        <w:t xml:space="preserve">fond, </w:t>
      </w:r>
      <w:r w:rsidRPr="00502F00">
        <w:rPr>
          <w:color w:val="000000" w:themeColor="text1"/>
        </w:rPr>
        <w:t>arrêt</w:t>
      </w:r>
      <w:r w:rsidRPr="00502F00">
        <w:rPr>
          <w:color w:val="000000" w:themeColor="text1"/>
        </w:rPr>
        <w:t xml:space="preserve"> du 26 février 2007</w:t>
      </w:r>
      <w:r w:rsidRPr="00502F00">
        <w:rPr>
          <w:color w:val="000000" w:themeColor="text1"/>
        </w:rPr>
        <w:t xml:space="preserve">, </w:t>
      </w:r>
      <w:r w:rsidRPr="00502F00">
        <w:rPr>
          <w:i/>
          <w:iCs/>
          <w:color w:val="000000" w:themeColor="text1"/>
        </w:rPr>
        <w:t xml:space="preserve">CIJ </w:t>
      </w:r>
      <w:r w:rsidRPr="00502F00">
        <w:rPr>
          <w:i/>
          <w:iCs/>
          <w:color w:val="000000" w:themeColor="text1"/>
        </w:rPr>
        <w:t>Rec</w:t>
      </w:r>
      <w:r w:rsidRPr="00502F00">
        <w:rPr>
          <w:i/>
          <w:iCs/>
          <w:color w:val="000000" w:themeColor="text1"/>
        </w:rPr>
        <w:t>.</w:t>
      </w:r>
      <w:r w:rsidRPr="00502F00">
        <w:rPr>
          <w:color w:val="000000" w:themeColor="text1"/>
        </w:rPr>
        <w:t xml:space="preserve"> </w:t>
      </w:r>
      <w:r w:rsidRPr="00502F00">
        <w:rPr>
          <w:color w:val="000000" w:themeColor="text1"/>
        </w:rPr>
        <w:t>2007, §161.</w:t>
      </w:r>
    </w:p>
  </w:footnote>
  <w:footnote w:id="47">
    <w:p w14:paraId="0B3152F0" w14:textId="2B467AC5" w:rsidR="004B7B5C" w:rsidRPr="00502F00" w:rsidRDefault="004B7B5C">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color w:val="000000" w:themeColor="text1"/>
        </w:rPr>
        <w:t xml:space="preserve">PELLET A., « Le droit international à la lumière de la pratique : l’introuvable théorie de la réalité. Cours général de droit international public », </w:t>
      </w:r>
      <w:r w:rsidRPr="00502F00">
        <w:rPr>
          <w:i/>
          <w:iCs/>
          <w:color w:val="000000" w:themeColor="text1"/>
        </w:rPr>
        <w:t xml:space="preserve">op. </w:t>
      </w:r>
      <w:proofErr w:type="spellStart"/>
      <w:proofErr w:type="gramStart"/>
      <w:r w:rsidRPr="00502F00">
        <w:rPr>
          <w:i/>
          <w:iCs/>
          <w:color w:val="000000" w:themeColor="text1"/>
        </w:rPr>
        <w:t>cit</w:t>
      </w:r>
      <w:proofErr w:type="spellEnd"/>
      <w:proofErr w:type="gramEnd"/>
      <w:r w:rsidRPr="00502F00">
        <w:rPr>
          <w:i/>
          <w:iCs/>
          <w:color w:val="000000" w:themeColor="text1"/>
        </w:rPr>
        <w:t>.</w:t>
      </w:r>
      <w:r w:rsidRPr="00502F00">
        <w:rPr>
          <w:color w:val="000000" w:themeColor="text1"/>
        </w:rPr>
        <w:t xml:space="preserve"> </w:t>
      </w:r>
      <w:proofErr w:type="gramStart"/>
      <w:r w:rsidRPr="00502F00">
        <w:rPr>
          <w:color w:val="000000" w:themeColor="text1"/>
        </w:rPr>
        <w:t>note</w:t>
      </w:r>
      <w:proofErr w:type="gramEnd"/>
      <w:r w:rsidRPr="00502F00">
        <w:rPr>
          <w:color w:val="000000" w:themeColor="text1"/>
        </w:rPr>
        <w:t xml:space="preserve"> </w:t>
      </w:r>
      <w:r w:rsidRPr="00502F00">
        <w:rPr>
          <w:color w:val="000000" w:themeColor="text1"/>
        </w:rPr>
        <w:fldChar w:fldCharType="begin"/>
      </w:r>
      <w:r w:rsidRPr="00502F00">
        <w:rPr>
          <w:color w:val="000000" w:themeColor="text1"/>
        </w:rPr>
        <w:instrText xml:space="preserve"> NOTEREF _Ref91807061 \h </w:instrText>
      </w:r>
      <w:r w:rsidRPr="00502F00">
        <w:rPr>
          <w:color w:val="000000" w:themeColor="text1"/>
        </w:rPr>
      </w:r>
      <w:r w:rsidRPr="00502F00">
        <w:rPr>
          <w:color w:val="000000" w:themeColor="text1"/>
        </w:rPr>
        <w:fldChar w:fldCharType="separate"/>
      </w:r>
      <w:r w:rsidR="00502F00" w:rsidRPr="00502F00">
        <w:rPr>
          <w:color w:val="000000" w:themeColor="text1"/>
        </w:rPr>
        <w:t>26</w:t>
      </w:r>
      <w:r w:rsidRPr="00502F00">
        <w:rPr>
          <w:color w:val="000000" w:themeColor="text1"/>
        </w:rPr>
        <w:fldChar w:fldCharType="end"/>
      </w:r>
      <w:r w:rsidRPr="00502F00">
        <w:rPr>
          <w:color w:val="000000" w:themeColor="text1"/>
        </w:rPr>
        <w:t>, p</w:t>
      </w:r>
      <w:r w:rsidRPr="00502F00">
        <w:rPr>
          <w:color w:val="000000" w:themeColor="text1"/>
        </w:rPr>
        <w:t>p. 398-399.</w:t>
      </w:r>
    </w:p>
  </w:footnote>
  <w:footnote w:id="48">
    <w:p w14:paraId="4DB79E2D" w14:textId="03C0EE3E" w:rsidR="004B7B5C" w:rsidRPr="00502F00" w:rsidRDefault="004B7B5C" w:rsidP="004B7B5C">
      <w:pPr>
        <w:pStyle w:val="Notedebasdepage"/>
        <w:rPr>
          <w:color w:val="000000" w:themeColor="text1"/>
          <w:u w:val="single"/>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Immunités et procédures pénales (Guinée équatoriale c. France)</w:t>
      </w:r>
      <w:r w:rsidRPr="00502F00">
        <w:rPr>
          <w:color w:val="000000" w:themeColor="text1"/>
        </w:rPr>
        <w:t>, fond, arrêt du 11 décembre 2020, Rôle général n°163</w:t>
      </w:r>
      <w:r w:rsidRPr="00502F00">
        <w:rPr>
          <w:color w:val="000000" w:themeColor="text1"/>
        </w:rPr>
        <w:t>.</w:t>
      </w:r>
    </w:p>
  </w:footnote>
  <w:footnote w:id="49">
    <w:p w14:paraId="43D0ACE6" w14:textId="08C931DE" w:rsidR="004B7B5C" w:rsidRPr="00502F00" w:rsidRDefault="004B7B5C">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Pr="00502F00">
        <w:rPr>
          <w:i/>
          <w:iCs/>
          <w:color w:val="000000" w:themeColor="text1"/>
        </w:rPr>
        <w:t>Ibid</w:t>
      </w:r>
      <w:r w:rsidRPr="00502F00">
        <w:rPr>
          <w:color w:val="000000" w:themeColor="text1"/>
        </w:rPr>
        <w:t xml:space="preserve">., </w:t>
      </w:r>
      <w:r w:rsidRPr="00502F00">
        <w:rPr>
          <w:color w:val="000000" w:themeColor="text1"/>
        </w:rPr>
        <w:t>§§103-117</w:t>
      </w:r>
      <w:r w:rsidRPr="00502F00">
        <w:rPr>
          <w:color w:val="000000" w:themeColor="text1"/>
        </w:rPr>
        <w:t>.</w:t>
      </w:r>
    </w:p>
  </w:footnote>
  <w:footnote w:id="50">
    <w:p w14:paraId="3137E925" w14:textId="0FB573DD" w:rsidR="004B7B5C" w:rsidRPr="00502F00" w:rsidRDefault="004B7B5C">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O</w:t>
      </w:r>
      <w:r w:rsidRPr="00502F00">
        <w:rPr>
          <w:color w:val="000000" w:themeColor="text1"/>
        </w:rPr>
        <w:t xml:space="preserve">pinion dissidente du Juge </w:t>
      </w:r>
      <w:r w:rsidR="00F43D6C" w:rsidRPr="00502F00">
        <w:rPr>
          <w:color w:val="000000" w:themeColor="text1"/>
        </w:rPr>
        <w:t>YUSUF</w:t>
      </w:r>
      <w:r w:rsidRPr="00502F00">
        <w:rPr>
          <w:color w:val="000000" w:themeColor="text1"/>
        </w:rPr>
        <w:t>, §25</w:t>
      </w:r>
      <w:r w:rsidRPr="00502F00">
        <w:rPr>
          <w:color w:val="000000" w:themeColor="text1"/>
        </w:rPr>
        <w:t>.</w:t>
      </w:r>
    </w:p>
  </w:footnote>
  <w:footnote w:id="51">
    <w:p w14:paraId="53023C11" w14:textId="54B4932E" w:rsidR="00EF409E" w:rsidRPr="00502F00" w:rsidRDefault="00EF409E" w:rsidP="00EF409E">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CIJ, </w:t>
      </w:r>
      <w:r w:rsidRPr="00502F00">
        <w:rPr>
          <w:i/>
          <w:iCs/>
          <w:color w:val="000000" w:themeColor="text1"/>
        </w:rPr>
        <w:t>Essais nucléaires (Australie c. France</w:t>
      </w:r>
      <w:r w:rsidRPr="00502F00">
        <w:rPr>
          <w:color w:val="000000" w:themeColor="text1"/>
        </w:rPr>
        <w:t>), arrêt</w:t>
      </w:r>
      <w:r w:rsidRPr="00502F00">
        <w:rPr>
          <w:color w:val="000000" w:themeColor="text1"/>
        </w:rPr>
        <w:t xml:space="preserve"> du 20 décembre 1974, </w:t>
      </w:r>
      <w:r w:rsidRPr="00502F00">
        <w:rPr>
          <w:i/>
          <w:iCs/>
          <w:color w:val="000000" w:themeColor="text1"/>
        </w:rPr>
        <w:t>CIJ Rec</w:t>
      </w:r>
      <w:r w:rsidRPr="00502F00">
        <w:rPr>
          <w:color w:val="000000" w:themeColor="text1"/>
        </w:rPr>
        <w:t>.</w:t>
      </w:r>
      <w:r w:rsidRPr="00502F00">
        <w:rPr>
          <w:color w:val="000000" w:themeColor="text1"/>
        </w:rPr>
        <w:t xml:space="preserve"> 1974,</w:t>
      </w:r>
      <w:r w:rsidRPr="00502F00">
        <w:rPr>
          <w:color w:val="000000" w:themeColor="text1"/>
        </w:rPr>
        <w:t xml:space="preserve"> </w:t>
      </w:r>
      <w:r w:rsidRPr="00502F00">
        <w:rPr>
          <w:color w:val="000000" w:themeColor="text1"/>
        </w:rPr>
        <w:t>p.</w:t>
      </w:r>
      <w:r w:rsidRPr="00502F00">
        <w:rPr>
          <w:color w:val="000000" w:themeColor="text1"/>
        </w:rPr>
        <w:t xml:space="preserve"> </w:t>
      </w:r>
      <w:r w:rsidRPr="00502F00">
        <w:rPr>
          <w:color w:val="000000" w:themeColor="text1"/>
        </w:rPr>
        <w:t>253.</w:t>
      </w:r>
      <w:r w:rsidRPr="00502F00">
        <w:rPr>
          <w:color w:val="000000" w:themeColor="text1"/>
        </w:rPr>
        <w:t xml:space="preserve"> Les retombées radioactives des essais français en Australie étant des « points litigieux intéressant manifestement le fond de l’affaire, la Cour doit s’abstenir […] d’exprimer une opinion à leur sujet » (§18) ; elle n’aura jamais à le faire puisqu’elle juge la demande devenue sans objet du fait de l’engagement unilatéral français de ne plus effectuer d’essais nucléaires en atmosphère dans l’océan Pacifique Sud (§62).</w:t>
      </w:r>
    </w:p>
  </w:footnote>
  <w:footnote w:id="52">
    <w:p w14:paraId="652EC782" w14:textId="6F472B21" w:rsidR="00D236DE" w:rsidRPr="00502F00" w:rsidRDefault="00D236DE">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Notamment CIJ, </w:t>
      </w:r>
      <w:r w:rsidRPr="00502F00">
        <w:rPr>
          <w:i/>
          <w:iCs/>
          <w:color w:val="000000" w:themeColor="text1"/>
        </w:rPr>
        <w:t>Licéité de la menace ou de l’emploi d’armes nucléaires</w:t>
      </w:r>
      <w:r w:rsidRPr="00502F00">
        <w:rPr>
          <w:color w:val="000000" w:themeColor="text1"/>
        </w:rPr>
        <w:t xml:space="preserve">, avis consultatif du 8 juillet 1996, </w:t>
      </w:r>
      <w:r w:rsidRPr="00502F00">
        <w:rPr>
          <w:i/>
          <w:iCs/>
          <w:color w:val="000000" w:themeColor="text1"/>
        </w:rPr>
        <w:t>CIJ Rec.</w:t>
      </w:r>
      <w:r w:rsidRPr="00502F00">
        <w:rPr>
          <w:color w:val="000000" w:themeColor="text1"/>
        </w:rPr>
        <w:t xml:space="preserve"> 1996, p. 226, et les conclusions A et B selon lesquelles la menace ou l’emploi de ces armes ne sont ni spécifiquement autorisées, ni complètement interdites en tant que telles (§105).</w:t>
      </w:r>
    </w:p>
  </w:footnote>
  <w:footnote w:id="53">
    <w:p w14:paraId="1493D751" w14:textId="590DB852" w:rsidR="00011AB0" w:rsidRPr="00502F00" w:rsidRDefault="00011AB0">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V. les </w:t>
      </w:r>
      <w:r w:rsidR="005C4F9F" w:rsidRPr="00502F00">
        <w:rPr>
          <w:color w:val="000000" w:themeColor="text1"/>
        </w:rPr>
        <w:t xml:space="preserve">neuf </w:t>
      </w:r>
      <w:r w:rsidRPr="00502F00">
        <w:rPr>
          <w:color w:val="000000" w:themeColor="text1"/>
        </w:rPr>
        <w:t xml:space="preserve">affaires </w:t>
      </w:r>
      <w:r w:rsidRPr="00502F00">
        <w:rPr>
          <w:i/>
          <w:iCs/>
          <w:color w:val="000000" w:themeColor="text1"/>
        </w:rPr>
        <w:t>Obligations relatives à des négociations concernant la cessation de la course aux armes nucléaires et le désarmement nucléaire</w:t>
      </w:r>
      <w:r w:rsidR="005C4F9F" w:rsidRPr="00502F00">
        <w:rPr>
          <w:color w:val="000000" w:themeColor="text1"/>
        </w:rPr>
        <w:t>,</w:t>
      </w:r>
      <w:r w:rsidRPr="00502F00">
        <w:rPr>
          <w:color w:val="000000" w:themeColor="text1"/>
        </w:rPr>
        <w:t xml:space="preserve"> toutes avortées </w:t>
      </w:r>
      <w:r w:rsidR="005C4F9F" w:rsidRPr="00502F00">
        <w:rPr>
          <w:color w:val="000000" w:themeColor="text1"/>
        </w:rPr>
        <w:t xml:space="preserve">soit du fait de l’absence d’acceptation de la compétence de la Cour (Chine, États-Unis, Russie, France, Israël, Corée du Nord), soit, pour les trois États ayant déposé une déclaration facultative de juridiction obligatoire, </w:t>
      </w:r>
      <w:r w:rsidRPr="00502F00">
        <w:rPr>
          <w:color w:val="000000" w:themeColor="text1"/>
        </w:rPr>
        <w:t>du fait des arrêts sur les exceptions préliminaires du 5 octobre 2016.</w:t>
      </w:r>
      <w:r w:rsidR="005C4F9F" w:rsidRPr="00502F00">
        <w:rPr>
          <w:color w:val="000000" w:themeColor="text1"/>
        </w:rPr>
        <w:t xml:space="preserve"> La Cour retient l’argument de l’inexistence d’un différend pour l’Inde (</w:t>
      </w:r>
      <w:r w:rsidR="005C4F9F" w:rsidRPr="00502F00">
        <w:rPr>
          <w:i/>
          <w:iCs/>
          <w:color w:val="000000" w:themeColor="text1"/>
        </w:rPr>
        <w:t>Obligations relatives à des négociations concernant la cessation de la course aux armes nucléaires et le désarmement nucléaire (Iles Marshall c. Inde)</w:t>
      </w:r>
      <w:r w:rsidR="005C4F9F" w:rsidRPr="00502F00">
        <w:rPr>
          <w:color w:val="000000" w:themeColor="text1"/>
        </w:rPr>
        <w:t xml:space="preserve">, compétence et recevabilité, arrêt du 5 octobre 2016, </w:t>
      </w:r>
      <w:r w:rsidR="005C4F9F" w:rsidRPr="00502F00">
        <w:rPr>
          <w:i/>
          <w:iCs/>
          <w:color w:val="000000" w:themeColor="text1"/>
        </w:rPr>
        <w:t>CIJ Rec.</w:t>
      </w:r>
      <w:r w:rsidR="005C4F9F" w:rsidRPr="00502F00">
        <w:rPr>
          <w:color w:val="000000" w:themeColor="text1"/>
        </w:rPr>
        <w:t xml:space="preserve"> 2016, p. 255</w:t>
      </w:r>
      <w:r w:rsidR="005C4F9F" w:rsidRPr="00502F00">
        <w:rPr>
          <w:color w:val="000000" w:themeColor="text1"/>
        </w:rPr>
        <w:t xml:space="preserve">), le Pakistan </w:t>
      </w:r>
      <w:r w:rsidR="005C4F9F" w:rsidRPr="00502F00">
        <w:rPr>
          <w:color w:val="000000" w:themeColor="text1"/>
        </w:rPr>
        <w:t>(</w:t>
      </w:r>
      <w:r w:rsidR="005C4F9F" w:rsidRPr="00502F00">
        <w:rPr>
          <w:i/>
          <w:iCs/>
          <w:color w:val="000000" w:themeColor="text1"/>
        </w:rPr>
        <w:t>Obligations relatives à des négociations concernant la cessation de la course aux armes nucléaires et le désarmement nucléaire (Iles Marshall c. Inde)</w:t>
      </w:r>
      <w:r w:rsidR="005C4F9F" w:rsidRPr="00502F00">
        <w:rPr>
          <w:color w:val="000000" w:themeColor="text1"/>
        </w:rPr>
        <w:t xml:space="preserve">, compétence et recevabilité, arrêt du 5 octobre 2016, </w:t>
      </w:r>
      <w:r w:rsidR="005C4F9F" w:rsidRPr="00502F00">
        <w:rPr>
          <w:i/>
          <w:iCs/>
          <w:color w:val="000000" w:themeColor="text1"/>
        </w:rPr>
        <w:t>CIJ Rec.</w:t>
      </w:r>
      <w:r w:rsidR="005C4F9F" w:rsidRPr="00502F00">
        <w:rPr>
          <w:color w:val="000000" w:themeColor="text1"/>
        </w:rPr>
        <w:t xml:space="preserve"> 2016,</w:t>
      </w:r>
      <w:r w:rsidR="005C4F9F" w:rsidRPr="00502F00">
        <w:rPr>
          <w:color w:val="000000" w:themeColor="text1"/>
        </w:rPr>
        <w:t xml:space="preserve"> p. 552) et le Royaume-Uni (</w:t>
      </w:r>
      <w:r w:rsidR="005C4F9F" w:rsidRPr="00502F00">
        <w:rPr>
          <w:i/>
          <w:iCs/>
          <w:color w:val="000000" w:themeColor="text1"/>
        </w:rPr>
        <w:t>Obligations relatives à des négociations concernant la cessation de la course aux armes nucléaires et le désarmement nucléaire (Iles Marshall c. Inde)</w:t>
      </w:r>
      <w:r w:rsidR="005C4F9F" w:rsidRPr="00502F00">
        <w:rPr>
          <w:color w:val="000000" w:themeColor="text1"/>
        </w:rPr>
        <w:t xml:space="preserve">, compétence et recevabilité, arrêt du 5 octobre 2016, </w:t>
      </w:r>
      <w:r w:rsidR="005C4F9F" w:rsidRPr="00502F00">
        <w:rPr>
          <w:i/>
          <w:iCs/>
          <w:color w:val="000000" w:themeColor="text1"/>
        </w:rPr>
        <w:t>CIJ Rec.</w:t>
      </w:r>
      <w:r w:rsidR="005C4F9F" w:rsidRPr="00502F00">
        <w:rPr>
          <w:color w:val="000000" w:themeColor="text1"/>
        </w:rPr>
        <w:t xml:space="preserve"> 2016, p. </w:t>
      </w:r>
      <w:r w:rsidR="005C4F9F" w:rsidRPr="00502F00">
        <w:rPr>
          <w:color w:val="000000" w:themeColor="text1"/>
        </w:rPr>
        <w:t>833</w:t>
      </w:r>
      <w:r w:rsidR="005C4F9F" w:rsidRPr="00502F00">
        <w:rPr>
          <w:color w:val="000000" w:themeColor="text1"/>
        </w:rPr>
        <w:t>)</w:t>
      </w:r>
      <w:r w:rsidR="005C4F9F" w:rsidRPr="00502F00">
        <w:rPr>
          <w:color w:val="000000" w:themeColor="text1"/>
        </w:rPr>
        <w:t>.</w:t>
      </w:r>
    </w:p>
  </w:footnote>
  <w:footnote w:id="54">
    <w:p w14:paraId="3A97F19B" w14:textId="5A038AF7" w:rsidR="004B7B5C" w:rsidRPr="00502F00" w:rsidRDefault="004B7B5C">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NÉRI K., « Avant-propos », </w:t>
      </w:r>
      <w:r w:rsidRPr="00502F00">
        <w:rPr>
          <w:i/>
          <w:iCs/>
          <w:color w:val="000000" w:themeColor="text1"/>
        </w:rPr>
        <w:t>in</w:t>
      </w:r>
      <w:r w:rsidRPr="00502F00">
        <w:rPr>
          <w:color w:val="000000" w:themeColor="text1"/>
        </w:rPr>
        <w:t xml:space="preserve"> NÉRI K. (</w:t>
      </w:r>
      <w:proofErr w:type="spellStart"/>
      <w:r w:rsidRPr="00502F00">
        <w:rPr>
          <w:color w:val="000000" w:themeColor="text1"/>
        </w:rPr>
        <w:t>dir</w:t>
      </w:r>
      <w:proofErr w:type="spellEnd"/>
      <w:r w:rsidRPr="00502F00">
        <w:rPr>
          <w:color w:val="000000" w:themeColor="text1"/>
        </w:rPr>
        <w:t xml:space="preserve">.), </w:t>
      </w:r>
      <w:r w:rsidRPr="00502F00">
        <w:rPr>
          <w:i/>
          <w:iCs/>
          <w:color w:val="000000" w:themeColor="text1"/>
        </w:rPr>
        <w:t>Le droit international et le nucléaire</w:t>
      </w:r>
      <w:r w:rsidRPr="00502F00">
        <w:rPr>
          <w:color w:val="000000" w:themeColor="text1"/>
        </w:rPr>
        <w:t xml:space="preserve">, Bruxelles </w:t>
      </w:r>
      <w:proofErr w:type="spellStart"/>
      <w:r w:rsidRPr="00502F00">
        <w:rPr>
          <w:color w:val="000000" w:themeColor="text1"/>
        </w:rPr>
        <w:t>Bruylant</w:t>
      </w:r>
      <w:proofErr w:type="spellEnd"/>
      <w:r w:rsidRPr="00502F00">
        <w:rPr>
          <w:color w:val="000000" w:themeColor="text1"/>
        </w:rPr>
        <w:t>, 2021, p. 9.</w:t>
      </w:r>
    </w:p>
  </w:footnote>
  <w:footnote w:id="55">
    <w:p w14:paraId="20D3AA99" w14:textId="77777777" w:rsidR="00D21675" w:rsidRPr="00502F00" w:rsidRDefault="00D21675" w:rsidP="00D21675">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NANOPOULOS D. K., « Cour internationale de Justice : </w:t>
      </w:r>
      <w:r w:rsidRPr="00502F00">
        <w:rPr>
          <w:i/>
          <w:iCs/>
          <w:color w:val="000000" w:themeColor="text1"/>
        </w:rPr>
        <w:t>prudence, ralentissez</w:t>
      </w:r>
      <w:r w:rsidRPr="00502F00">
        <w:rPr>
          <w:color w:val="000000" w:themeColor="text1"/>
        </w:rPr>
        <w:t xml:space="preserve"> », </w:t>
      </w:r>
      <w:r w:rsidRPr="00502F00">
        <w:rPr>
          <w:i/>
          <w:iCs/>
          <w:color w:val="000000" w:themeColor="text1"/>
        </w:rPr>
        <w:t xml:space="preserve">in </w:t>
      </w:r>
      <w:r w:rsidRPr="00502F00">
        <w:rPr>
          <w:color w:val="000000" w:themeColor="text1"/>
        </w:rPr>
        <w:t>ASCENSIO H., BODEAU-LIVINEC P., FORTEAU M., LATTY F., SOREL J.-M., UBÉDA-SAILLARD M. (</w:t>
      </w:r>
      <w:proofErr w:type="spellStart"/>
      <w:r w:rsidRPr="00502F00">
        <w:rPr>
          <w:color w:val="000000" w:themeColor="text1"/>
        </w:rPr>
        <w:t>dir</w:t>
      </w:r>
      <w:proofErr w:type="spellEnd"/>
      <w:r w:rsidRPr="00502F00">
        <w:rPr>
          <w:color w:val="000000" w:themeColor="text1"/>
        </w:rPr>
        <w:t xml:space="preserve">.), </w:t>
      </w:r>
      <w:r w:rsidRPr="00502F00">
        <w:rPr>
          <w:i/>
          <w:iCs/>
          <w:color w:val="000000" w:themeColor="text1"/>
        </w:rPr>
        <w:t>Dictionnaire des idées reçues en droit international</w:t>
      </w:r>
      <w:r w:rsidRPr="00502F00">
        <w:rPr>
          <w:color w:val="000000" w:themeColor="text1"/>
        </w:rPr>
        <w:t xml:space="preserve">, Paris, </w:t>
      </w:r>
      <w:proofErr w:type="spellStart"/>
      <w:r w:rsidRPr="00502F00">
        <w:rPr>
          <w:color w:val="000000" w:themeColor="text1"/>
        </w:rPr>
        <w:t>Pedone</w:t>
      </w:r>
      <w:proofErr w:type="spellEnd"/>
      <w:r w:rsidRPr="00502F00">
        <w:rPr>
          <w:color w:val="000000" w:themeColor="text1"/>
        </w:rPr>
        <w:t>, 2017, p. 128.</w:t>
      </w:r>
    </w:p>
  </w:footnote>
  <w:footnote w:id="56">
    <w:p w14:paraId="2AE1B43A" w14:textId="1E3336CC" w:rsidR="007E23CD" w:rsidRPr="00D21675" w:rsidRDefault="007E23CD">
      <w:pPr>
        <w:pStyle w:val="Notedebasdepage"/>
        <w:rPr>
          <w:color w:val="000000" w:themeColor="text1"/>
        </w:rPr>
      </w:pPr>
      <w:r w:rsidRPr="00502F00">
        <w:rPr>
          <w:rStyle w:val="Appelnotedebasdep"/>
          <w:color w:val="000000" w:themeColor="text1"/>
        </w:rPr>
        <w:footnoteRef/>
      </w:r>
      <w:r w:rsidRPr="00502F00">
        <w:rPr>
          <w:color w:val="000000" w:themeColor="text1"/>
        </w:rPr>
        <w:t xml:space="preserve"> </w:t>
      </w:r>
      <w:r w:rsidR="00D21675">
        <w:rPr>
          <w:i/>
          <w:iCs/>
          <w:color w:val="000000" w:themeColor="text1"/>
        </w:rPr>
        <w:t>Idem</w:t>
      </w:r>
      <w:r w:rsidR="00D21675">
        <w:rPr>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BF"/>
    <w:multiLevelType w:val="hybridMultilevel"/>
    <w:tmpl w:val="4B0ED4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B653C5"/>
    <w:multiLevelType w:val="hybridMultilevel"/>
    <w:tmpl w:val="6344A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90764F"/>
    <w:multiLevelType w:val="hybridMultilevel"/>
    <w:tmpl w:val="8E9A1B06"/>
    <w:lvl w:ilvl="0" w:tplc="C9BCD22C">
      <w:start w:val="1"/>
      <w:numFmt w:val="upp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665E735A"/>
    <w:multiLevelType w:val="hybridMultilevel"/>
    <w:tmpl w:val="A73EA4BE"/>
    <w:lvl w:ilvl="0" w:tplc="AAFE4F04">
      <w:start w:val="1"/>
      <w:numFmt w:val="upperLetter"/>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6BF907E4"/>
    <w:multiLevelType w:val="hybridMultilevel"/>
    <w:tmpl w:val="1A30F2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0A418FD"/>
    <w:multiLevelType w:val="hybridMultilevel"/>
    <w:tmpl w:val="F0A825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9F21160"/>
    <w:multiLevelType w:val="hybridMultilevel"/>
    <w:tmpl w:val="F0A82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FF"/>
    <w:rsid w:val="00011AB0"/>
    <w:rsid w:val="00036D65"/>
    <w:rsid w:val="000428D0"/>
    <w:rsid w:val="000617FB"/>
    <w:rsid w:val="00061DD5"/>
    <w:rsid w:val="00065642"/>
    <w:rsid w:val="00072265"/>
    <w:rsid w:val="00084F04"/>
    <w:rsid w:val="000D1E0A"/>
    <w:rsid w:val="000D417F"/>
    <w:rsid w:val="000E2E76"/>
    <w:rsid w:val="000F620E"/>
    <w:rsid w:val="001042EB"/>
    <w:rsid w:val="001231B7"/>
    <w:rsid w:val="00142E1E"/>
    <w:rsid w:val="0015194C"/>
    <w:rsid w:val="0015675A"/>
    <w:rsid w:val="00172A79"/>
    <w:rsid w:val="001A1D26"/>
    <w:rsid w:val="001B0034"/>
    <w:rsid w:val="001B4A82"/>
    <w:rsid w:val="001B7A57"/>
    <w:rsid w:val="001F0BD6"/>
    <w:rsid w:val="002322CA"/>
    <w:rsid w:val="00232BB1"/>
    <w:rsid w:val="00243EE9"/>
    <w:rsid w:val="00244698"/>
    <w:rsid w:val="002562EF"/>
    <w:rsid w:val="00267209"/>
    <w:rsid w:val="00276BF7"/>
    <w:rsid w:val="002A2484"/>
    <w:rsid w:val="002C228F"/>
    <w:rsid w:val="00300B00"/>
    <w:rsid w:val="00301B11"/>
    <w:rsid w:val="00305113"/>
    <w:rsid w:val="003071FA"/>
    <w:rsid w:val="00311D6D"/>
    <w:rsid w:val="00323C01"/>
    <w:rsid w:val="00341D97"/>
    <w:rsid w:val="00345422"/>
    <w:rsid w:val="0036524D"/>
    <w:rsid w:val="00372E2E"/>
    <w:rsid w:val="00373724"/>
    <w:rsid w:val="00375EFD"/>
    <w:rsid w:val="003856F0"/>
    <w:rsid w:val="00395240"/>
    <w:rsid w:val="0039795D"/>
    <w:rsid w:val="003B436F"/>
    <w:rsid w:val="003C38BE"/>
    <w:rsid w:val="003F6BB6"/>
    <w:rsid w:val="00400E24"/>
    <w:rsid w:val="004104FF"/>
    <w:rsid w:val="00421341"/>
    <w:rsid w:val="00426F11"/>
    <w:rsid w:val="0043116F"/>
    <w:rsid w:val="004327FF"/>
    <w:rsid w:val="0043623E"/>
    <w:rsid w:val="00464CB5"/>
    <w:rsid w:val="004B7B5C"/>
    <w:rsid w:val="004C723D"/>
    <w:rsid w:val="004D797E"/>
    <w:rsid w:val="004E488E"/>
    <w:rsid w:val="00502F00"/>
    <w:rsid w:val="005248BA"/>
    <w:rsid w:val="00585CCD"/>
    <w:rsid w:val="00594ABB"/>
    <w:rsid w:val="005C4F9F"/>
    <w:rsid w:val="005D3443"/>
    <w:rsid w:val="005E73EF"/>
    <w:rsid w:val="005F63C6"/>
    <w:rsid w:val="00602166"/>
    <w:rsid w:val="00617B4C"/>
    <w:rsid w:val="0063430E"/>
    <w:rsid w:val="006434F4"/>
    <w:rsid w:val="0065059B"/>
    <w:rsid w:val="00657930"/>
    <w:rsid w:val="00665828"/>
    <w:rsid w:val="006670D7"/>
    <w:rsid w:val="00680C0E"/>
    <w:rsid w:val="0068286E"/>
    <w:rsid w:val="00693704"/>
    <w:rsid w:val="00695176"/>
    <w:rsid w:val="006E1135"/>
    <w:rsid w:val="00706633"/>
    <w:rsid w:val="007358F5"/>
    <w:rsid w:val="00743D24"/>
    <w:rsid w:val="00761DD5"/>
    <w:rsid w:val="00762254"/>
    <w:rsid w:val="00763CEB"/>
    <w:rsid w:val="00782C73"/>
    <w:rsid w:val="007845FF"/>
    <w:rsid w:val="007861B1"/>
    <w:rsid w:val="007A1E08"/>
    <w:rsid w:val="007C778B"/>
    <w:rsid w:val="007E23CD"/>
    <w:rsid w:val="008133A8"/>
    <w:rsid w:val="00824EB2"/>
    <w:rsid w:val="00880CD2"/>
    <w:rsid w:val="00885A14"/>
    <w:rsid w:val="00893EF9"/>
    <w:rsid w:val="008A6965"/>
    <w:rsid w:val="008B3BDF"/>
    <w:rsid w:val="008B4DD3"/>
    <w:rsid w:val="008C3A50"/>
    <w:rsid w:val="008E6CF5"/>
    <w:rsid w:val="008F15C7"/>
    <w:rsid w:val="009123DF"/>
    <w:rsid w:val="00917B9B"/>
    <w:rsid w:val="009673C2"/>
    <w:rsid w:val="00991B3A"/>
    <w:rsid w:val="00992C6C"/>
    <w:rsid w:val="009B153C"/>
    <w:rsid w:val="009B33DE"/>
    <w:rsid w:val="009B78A2"/>
    <w:rsid w:val="009C35D8"/>
    <w:rsid w:val="009D308C"/>
    <w:rsid w:val="009F087A"/>
    <w:rsid w:val="009F1573"/>
    <w:rsid w:val="009F1B9F"/>
    <w:rsid w:val="00A37AFC"/>
    <w:rsid w:val="00A45C8F"/>
    <w:rsid w:val="00A56679"/>
    <w:rsid w:val="00A614C2"/>
    <w:rsid w:val="00A66A03"/>
    <w:rsid w:val="00A6739A"/>
    <w:rsid w:val="00A67987"/>
    <w:rsid w:val="00A72AD0"/>
    <w:rsid w:val="00A82300"/>
    <w:rsid w:val="00A8294F"/>
    <w:rsid w:val="00AB130D"/>
    <w:rsid w:val="00AB4752"/>
    <w:rsid w:val="00AC4CCF"/>
    <w:rsid w:val="00B04AED"/>
    <w:rsid w:val="00B0501E"/>
    <w:rsid w:val="00B21854"/>
    <w:rsid w:val="00B23884"/>
    <w:rsid w:val="00B253FE"/>
    <w:rsid w:val="00B328EB"/>
    <w:rsid w:val="00B35B1C"/>
    <w:rsid w:val="00B42A3B"/>
    <w:rsid w:val="00B4314A"/>
    <w:rsid w:val="00B46833"/>
    <w:rsid w:val="00B53E28"/>
    <w:rsid w:val="00B81B7D"/>
    <w:rsid w:val="00B85B8A"/>
    <w:rsid w:val="00BA57FF"/>
    <w:rsid w:val="00BC332F"/>
    <w:rsid w:val="00BD29B7"/>
    <w:rsid w:val="00BF03A7"/>
    <w:rsid w:val="00C1674C"/>
    <w:rsid w:val="00C7499C"/>
    <w:rsid w:val="00C76D63"/>
    <w:rsid w:val="00CC791B"/>
    <w:rsid w:val="00CD6C57"/>
    <w:rsid w:val="00CE6A5A"/>
    <w:rsid w:val="00D04681"/>
    <w:rsid w:val="00D07E8B"/>
    <w:rsid w:val="00D21675"/>
    <w:rsid w:val="00D236DE"/>
    <w:rsid w:val="00D602EC"/>
    <w:rsid w:val="00D74C61"/>
    <w:rsid w:val="00D95208"/>
    <w:rsid w:val="00DA5132"/>
    <w:rsid w:val="00DC1F06"/>
    <w:rsid w:val="00DD0821"/>
    <w:rsid w:val="00DD6F7C"/>
    <w:rsid w:val="00DF2039"/>
    <w:rsid w:val="00DF7C30"/>
    <w:rsid w:val="00E24D09"/>
    <w:rsid w:val="00E302CB"/>
    <w:rsid w:val="00E44480"/>
    <w:rsid w:val="00E51A1B"/>
    <w:rsid w:val="00E53D2E"/>
    <w:rsid w:val="00E55774"/>
    <w:rsid w:val="00E836B0"/>
    <w:rsid w:val="00E83CB5"/>
    <w:rsid w:val="00E87D0E"/>
    <w:rsid w:val="00E90433"/>
    <w:rsid w:val="00E97059"/>
    <w:rsid w:val="00EA27A3"/>
    <w:rsid w:val="00EC5FAB"/>
    <w:rsid w:val="00ED3676"/>
    <w:rsid w:val="00EF409E"/>
    <w:rsid w:val="00F06B1A"/>
    <w:rsid w:val="00F236D9"/>
    <w:rsid w:val="00F27744"/>
    <w:rsid w:val="00F34400"/>
    <w:rsid w:val="00F36A60"/>
    <w:rsid w:val="00F43D6C"/>
    <w:rsid w:val="00F44235"/>
    <w:rsid w:val="00F65499"/>
    <w:rsid w:val="00F7570C"/>
    <w:rsid w:val="00F75B4C"/>
    <w:rsid w:val="00F94E11"/>
    <w:rsid w:val="00FC4E8F"/>
    <w:rsid w:val="00FC6A7C"/>
    <w:rsid w:val="00FD7913"/>
    <w:rsid w:val="00FE4669"/>
    <w:rsid w:val="00FF36A6"/>
    <w:rsid w:val="00FF4D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3D17B7D"/>
  <w15:chartTrackingRefBased/>
  <w15:docId w15:val="{1EFDD260-C037-1E47-B298-A5BB99DC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HESEA">
    <w:name w:val="THESE A"/>
    <w:aliases w:val="B,C"/>
    <w:basedOn w:val="Normal"/>
    <w:link w:val="THESEACar"/>
    <w:autoRedefine/>
    <w:qFormat/>
    <w:rsid w:val="009B153C"/>
    <w:pPr>
      <w:ind w:left="284"/>
      <w:jc w:val="both"/>
      <w:outlineLvl w:val="5"/>
    </w:pPr>
    <w:rPr>
      <w:rFonts w:ascii="Times New Roman" w:eastAsia="Times New Roman" w:hAnsi="Times New Roman" w:cs="Times New Roman"/>
      <w:b/>
      <w:u w:val="single"/>
      <w:lang w:eastAsia="fr-FR"/>
    </w:rPr>
  </w:style>
  <w:style w:type="character" w:customStyle="1" w:styleId="THESEACar">
    <w:name w:val="THESE A Car"/>
    <w:aliases w:val="B Car,C Car"/>
    <w:basedOn w:val="Policepardfaut"/>
    <w:link w:val="THESEA"/>
    <w:rsid w:val="009B153C"/>
    <w:rPr>
      <w:rFonts w:ascii="Times New Roman" w:eastAsia="Times New Roman" w:hAnsi="Times New Roman" w:cs="Times New Roman"/>
      <w:b/>
      <w:u w:val="single"/>
      <w:lang w:eastAsia="fr-FR"/>
    </w:rPr>
  </w:style>
  <w:style w:type="paragraph" w:styleId="Notedebasdepage">
    <w:name w:val="footnote text"/>
    <w:basedOn w:val="Normal"/>
    <w:link w:val="NotedebasdepageCar"/>
    <w:unhideWhenUsed/>
    <w:qFormat/>
    <w:rsid w:val="007845FF"/>
    <w:pPr>
      <w:jc w:val="both"/>
    </w:pPr>
    <w:rPr>
      <w:rFonts w:ascii="Times New Roman" w:hAnsi="Times New Roman"/>
      <w:sz w:val="20"/>
      <w:szCs w:val="20"/>
    </w:rPr>
  </w:style>
  <w:style w:type="character" w:customStyle="1" w:styleId="NotedebasdepageCar">
    <w:name w:val="Note de bas de page Car"/>
    <w:basedOn w:val="Policepardfaut"/>
    <w:link w:val="Notedebasdepage"/>
    <w:rsid w:val="007845FF"/>
    <w:rPr>
      <w:rFonts w:ascii="Times New Roman" w:hAnsi="Times New Roman"/>
      <w:sz w:val="20"/>
      <w:szCs w:val="20"/>
    </w:rPr>
  </w:style>
  <w:style w:type="character" w:styleId="Appelnotedebasdep">
    <w:name w:val="footnote reference"/>
    <w:basedOn w:val="Policepardfaut"/>
    <w:uiPriority w:val="99"/>
    <w:unhideWhenUsed/>
    <w:rsid w:val="007845FF"/>
    <w:rPr>
      <w:vertAlign w:val="superscript"/>
    </w:rPr>
  </w:style>
  <w:style w:type="paragraph" w:styleId="Paragraphedeliste">
    <w:name w:val="List Paragraph"/>
    <w:basedOn w:val="Normal"/>
    <w:uiPriority w:val="34"/>
    <w:qFormat/>
    <w:rsid w:val="00782C73"/>
    <w:pPr>
      <w:ind w:left="720"/>
      <w:contextualSpacing/>
    </w:pPr>
  </w:style>
  <w:style w:type="character" w:styleId="Lienhypertexte">
    <w:name w:val="Hyperlink"/>
    <w:basedOn w:val="Policepardfaut"/>
    <w:uiPriority w:val="99"/>
    <w:unhideWhenUsed/>
    <w:rsid w:val="00BF03A7"/>
    <w:rPr>
      <w:color w:val="0563C1" w:themeColor="hyperlink"/>
      <w:u w:val="single"/>
    </w:rPr>
  </w:style>
  <w:style w:type="character" w:styleId="Mentionnonrsolue">
    <w:name w:val="Unresolved Mention"/>
    <w:basedOn w:val="Policepardfaut"/>
    <w:uiPriority w:val="99"/>
    <w:semiHidden/>
    <w:unhideWhenUsed/>
    <w:rsid w:val="00BF03A7"/>
    <w:rPr>
      <w:color w:val="605E5C"/>
      <w:shd w:val="clear" w:color="auto" w:fill="E1DFDD"/>
    </w:rPr>
  </w:style>
  <w:style w:type="character" w:styleId="Lienhypertextesuivivisit">
    <w:name w:val="FollowedHyperlink"/>
    <w:basedOn w:val="Policepardfaut"/>
    <w:uiPriority w:val="99"/>
    <w:semiHidden/>
    <w:unhideWhenUsed/>
    <w:rsid w:val="00885A14"/>
    <w:rPr>
      <w:color w:val="954F72" w:themeColor="followedHyperlink"/>
      <w:u w:val="single"/>
    </w:rPr>
  </w:style>
  <w:style w:type="paragraph" w:styleId="Sansinterligne">
    <w:name w:val="No Spacing"/>
    <w:aliases w:val="CITATION"/>
    <w:basedOn w:val="Normal"/>
    <w:autoRedefine/>
    <w:uiPriority w:val="1"/>
    <w:qFormat/>
    <w:rsid w:val="002A2484"/>
    <w:pPr>
      <w:ind w:left="567"/>
      <w:jc w:val="both"/>
    </w:pPr>
    <w:rPr>
      <w:rFonts w:ascii="Times New Roman" w:hAnsi="Times New Roman"/>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0193">
      <w:bodyDiv w:val="1"/>
      <w:marLeft w:val="0"/>
      <w:marRight w:val="0"/>
      <w:marTop w:val="0"/>
      <w:marBottom w:val="0"/>
      <w:divBdr>
        <w:top w:val="none" w:sz="0" w:space="0" w:color="auto"/>
        <w:left w:val="none" w:sz="0" w:space="0" w:color="auto"/>
        <w:bottom w:val="none" w:sz="0" w:space="0" w:color="auto"/>
        <w:right w:val="none" w:sz="0" w:space="0" w:color="auto"/>
      </w:divBdr>
      <w:divsChild>
        <w:div w:id="832523369">
          <w:marLeft w:val="0"/>
          <w:marRight w:val="0"/>
          <w:marTop w:val="0"/>
          <w:marBottom w:val="0"/>
          <w:divBdr>
            <w:top w:val="none" w:sz="0" w:space="0" w:color="auto"/>
            <w:left w:val="none" w:sz="0" w:space="0" w:color="auto"/>
            <w:bottom w:val="none" w:sz="0" w:space="0" w:color="auto"/>
            <w:right w:val="none" w:sz="0" w:space="0" w:color="auto"/>
          </w:divBdr>
          <w:divsChild>
            <w:div w:id="501966189">
              <w:marLeft w:val="0"/>
              <w:marRight w:val="0"/>
              <w:marTop w:val="0"/>
              <w:marBottom w:val="0"/>
              <w:divBdr>
                <w:top w:val="none" w:sz="0" w:space="0" w:color="auto"/>
                <w:left w:val="none" w:sz="0" w:space="0" w:color="auto"/>
                <w:bottom w:val="none" w:sz="0" w:space="0" w:color="auto"/>
                <w:right w:val="none" w:sz="0" w:space="0" w:color="auto"/>
              </w:divBdr>
              <w:divsChild>
                <w:div w:id="8457197">
                  <w:marLeft w:val="0"/>
                  <w:marRight w:val="0"/>
                  <w:marTop w:val="0"/>
                  <w:marBottom w:val="0"/>
                  <w:divBdr>
                    <w:top w:val="none" w:sz="0" w:space="0" w:color="auto"/>
                    <w:left w:val="none" w:sz="0" w:space="0" w:color="auto"/>
                    <w:bottom w:val="none" w:sz="0" w:space="0" w:color="auto"/>
                    <w:right w:val="none" w:sz="0" w:space="0" w:color="auto"/>
                  </w:divBdr>
                  <w:divsChild>
                    <w:div w:id="15156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46665">
      <w:bodyDiv w:val="1"/>
      <w:marLeft w:val="0"/>
      <w:marRight w:val="0"/>
      <w:marTop w:val="0"/>
      <w:marBottom w:val="0"/>
      <w:divBdr>
        <w:top w:val="none" w:sz="0" w:space="0" w:color="auto"/>
        <w:left w:val="none" w:sz="0" w:space="0" w:color="auto"/>
        <w:bottom w:val="none" w:sz="0" w:space="0" w:color="auto"/>
        <w:right w:val="none" w:sz="0" w:space="0" w:color="auto"/>
      </w:divBdr>
      <w:divsChild>
        <w:div w:id="449320389">
          <w:marLeft w:val="0"/>
          <w:marRight w:val="0"/>
          <w:marTop w:val="0"/>
          <w:marBottom w:val="0"/>
          <w:divBdr>
            <w:top w:val="none" w:sz="0" w:space="0" w:color="auto"/>
            <w:left w:val="none" w:sz="0" w:space="0" w:color="auto"/>
            <w:bottom w:val="none" w:sz="0" w:space="0" w:color="auto"/>
            <w:right w:val="none" w:sz="0" w:space="0" w:color="auto"/>
          </w:divBdr>
          <w:divsChild>
            <w:div w:id="786120399">
              <w:marLeft w:val="0"/>
              <w:marRight w:val="0"/>
              <w:marTop w:val="0"/>
              <w:marBottom w:val="0"/>
              <w:divBdr>
                <w:top w:val="none" w:sz="0" w:space="0" w:color="auto"/>
                <w:left w:val="none" w:sz="0" w:space="0" w:color="auto"/>
                <w:bottom w:val="none" w:sz="0" w:space="0" w:color="auto"/>
                <w:right w:val="none" w:sz="0" w:space="0" w:color="auto"/>
              </w:divBdr>
              <w:divsChild>
                <w:div w:id="20262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6753">
      <w:bodyDiv w:val="1"/>
      <w:marLeft w:val="0"/>
      <w:marRight w:val="0"/>
      <w:marTop w:val="0"/>
      <w:marBottom w:val="0"/>
      <w:divBdr>
        <w:top w:val="none" w:sz="0" w:space="0" w:color="auto"/>
        <w:left w:val="none" w:sz="0" w:space="0" w:color="auto"/>
        <w:bottom w:val="none" w:sz="0" w:space="0" w:color="auto"/>
        <w:right w:val="none" w:sz="0" w:space="0" w:color="auto"/>
      </w:divBdr>
    </w:div>
    <w:div w:id="1195311996">
      <w:bodyDiv w:val="1"/>
      <w:marLeft w:val="0"/>
      <w:marRight w:val="0"/>
      <w:marTop w:val="0"/>
      <w:marBottom w:val="0"/>
      <w:divBdr>
        <w:top w:val="none" w:sz="0" w:space="0" w:color="auto"/>
        <w:left w:val="none" w:sz="0" w:space="0" w:color="auto"/>
        <w:bottom w:val="none" w:sz="0" w:space="0" w:color="auto"/>
        <w:right w:val="none" w:sz="0" w:space="0" w:color="auto"/>
      </w:divBdr>
    </w:div>
    <w:div w:id="15136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blog.u-bourgogne.fr/droit-inter-ethique/2020/09/28/de-lethique-dans-la-jurisprudence-de-la-cour-internationale-de-justice-lexemple-de-linterdiction-du-recours-a-la-force-dans-larret-activites-militaires-et-paramilitaires-au-nicaragua-et-c-c/" TargetMode="External"/><Relationship Id="rId2" Type="http://schemas.openxmlformats.org/officeDocument/2006/relationships/hyperlink" Target="https://blog.u-bourgogne.fr/droit-inter-ethique/2020/12/22/revolution-discrete-ou-communication-malheureuse-a-propos-de-la-compilation-des-decisions-adoptees-par-la-cour-internationale-de-justice/" TargetMode="External"/><Relationship Id="rId1" Type="http://schemas.openxmlformats.org/officeDocument/2006/relationships/hyperlink" Target="https://cedin.parisnanterre.fr/manifestations-scientifiques/colloque-la-cour-internationale-de-justice-a-75-a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11</Pages>
  <Words>4695</Words>
  <Characters>25684</Characters>
  <Application>Microsoft Office Word</Application>
  <DocSecurity>0</DocSecurity>
  <Lines>389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Maurel</dc:creator>
  <cp:keywords/>
  <dc:description/>
  <cp:lastModifiedBy>Raphaël Maurel</cp:lastModifiedBy>
  <cp:revision>120</cp:revision>
  <cp:lastPrinted>2021-12-31T03:19:00Z</cp:lastPrinted>
  <dcterms:created xsi:type="dcterms:W3CDTF">2021-12-14T14:11:00Z</dcterms:created>
  <dcterms:modified xsi:type="dcterms:W3CDTF">2022-01-02T14:04:00Z</dcterms:modified>
</cp:coreProperties>
</file>