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17AD7" w14:textId="783076FC" w:rsidR="00192114" w:rsidRDefault="00B53D65" w:rsidP="009B3FC5">
      <w:pPr>
        <w:numPr>
          <w:ilvl w:val="0"/>
          <w:numId w:val="0"/>
        </w:numPr>
        <w:spacing w:line="240" w:lineRule="auto"/>
        <w:ind w:firstLine="284"/>
        <w:jc w:val="center"/>
        <w:rPr>
          <w:rFonts w:ascii="Times" w:hAnsi="Times" w:cs="Calibri"/>
          <w:b/>
          <w:bCs/>
          <w:szCs w:val="24"/>
        </w:rPr>
      </w:pPr>
      <w:r>
        <w:rPr>
          <w:rFonts w:ascii="Times" w:hAnsi="Times" w:cs="Calibri"/>
          <w:b/>
          <w:bCs/>
          <w:szCs w:val="24"/>
        </w:rPr>
        <w:t>Le</w:t>
      </w:r>
      <w:r w:rsidR="0036719B">
        <w:rPr>
          <w:rFonts w:ascii="Times" w:hAnsi="Times" w:cs="Calibri"/>
          <w:b/>
          <w:bCs/>
          <w:szCs w:val="24"/>
        </w:rPr>
        <w:t xml:space="preserve"> droit européen des investissements</w:t>
      </w:r>
      <w:r w:rsidR="00F92223">
        <w:rPr>
          <w:rFonts w:ascii="Times" w:hAnsi="Times" w:cs="Calibri"/>
          <w:b/>
          <w:bCs/>
          <w:szCs w:val="24"/>
        </w:rPr>
        <w:t xml:space="preserve">, une </w:t>
      </w:r>
      <w:r>
        <w:rPr>
          <w:rFonts w:ascii="Times" w:hAnsi="Times" w:cs="Calibri"/>
          <w:b/>
          <w:bCs/>
          <w:szCs w:val="24"/>
        </w:rPr>
        <w:t>révolution inachevée</w:t>
      </w:r>
      <w:r w:rsidR="00F92223">
        <w:rPr>
          <w:rFonts w:ascii="Times" w:hAnsi="Times" w:cs="Calibri"/>
          <w:b/>
          <w:bCs/>
          <w:szCs w:val="24"/>
        </w:rPr>
        <w:t xml:space="preserve"> : essai de </w:t>
      </w:r>
      <w:r w:rsidR="00B12C15">
        <w:rPr>
          <w:rFonts w:ascii="Times" w:hAnsi="Times" w:cs="Calibri"/>
          <w:b/>
          <w:bCs/>
          <w:szCs w:val="24"/>
        </w:rPr>
        <w:t>contextualisation</w:t>
      </w:r>
    </w:p>
    <w:p w14:paraId="30B26C30" w14:textId="77777777" w:rsidR="00A90147" w:rsidRPr="00192114" w:rsidRDefault="00A90147" w:rsidP="009B3FC5">
      <w:pPr>
        <w:numPr>
          <w:ilvl w:val="0"/>
          <w:numId w:val="0"/>
        </w:numPr>
        <w:spacing w:line="240" w:lineRule="auto"/>
        <w:ind w:firstLine="284"/>
        <w:jc w:val="center"/>
        <w:rPr>
          <w:rFonts w:ascii="Times" w:hAnsi="Times" w:cs="Calibri"/>
          <w:b/>
          <w:bCs/>
          <w:szCs w:val="24"/>
        </w:rPr>
      </w:pPr>
    </w:p>
    <w:p w14:paraId="47ED3E5C" w14:textId="77777777" w:rsidR="00A90147" w:rsidRDefault="00F24062" w:rsidP="009B3FC5">
      <w:pPr>
        <w:numPr>
          <w:ilvl w:val="0"/>
          <w:numId w:val="0"/>
        </w:numPr>
        <w:spacing w:line="240" w:lineRule="auto"/>
        <w:ind w:firstLine="284"/>
        <w:jc w:val="center"/>
        <w:rPr>
          <w:rFonts w:ascii="Times" w:hAnsi="Times"/>
          <w:szCs w:val="24"/>
        </w:rPr>
      </w:pPr>
      <w:proofErr w:type="gramStart"/>
      <w:r>
        <w:rPr>
          <w:rFonts w:ascii="Times" w:hAnsi="Times"/>
          <w:szCs w:val="24"/>
        </w:rPr>
        <w:t>par</w:t>
      </w:r>
      <w:proofErr w:type="gramEnd"/>
    </w:p>
    <w:p w14:paraId="737E2FDA" w14:textId="77777777" w:rsidR="00F24062" w:rsidRPr="00F24062" w:rsidRDefault="00F24062" w:rsidP="009B3FC5">
      <w:pPr>
        <w:numPr>
          <w:ilvl w:val="0"/>
          <w:numId w:val="0"/>
        </w:numPr>
        <w:spacing w:line="240" w:lineRule="auto"/>
        <w:ind w:firstLine="284"/>
        <w:jc w:val="center"/>
        <w:rPr>
          <w:rFonts w:ascii="Times" w:hAnsi="Times"/>
          <w:szCs w:val="24"/>
        </w:rPr>
      </w:pPr>
    </w:p>
    <w:p w14:paraId="4AFEB5A1" w14:textId="77777777" w:rsidR="0079649C" w:rsidRDefault="0079649C" w:rsidP="009B3FC5">
      <w:pPr>
        <w:numPr>
          <w:ilvl w:val="0"/>
          <w:numId w:val="0"/>
        </w:numPr>
        <w:spacing w:line="240" w:lineRule="auto"/>
        <w:ind w:firstLine="284"/>
        <w:jc w:val="center"/>
        <w:rPr>
          <w:rFonts w:ascii="Times" w:hAnsi="Times"/>
          <w:smallCaps/>
          <w:szCs w:val="24"/>
        </w:rPr>
      </w:pPr>
      <w:r w:rsidRPr="00192114">
        <w:rPr>
          <w:rFonts w:ascii="Times" w:hAnsi="Times"/>
          <w:szCs w:val="24"/>
        </w:rPr>
        <w:t xml:space="preserve">Raphaël </w:t>
      </w:r>
      <w:r w:rsidR="00F24062">
        <w:rPr>
          <w:rFonts w:ascii="Times" w:hAnsi="Times"/>
          <w:smallCaps/>
          <w:szCs w:val="24"/>
        </w:rPr>
        <w:t>MAUREL</w:t>
      </w:r>
      <w:r w:rsidRPr="00192114">
        <w:rPr>
          <w:rStyle w:val="Appelnotedebasdep"/>
          <w:rFonts w:ascii="Times" w:hAnsi="Times"/>
          <w:szCs w:val="24"/>
        </w:rPr>
        <w:footnoteReference w:id="1"/>
      </w:r>
    </w:p>
    <w:p w14:paraId="288AD002" w14:textId="77777777" w:rsidR="00F24062" w:rsidRPr="00F24062" w:rsidRDefault="00F24062" w:rsidP="009B3FC5">
      <w:pPr>
        <w:numPr>
          <w:ilvl w:val="0"/>
          <w:numId w:val="0"/>
        </w:numPr>
        <w:spacing w:line="240" w:lineRule="auto"/>
        <w:rPr>
          <w:rFonts w:ascii="Times" w:hAnsi="Times"/>
          <w:i/>
          <w:iCs/>
          <w:szCs w:val="24"/>
        </w:rPr>
      </w:pPr>
    </w:p>
    <w:p w14:paraId="705AB37E" w14:textId="2C6EBEAF" w:rsidR="0079649C" w:rsidRDefault="0079649C" w:rsidP="009B3FC5">
      <w:pPr>
        <w:numPr>
          <w:ilvl w:val="0"/>
          <w:numId w:val="0"/>
        </w:numPr>
        <w:spacing w:line="240" w:lineRule="auto"/>
        <w:ind w:firstLine="284"/>
        <w:jc w:val="left"/>
        <w:rPr>
          <w:rFonts w:ascii="Times" w:hAnsi="Times"/>
          <w:szCs w:val="24"/>
        </w:rPr>
      </w:pPr>
    </w:p>
    <w:p w14:paraId="2C4A74E3" w14:textId="632278F6" w:rsidR="00F92223" w:rsidRPr="00EE4668" w:rsidRDefault="00F92223" w:rsidP="009B3FC5">
      <w:pPr>
        <w:numPr>
          <w:ilvl w:val="0"/>
          <w:numId w:val="0"/>
        </w:numPr>
        <w:spacing w:line="240" w:lineRule="auto"/>
        <w:rPr>
          <w:rFonts w:ascii="Times" w:hAnsi="Times"/>
          <w:szCs w:val="24"/>
        </w:rPr>
      </w:pPr>
      <w:r>
        <w:rPr>
          <w:rFonts w:ascii="Times" w:hAnsi="Times"/>
          <w:szCs w:val="24"/>
        </w:rPr>
        <w:t>Synthétiser deux denses journées de colloque est une gageure. Sans doute n</w:t>
      </w:r>
      <w:r w:rsidR="00A52ACC">
        <w:rPr>
          <w:rFonts w:ascii="Times" w:hAnsi="Times"/>
          <w:szCs w:val="24"/>
        </w:rPr>
        <w:t>’</w:t>
      </w:r>
      <w:r>
        <w:rPr>
          <w:rFonts w:ascii="Times" w:hAnsi="Times"/>
          <w:szCs w:val="24"/>
        </w:rPr>
        <w:t>est-il pas, dans cette situation, inutile de revenir aux fondamentaux du sujet qui a occupé les près de quarante intervenantes et intervenants au colloque de Dijon en décembre 2022</w:t>
      </w:r>
      <w:r w:rsidR="00EE4668">
        <w:rPr>
          <w:rFonts w:ascii="Times" w:hAnsi="Times"/>
          <w:szCs w:val="24"/>
        </w:rPr>
        <w:t>. Ce que recoupent exactement les « nouveaux regards » sur le « droit européen des investissements » ne coulait, à vrai dire, pas nécessairement de source. Pour autant, l</w:t>
      </w:r>
      <w:r w:rsidR="00A52ACC">
        <w:rPr>
          <w:rFonts w:ascii="Times" w:hAnsi="Times"/>
          <w:szCs w:val="24"/>
        </w:rPr>
        <w:t>’</w:t>
      </w:r>
      <w:r w:rsidR="00EE4668">
        <w:rPr>
          <w:rFonts w:ascii="Times" w:hAnsi="Times"/>
          <w:szCs w:val="24"/>
        </w:rPr>
        <w:t>intitulé de la rencontre a été peu commenté. La plupart des conférenciers s</w:t>
      </w:r>
      <w:r w:rsidR="00A52ACC">
        <w:rPr>
          <w:rFonts w:ascii="Times" w:hAnsi="Times"/>
          <w:szCs w:val="24"/>
        </w:rPr>
        <w:t>’</w:t>
      </w:r>
      <w:r w:rsidR="00EE4668">
        <w:rPr>
          <w:rFonts w:ascii="Times" w:hAnsi="Times"/>
          <w:szCs w:val="24"/>
        </w:rPr>
        <w:t xml:space="preserve">est, </w:t>
      </w:r>
      <w:r w:rsidR="00EE4668">
        <w:rPr>
          <w:rFonts w:ascii="Times" w:hAnsi="Times"/>
          <w:i/>
          <w:iCs/>
          <w:szCs w:val="24"/>
        </w:rPr>
        <w:t>a priori</w:t>
      </w:r>
      <w:r w:rsidR="00EE4668">
        <w:rPr>
          <w:rFonts w:ascii="Times" w:hAnsi="Times"/>
          <w:szCs w:val="24"/>
        </w:rPr>
        <w:t>, accordée</w:t>
      </w:r>
      <w:r w:rsidR="00EE4668">
        <w:rPr>
          <w:rFonts w:ascii="Times" w:hAnsi="Times"/>
          <w:i/>
          <w:iCs/>
          <w:szCs w:val="24"/>
        </w:rPr>
        <w:t xml:space="preserve"> </w:t>
      </w:r>
      <w:r w:rsidR="00EE4668">
        <w:rPr>
          <w:rFonts w:ascii="Times" w:hAnsi="Times"/>
          <w:szCs w:val="24"/>
        </w:rPr>
        <w:t>sur le fait que le « droit européen des investissements » n</w:t>
      </w:r>
      <w:r w:rsidR="00A52ACC">
        <w:rPr>
          <w:rFonts w:ascii="Times" w:hAnsi="Times"/>
          <w:szCs w:val="24"/>
        </w:rPr>
        <w:t>’</w:t>
      </w:r>
      <w:r w:rsidR="00EE4668">
        <w:rPr>
          <w:rFonts w:ascii="Times" w:hAnsi="Times"/>
          <w:szCs w:val="24"/>
        </w:rPr>
        <w:t>est ni une chimère juridique, ni une notion académique « à la mode », destinée principalement à l</w:t>
      </w:r>
      <w:r w:rsidR="00A52ACC">
        <w:rPr>
          <w:rFonts w:ascii="Times" w:hAnsi="Times"/>
          <w:szCs w:val="24"/>
        </w:rPr>
        <w:t>’</w:t>
      </w:r>
      <w:r w:rsidR="00EE4668">
        <w:rPr>
          <w:rFonts w:ascii="Times" w:hAnsi="Times"/>
          <w:szCs w:val="24"/>
        </w:rPr>
        <w:t>oubli et à la critique des futurs historiens du droit s</w:t>
      </w:r>
      <w:r w:rsidR="00A52ACC">
        <w:rPr>
          <w:rFonts w:ascii="Times" w:hAnsi="Times"/>
          <w:szCs w:val="24"/>
        </w:rPr>
        <w:t>’</w:t>
      </w:r>
      <w:r w:rsidR="00EE4668">
        <w:rPr>
          <w:rFonts w:ascii="Times" w:hAnsi="Times"/>
          <w:szCs w:val="24"/>
        </w:rPr>
        <w:t>intéressant à la doctrine d</w:t>
      </w:r>
      <w:r w:rsidR="00A52ACC">
        <w:rPr>
          <w:rFonts w:ascii="Times" w:hAnsi="Times"/>
          <w:szCs w:val="24"/>
        </w:rPr>
        <w:t>’</w:t>
      </w:r>
      <w:r w:rsidR="00EE4668">
        <w:rPr>
          <w:rFonts w:ascii="Times" w:hAnsi="Times"/>
          <w:szCs w:val="24"/>
        </w:rPr>
        <w:t>une époque. Quant aux « nouveaux regards », il faut concéder qu</w:t>
      </w:r>
      <w:r w:rsidR="00A52ACC">
        <w:rPr>
          <w:rFonts w:ascii="Times" w:hAnsi="Times"/>
          <w:szCs w:val="24"/>
        </w:rPr>
        <w:t>’</w:t>
      </w:r>
      <w:r w:rsidR="00EE4668">
        <w:rPr>
          <w:rFonts w:ascii="Times" w:hAnsi="Times"/>
          <w:szCs w:val="24"/>
        </w:rPr>
        <w:t>ils étaient nécessaires : trop rares sont les moments de discussions ouvertes entre internationalistes et européanistes – publicistes comme privatistes – sur ce sujet, alors que la dense actualité jurisprudentielle initiée par l</w:t>
      </w:r>
      <w:r w:rsidR="00A52ACC">
        <w:rPr>
          <w:rFonts w:ascii="Times" w:hAnsi="Times"/>
          <w:szCs w:val="24"/>
        </w:rPr>
        <w:t>’</w:t>
      </w:r>
      <w:r w:rsidR="00EE4668">
        <w:rPr>
          <w:rFonts w:ascii="Times" w:hAnsi="Times"/>
          <w:szCs w:val="24"/>
        </w:rPr>
        <w:t xml:space="preserve">arrêt </w:t>
      </w:r>
      <w:proofErr w:type="spellStart"/>
      <w:r w:rsidR="00EE4668">
        <w:rPr>
          <w:rFonts w:ascii="Times" w:hAnsi="Times"/>
          <w:i/>
          <w:iCs/>
          <w:szCs w:val="24"/>
        </w:rPr>
        <w:t>Achmea</w:t>
      </w:r>
      <w:proofErr w:type="spellEnd"/>
      <w:r w:rsidR="00561EF6">
        <w:rPr>
          <w:rStyle w:val="Appelnotedebasdep"/>
          <w:rFonts w:ascii="Times" w:hAnsi="Times"/>
          <w:i/>
          <w:iCs/>
          <w:szCs w:val="24"/>
        </w:rPr>
        <w:footnoteReference w:id="2"/>
      </w:r>
      <w:r w:rsidR="00EE4668">
        <w:rPr>
          <w:rFonts w:ascii="Times" w:hAnsi="Times"/>
          <w:szCs w:val="24"/>
        </w:rPr>
        <w:t xml:space="preserve"> appelait de riches échanges de vues.</w:t>
      </w:r>
    </w:p>
    <w:p w14:paraId="05660A85" w14:textId="77777777" w:rsidR="00F92223" w:rsidRDefault="00F92223" w:rsidP="009B3FC5">
      <w:pPr>
        <w:numPr>
          <w:ilvl w:val="0"/>
          <w:numId w:val="0"/>
        </w:numPr>
        <w:spacing w:line="240" w:lineRule="auto"/>
        <w:jc w:val="left"/>
        <w:rPr>
          <w:rFonts w:ascii="Times" w:hAnsi="Times"/>
          <w:szCs w:val="24"/>
        </w:rPr>
      </w:pPr>
    </w:p>
    <w:p w14:paraId="70112F63" w14:textId="373B63BB" w:rsidR="00853B0E" w:rsidRDefault="00F92223" w:rsidP="009B3FC5">
      <w:pPr>
        <w:numPr>
          <w:ilvl w:val="0"/>
          <w:numId w:val="0"/>
        </w:numPr>
        <w:spacing w:line="240" w:lineRule="auto"/>
        <w:rPr>
          <w:rFonts w:ascii="Times" w:hAnsi="Times"/>
          <w:szCs w:val="24"/>
        </w:rPr>
      </w:pPr>
      <w:r>
        <w:rPr>
          <w:rFonts w:ascii="Times" w:hAnsi="Times"/>
          <w:szCs w:val="24"/>
        </w:rPr>
        <w:t>Le fait que le droit de l</w:t>
      </w:r>
      <w:r w:rsidR="00A52ACC">
        <w:rPr>
          <w:rFonts w:ascii="Times" w:hAnsi="Times"/>
          <w:szCs w:val="24"/>
        </w:rPr>
        <w:t>’</w:t>
      </w:r>
      <w:r>
        <w:rPr>
          <w:rFonts w:ascii="Times" w:hAnsi="Times"/>
          <w:szCs w:val="24"/>
        </w:rPr>
        <w:t>Union européenne et les investissements entretiennent des liens n</w:t>
      </w:r>
      <w:r w:rsidR="00A52ACC">
        <w:rPr>
          <w:rFonts w:ascii="Times" w:hAnsi="Times"/>
          <w:szCs w:val="24"/>
        </w:rPr>
        <w:t>’</w:t>
      </w:r>
      <w:r>
        <w:rPr>
          <w:rFonts w:ascii="Times" w:hAnsi="Times"/>
          <w:szCs w:val="24"/>
        </w:rPr>
        <w:t>a jamais été contesté, tant au regard de la nature du projet européen que des règles qui ont directement ou indirectement vocation à affecter les investissements, qu</w:t>
      </w:r>
      <w:r w:rsidR="00A52ACC">
        <w:rPr>
          <w:rFonts w:ascii="Times" w:hAnsi="Times"/>
          <w:szCs w:val="24"/>
        </w:rPr>
        <w:t>’</w:t>
      </w:r>
      <w:r>
        <w:rPr>
          <w:rFonts w:ascii="Times" w:hAnsi="Times"/>
          <w:szCs w:val="24"/>
        </w:rPr>
        <w:t>ils soient réalisés de manière « intra-européenne », c</w:t>
      </w:r>
      <w:r w:rsidR="00A52ACC">
        <w:rPr>
          <w:rFonts w:ascii="Times" w:hAnsi="Times"/>
          <w:szCs w:val="24"/>
        </w:rPr>
        <w:t>’</w:t>
      </w:r>
      <w:r>
        <w:rPr>
          <w:rFonts w:ascii="Times" w:hAnsi="Times"/>
          <w:szCs w:val="24"/>
        </w:rPr>
        <w:t>est-à-dire par un investisseur d</w:t>
      </w:r>
      <w:r w:rsidR="00A52ACC">
        <w:rPr>
          <w:rFonts w:ascii="Times" w:hAnsi="Times"/>
          <w:szCs w:val="24"/>
        </w:rPr>
        <w:t>’</w:t>
      </w:r>
      <w:r>
        <w:rPr>
          <w:rFonts w:ascii="Times" w:hAnsi="Times"/>
          <w:szCs w:val="24"/>
        </w:rPr>
        <w:t>un État membre de l</w:t>
      </w:r>
      <w:r w:rsidR="00A52ACC">
        <w:rPr>
          <w:rFonts w:ascii="Times" w:hAnsi="Times"/>
          <w:szCs w:val="24"/>
        </w:rPr>
        <w:t>’</w:t>
      </w:r>
      <w:r>
        <w:rPr>
          <w:rFonts w:ascii="Times" w:hAnsi="Times"/>
          <w:szCs w:val="24"/>
        </w:rPr>
        <w:t>Union au sein d</w:t>
      </w:r>
      <w:r w:rsidR="00A52ACC">
        <w:rPr>
          <w:rFonts w:ascii="Times" w:hAnsi="Times"/>
          <w:szCs w:val="24"/>
        </w:rPr>
        <w:t>’</w:t>
      </w:r>
      <w:r>
        <w:rPr>
          <w:rFonts w:ascii="Times" w:hAnsi="Times"/>
          <w:szCs w:val="24"/>
        </w:rPr>
        <w:t>un autre État membre, ou externe, c</w:t>
      </w:r>
      <w:r w:rsidR="00A52ACC">
        <w:rPr>
          <w:rFonts w:ascii="Times" w:hAnsi="Times"/>
          <w:szCs w:val="24"/>
        </w:rPr>
        <w:t>’</w:t>
      </w:r>
      <w:r>
        <w:rPr>
          <w:rFonts w:ascii="Times" w:hAnsi="Times"/>
          <w:szCs w:val="24"/>
        </w:rPr>
        <w:t>est-à-dire par un investisseur ressortissant d</w:t>
      </w:r>
      <w:r w:rsidR="00A52ACC">
        <w:rPr>
          <w:rFonts w:ascii="Times" w:hAnsi="Times"/>
          <w:szCs w:val="24"/>
        </w:rPr>
        <w:t>’</w:t>
      </w:r>
      <w:r>
        <w:rPr>
          <w:rFonts w:ascii="Times" w:hAnsi="Times"/>
          <w:szCs w:val="24"/>
        </w:rPr>
        <w:t>un État non membre de l</w:t>
      </w:r>
      <w:r w:rsidR="00A52ACC">
        <w:rPr>
          <w:rFonts w:ascii="Times" w:hAnsi="Times"/>
          <w:szCs w:val="24"/>
        </w:rPr>
        <w:t>’</w:t>
      </w:r>
      <w:r>
        <w:rPr>
          <w:rFonts w:ascii="Times" w:hAnsi="Times"/>
          <w:szCs w:val="24"/>
        </w:rPr>
        <w:t>Union au sein d</w:t>
      </w:r>
      <w:r w:rsidR="00A52ACC">
        <w:rPr>
          <w:rFonts w:ascii="Times" w:hAnsi="Times"/>
          <w:szCs w:val="24"/>
        </w:rPr>
        <w:t>’</w:t>
      </w:r>
      <w:r>
        <w:rPr>
          <w:rFonts w:ascii="Times" w:hAnsi="Times"/>
          <w:szCs w:val="24"/>
        </w:rPr>
        <w:t>un État membre. Le cas des investissements externes ne présente que peu de spécificité</w:t>
      </w:r>
      <w:r w:rsidR="004E6B00">
        <w:rPr>
          <w:rFonts w:ascii="Times" w:hAnsi="Times"/>
          <w:szCs w:val="24"/>
        </w:rPr>
        <w:t>s, au regard du droit international de l</w:t>
      </w:r>
      <w:r w:rsidR="00A52ACC">
        <w:rPr>
          <w:rFonts w:ascii="Times" w:hAnsi="Times"/>
          <w:szCs w:val="24"/>
        </w:rPr>
        <w:t>’</w:t>
      </w:r>
      <w:r w:rsidR="004E6B00">
        <w:rPr>
          <w:rFonts w:ascii="Times" w:hAnsi="Times"/>
          <w:szCs w:val="24"/>
        </w:rPr>
        <w:t>investissement dit « classique ».</w:t>
      </w:r>
      <w:r w:rsidR="00561EF6">
        <w:rPr>
          <w:rFonts w:ascii="Times" w:hAnsi="Times"/>
          <w:szCs w:val="24"/>
        </w:rPr>
        <w:t xml:space="preserve"> Ce dernier, dont l</w:t>
      </w:r>
      <w:r w:rsidR="00A52ACC">
        <w:rPr>
          <w:rFonts w:ascii="Times" w:hAnsi="Times"/>
          <w:szCs w:val="24"/>
        </w:rPr>
        <w:t>’</w:t>
      </w:r>
      <w:r w:rsidR="00561EF6">
        <w:rPr>
          <w:rFonts w:ascii="Times" w:hAnsi="Times"/>
          <w:szCs w:val="24"/>
        </w:rPr>
        <w:t>émergence est finalement récente</w:t>
      </w:r>
      <w:r w:rsidR="00561EF6">
        <w:rPr>
          <w:rStyle w:val="Appelnotedebasdep"/>
          <w:rFonts w:ascii="Times" w:hAnsi="Times"/>
          <w:szCs w:val="24"/>
        </w:rPr>
        <w:footnoteReference w:id="3"/>
      </w:r>
      <w:r w:rsidR="00561EF6">
        <w:rPr>
          <w:rFonts w:ascii="Times" w:hAnsi="Times"/>
          <w:szCs w:val="24"/>
        </w:rPr>
        <w:t>, trouve ses sources à la fois dans les traités bilatéraux d</w:t>
      </w:r>
      <w:r w:rsidR="00A52ACC">
        <w:rPr>
          <w:rFonts w:ascii="Times" w:hAnsi="Times"/>
          <w:szCs w:val="24"/>
        </w:rPr>
        <w:t>’</w:t>
      </w:r>
      <w:r w:rsidR="00561EF6">
        <w:rPr>
          <w:rFonts w:ascii="Times" w:hAnsi="Times"/>
          <w:szCs w:val="24"/>
        </w:rPr>
        <w:t xml:space="preserve">investissements </w:t>
      </w:r>
      <w:r w:rsidR="00FC2A49">
        <w:rPr>
          <w:rFonts w:ascii="Times" w:hAnsi="Times"/>
          <w:szCs w:val="24"/>
        </w:rPr>
        <w:t xml:space="preserve">(TBI) </w:t>
      </w:r>
      <w:r w:rsidR="00561EF6">
        <w:rPr>
          <w:rFonts w:ascii="Times" w:hAnsi="Times"/>
          <w:szCs w:val="24"/>
        </w:rPr>
        <w:t>– dont la survie est précisément mise en cause par l</w:t>
      </w:r>
      <w:r w:rsidR="00A52ACC">
        <w:rPr>
          <w:rFonts w:ascii="Times" w:hAnsi="Times"/>
          <w:szCs w:val="24"/>
        </w:rPr>
        <w:t>’</w:t>
      </w:r>
      <w:r w:rsidR="00561EF6">
        <w:rPr>
          <w:rFonts w:ascii="Times" w:hAnsi="Times"/>
          <w:szCs w:val="24"/>
        </w:rPr>
        <w:t>interprétation du droit de l</w:t>
      </w:r>
      <w:r w:rsidR="00A52ACC">
        <w:rPr>
          <w:rFonts w:ascii="Times" w:hAnsi="Times"/>
          <w:szCs w:val="24"/>
        </w:rPr>
        <w:t>’</w:t>
      </w:r>
      <w:r w:rsidR="00561EF6">
        <w:rPr>
          <w:rFonts w:ascii="Times" w:hAnsi="Times"/>
          <w:szCs w:val="24"/>
        </w:rPr>
        <w:t>Union européenne imposée par la Cour de justice de l</w:t>
      </w:r>
      <w:r w:rsidR="00A52ACC">
        <w:rPr>
          <w:rFonts w:ascii="Times" w:hAnsi="Times"/>
          <w:szCs w:val="24"/>
        </w:rPr>
        <w:t>’</w:t>
      </w:r>
      <w:r w:rsidR="00561EF6">
        <w:rPr>
          <w:rFonts w:ascii="Times" w:hAnsi="Times"/>
          <w:szCs w:val="24"/>
        </w:rPr>
        <w:t xml:space="preserve">Union dans son arrêt </w:t>
      </w:r>
      <w:proofErr w:type="spellStart"/>
      <w:r w:rsidR="00561EF6">
        <w:rPr>
          <w:rFonts w:ascii="Times" w:hAnsi="Times"/>
          <w:i/>
          <w:iCs/>
          <w:szCs w:val="24"/>
        </w:rPr>
        <w:t>Achmea</w:t>
      </w:r>
      <w:proofErr w:type="spellEnd"/>
      <w:r w:rsidR="00AB40DC">
        <w:rPr>
          <w:rFonts w:ascii="Times" w:hAnsi="Times"/>
          <w:szCs w:val="24"/>
        </w:rPr>
        <w:t xml:space="preserve"> – et autres chapitres « investissements » d</w:t>
      </w:r>
      <w:r w:rsidR="00A52ACC">
        <w:rPr>
          <w:rFonts w:ascii="Times" w:hAnsi="Times"/>
          <w:szCs w:val="24"/>
        </w:rPr>
        <w:t>’</w:t>
      </w:r>
      <w:r w:rsidR="00AB40DC">
        <w:rPr>
          <w:rFonts w:ascii="Times" w:hAnsi="Times"/>
          <w:szCs w:val="24"/>
        </w:rPr>
        <w:t>accords multilatéraux, et dans le droit interne des États, qui demeurent libres d</w:t>
      </w:r>
      <w:r w:rsidR="00A52ACC">
        <w:rPr>
          <w:rFonts w:ascii="Times" w:hAnsi="Times"/>
          <w:szCs w:val="24"/>
        </w:rPr>
        <w:t>’</w:t>
      </w:r>
      <w:r w:rsidR="00AB40DC">
        <w:rPr>
          <w:rFonts w:ascii="Times" w:hAnsi="Times"/>
          <w:szCs w:val="24"/>
        </w:rPr>
        <w:t>utiliser leurs prérogatives souveraines pour encadrer l</w:t>
      </w:r>
      <w:r w:rsidR="00A52ACC">
        <w:rPr>
          <w:rFonts w:ascii="Times" w:hAnsi="Times"/>
          <w:szCs w:val="24"/>
        </w:rPr>
        <w:t>’</w:t>
      </w:r>
      <w:r w:rsidR="00AB40DC">
        <w:rPr>
          <w:rFonts w:ascii="Times" w:hAnsi="Times"/>
          <w:szCs w:val="24"/>
        </w:rPr>
        <w:t xml:space="preserve">accueil des investissements sur leurs territoires. La mise en commun </w:t>
      </w:r>
      <w:r w:rsidR="00FC2A49">
        <w:rPr>
          <w:rFonts w:ascii="Times" w:hAnsi="Times"/>
          <w:szCs w:val="24"/>
        </w:rPr>
        <w:t xml:space="preserve">évolutive </w:t>
      </w:r>
      <w:r w:rsidR="00AB40DC">
        <w:rPr>
          <w:rFonts w:ascii="Times" w:hAnsi="Times"/>
          <w:szCs w:val="24"/>
        </w:rPr>
        <w:t xml:space="preserve">de compétences </w:t>
      </w:r>
      <w:r w:rsidR="00FC2A49">
        <w:rPr>
          <w:rFonts w:ascii="Times" w:hAnsi="Times"/>
          <w:szCs w:val="24"/>
        </w:rPr>
        <w:t xml:space="preserve">économiques </w:t>
      </w:r>
      <w:r w:rsidR="00AB40DC">
        <w:rPr>
          <w:rFonts w:ascii="Times" w:hAnsi="Times"/>
          <w:szCs w:val="24"/>
        </w:rPr>
        <w:t>entre les États membres de l</w:t>
      </w:r>
      <w:r w:rsidR="00A52ACC">
        <w:rPr>
          <w:rFonts w:ascii="Times" w:hAnsi="Times"/>
          <w:szCs w:val="24"/>
        </w:rPr>
        <w:t>’</w:t>
      </w:r>
      <w:r w:rsidR="00AB40DC">
        <w:rPr>
          <w:rFonts w:ascii="Times" w:hAnsi="Times"/>
          <w:szCs w:val="24"/>
        </w:rPr>
        <w:t xml:space="preserve">Union ne pouvait, à cet égard, </w:t>
      </w:r>
      <w:r w:rsidR="00FC2A49">
        <w:rPr>
          <w:rFonts w:ascii="Times" w:hAnsi="Times"/>
          <w:szCs w:val="24"/>
        </w:rPr>
        <w:t>que finir par soulever</w:t>
      </w:r>
      <w:r w:rsidR="00AB40DC">
        <w:rPr>
          <w:rFonts w:ascii="Times" w:hAnsi="Times"/>
          <w:szCs w:val="24"/>
        </w:rPr>
        <w:t xml:space="preserve"> </w:t>
      </w:r>
      <w:r w:rsidR="00FC2A49">
        <w:rPr>
          <w:rFonts w:ascii="Times" w:hAnsi="Times"/>
          <w:szCs w:val="24"/>
        </w:rPr>
        <w:t>des questions d</w:t>
      </w:r>
      <w:r w:rsidR="00A52ACC">
        <w:rPr>
          <w:rFonts w:ascii="Times" w:hAnsi="Times"/>
          <w:szCs w:val="24"/>
        </w:rPr>
        <w:t>’</w:t>
      </w:r>
      <w:r w:rsidR="00FC2A49">
        <w:rPr>
          <w:rFonts w:ascii="Times" w:hAnsi="Times"/>
          <w:szCs w:val="24"/>
        </w:rPr>
        <w:t>articulation des règles relatives aux investissements, en particulier s</w:t>
      </w:r>
      <w:r w:rsidR="00A52ACC">
        <w:rPr>
          <w:rFonts w:ascii="Times" w:hAnsi="Times"/>
          <w:szCs w:val="24"/>
        </w:rPr>
        <w:t>’</w:t>
      </w:r>
      <w:r w:rsidR="00FC2A49">
        <w:rPr>
          <w:rFonts w:ascii="Times" w:hAnsi="Times"/>
          <w:szCs w:val="24"/>
        </w:rPr>
        <w:t>agissant de l</w:t>
      </w:r>
      <w:r w:rsidR="00A52ACC">
        <w:rPr>
          <w:rFonts w:ascii="Times" w:hAnsi="Times"/>
          <w:szCs w:val="24"/>
        </w:rPr>
        <w:t>’</w:t>
      </w:r>
      <w:r w:rsidR="00FC2A49">
        <w:rPr>
          <w:rFonts w:ascii="Times" w:hAnsi="Times"/>
          <w:szCs w:val="24"/>
        </w:rPr>
        <w:t>appréhension, par le droit de l</w:t>
      </w:r>
      <w:r w:rsidR="00A52ACC">
        <w:rPr>
          <w:rFonts w:ascii="Times" w:hAnsi="Times"/>
          <w:szCs w:val="24"/>
        </w:rPr>
        <w:t>’</w:t>
      </w:r>
      <w:r w:rsidR="00FC2A49">
        <w:rPr>
          <w:rFonts w:ascii="Times" w:hAnsi="Times"/>
          <w:szCs w:val="24"/>
        </w:rPr>
        <w:t>Union, des TBI conclus entre États membres et États non-membres. Dans la mesure où les questions qu</w:t>
      </w:r>
      <w:r w:rsidR="00A52ACC">
        <w:rPr>
          <w:rFonts w:ascii="Times" w:hAnsi="Times"/>
          <w:szCs w:val="24"/>
        </w:rPr>
        <w:t>’</w:t>
      </w:r>
      <w:r w:rsidR="00FC2A49">
        <w:rPr>
          <w:rFonts w:ascii="Times" w:hAnsi="Times"/>
          <w:szCs w:val="24"/>
        </w:rPr>
        <w:t>ils y traitent sont ne serait-ce que susceptibles d</w:t>
      </w:r>
      <w:r w:rsidR="00A52ACC">
        <w:rPr>
          <w:rFonts w:ascii="Times" w:hAnsi="Times"/>
          <w:szCs w:val="24"/>
        </w:rPr>
        <w:t>’</w:t>
      </w:r>
      <w:r w:rsidR="00FC2A49">
        <w:rPr>
          <w:rFonts w:ascii="Times" w:hAnsi="Times"/>
          <w:szCs w:val="24"/>
        </w:rPr>
        <w:t>impliquer l</w:t>
      </w:r>
      <w:r w:rsidR="00A52ACC">
        <w:rPr>
          <w:rFonts w:ascii="Times" w:hAnsi="Times"/>
          <w:szCs w:val="24"/>
        </w:rPr>
        <w:t>’</w:t>
      </w:r>
      <w:r w:rsidR="00FC2A49">
        <w:rPr>
          <w:rFonts w:ascii="Times" w:hAnsi="Times"/>
          <w:szCs w:val="24"/>
        </w:rPr>
        <w:t>application de règles de droit de l</w:t>
      </w:r>
      <w:r w:rsidR="00A52ACC">
        <w:rPr>
          <w:rFonts w:ascii="Times" w:hAnsi="Times"/>
          <w:szCs w:val="24"/>
        </w:rPr>
        <w:t>’</w:t>
      </w:r>
      <w:r w:rsidR="00FC2A49">
        <w:rPr>
          <w:rFonts w:ascii="Times" w:hAnsi="Times"/>
          <w:szCs w:val="24"/>
        </w:rPr>
        <w:t>Union, il était à prévoir que l</w:t>
      </w:r>
      <w:r w:rsidR="00A52ACC">
        <w:rPr>
          <w:rFonts w:ascii="Times" w:hAnsi="Times"/>
          <w:szCs w:val="24"/>
        </w:rPr>
        <w:t>’</w:t>
      </w:r>
      <w:r w:rsidR="00FC2A49">
        <w:rPr>
          <w:rFonts w:ascii="Times" w:hAnsi="Times"/>
          <w:szCs w:val="24"/>
        </w:rPr>
        <w:t>une des institutions de l</w:t>
      </w:r>
      <w:r w:rsidR="00A52ACC">
        <w:rPr>
          <w:rFonts w:ascii="Times" w:hAnsi="Times"/>
          <w:szCs w:val="24"/>
        </w:rPr>
        <w:t>’</w:t>
      </w:r>
      <w:r w:rsidR="00FC2A49">
        <w:rPr>
          <w:rFonts w:ascii="Times" w:hAnsi="Times"/>
          <w:szCs w:val="24"/>
        </w:rPr>
        <w:t>organisation internationale la plus intégrée au monde viendrait à s</w:t>
      </w:r>
      <w:r w:rsidR="00A52ACC">
        <w:rPr>
          <w:rFonts w:ascii="Times" w:hAnsi="Times"/>
          <w:szCs w:val="24"/>
        </w:rPr>
        <w:t>’</w:t>
      </w:r>
      <w:r w:rsidR="00FC2A49">
        <w:rPr>
          <w:rFonts w:ascii="Times" w:hAnsi="Times"/>
          <w:szCs w:val="24"/>
        </w:rPr>
        <w:t>y intéresser, voire prétendre assujettir un système arbitral contesté par une partie de la société civile à son propre ordre juridique</w:t>
      </w:r>
      <w:r w:rsidR="00784346">
        <w:rPr>
          <w:rStyle w:val="Appelnotedebasdep"/>
          <w:rFonts w:ascii="Times" w:hAnsi="Times"/>
          <w:szCs w:val="24"/>
        </w:rPr>
        <w:footnoteReference w:id="4"/>
      </w:r>
      <w:r w:rsidR="00FC2A49">
        <w:rPr>
          <w:rFonts w:ascii="Times" w:hAnsi="Times"/>
          <w:szCs w:val="24"/>
        </w:rPr>
        <w:t xml:space="preserve">. À partir de questionnements quant à </w:t>
      </w:r>
      <w:r w:rsidR="00FC2A49">
        <w:rPr>
          <w:rFonts w:ascii="Times" w:hAnsi="Times"/>
          <w:szCs w:val="24"/>
        </w:rPr>
        <w:lastRenderedPageBreak/>
        <w:t>l</w:t>
      </w:r>
      <w:r w:rsidR="00A52ACC">
        <w:rPr>
          <w:rFonts w:ascii="Times" w:hAnsi="Times"/>
          <w:szCs w:val="24"/>
        </w:rPr>
        <w:t>’</w:t>
      </w:r>
      <w:r w:rsidR="00FC2A49">
        <w:rPr>
          <w:rFonts w:ascii="Times" w:hAnsi="Times"/>
          <w:szCs w:val="24"/>
        </w:rPr>
        <w:t>appréhension d</w:t>
      </w:r>
      <w:r w:rsidR="00A52ACC">
        <w:rPr>
          <w:rFonts w:ascii="Times" w:hAnsi="Times"/>
          <w:szCs w:val="24"/>
        </w:rPr>
        <w:t>’</w:t>
      </w:r>
      <w:r w:rsidR="00FC2A49">
        <w:rPr>
          <w:rFonts w:ascii="Times" w:hAnsi="Times"/>
          <w:szCs w:val="24"/>
        </w:rPr>
        <w:t>une activité économique – les investissements – par le droit de l</w:t>
      </w:r>
      <w:r w:rsidR="00A52ACC">
        <w:rPr>
          <w:rFonts w:ascii="Times" w:hAnsi="Times"/>
          <w:szCs w:val="24"/>
        </w:rPr>
        <w:t>’</w:t>
      </w:r>
      <w:r w:rsidR="00FC2A49">
        <w:rPr>
          <w:rFonts w:ascii="Times" w:hAnsi="Times"/>
          <w:szCs w:val="24"/>
        </w:rPr>
        <w:t>Union, de nouveaux sujets sont nés</w:t>
      </w:r>
      <w:r w:rsidR="00784346">
        <w:rPr>
          <w:rStyle w:val="Appelnotedebasdep"/>
          <w:rFonts w:ascii="Times" w:hAnsi="Times"/>
          <w:szCs w:val="24"/>
        </w:rPr>
        <w:footnoteReference w:id="5"/>
      </w:r>
      <w:r w:rsidR="00FC2A49">
        <w:rPr>
          <w:rFonts w:ascii="Times" w:hAnsi="Times"/>
          <w:szCs w:val="24"/>
        </w:rPr>
        <w:t>, faisant</w:t>
      </w:r>
      <w:r w:rsidR="00D3703B">
        <w:rPr>
          <w:rFonts w:ascii="Times" w:hAnsi="Times"/>
          <w:szCs w:val="24"/>
        </w:rPr>
        <w:t xml:space="preserve"> peu à peu</w:t>
      </w:r>
      <w:r w:rsidR="00FC2A49">
        <w:rPr>
          <w:rFonts w:ascii="Times" w:hAnsi="Times"/>
          <w:szCs w:val="24"/>
        </w:rPr>
        <w:t xml:space="preserve"> poin</w:t>
      </w:r>
      <w:r w:rsidR="00784346">
        <w:rPr>
          <w:rFonts w:ascii="Times" w:hAnsi="Times"/>
          <w:szCs w:val="24"/>
        </w:rPr>
        <w:t>dre l</w:t>
      </w:r>
      <w:r w:rsidR="00A52ACC">
        <w:rPr>
          <w:rFonts w:ascii="Times" w:hAnsi="Times"/>
          <w:szCs w:val="24"/>
        </w:rPr>
        <w:t>’</w:t>
      </w:r>
      <w:r w:rsidR="00784346">
        <w:rPr>
          <w:rFonts w:ascii="Times" w:hAnsi="Times"/>
          <w:szCs w:val="24"/>
        </w:rPr>
        <w:t xml:space="preserve">idée </w:t>
      </w:r>
      <w:r w:rsidR="00D3703B">
        <w:rPr>
          <w:rFonts w:ascii="Times" w:hAnsi="Times"/>
          <w:szCs w:val="24"/>
        </w:rPr>
        <w:t>de l</w:t>
      </w:r>
      <w:r w:rsidR="00A52ACC">
        <w:rPr>
          <w:rFonts w:ascii="Times" w:hAnsi="Times"/>
          <w:szCs w:val="24"/>
        </w:rPr>
        <w:t>’</w:t>
      </w:r>
      <w:r w:rsidR="00D3703B">
        <w:rPr>
          <w:rFonts w:ascii="Times" w:hAnsi="Times"/>
          <w:szCs w:val="24"/>
        </w:rPr>
        <w:t>émergence d</w:t>
      </w:r>
      <w:r w:rsidR="00A52ACC">
        <w:rPr>
          <w:rFonts w:ascii="Times" w:hAnsi="Times"/>
          <w:szCs w:val="24"/>
        </w:rPr>
        <w:t>’</w:t>
      </w:r>
      <w:r w:rsidR="00D3703B">
        <w:rPr>
          <w:rFonts w:ascii="Times" w:hAnsi="Times"/>
          <w:szCs w:val="24"/>
        </w:rPr>
        <w:t>un ensemble normatif propre à l</w:t>
      </w:r>
      <w:r w:rsidR="00A52ACC">
        <w:rPr>
          <w:rFonts w:ascii="Times" w:hAnsi="Times"/>
          <w:szCs w:val="24"/>
        </w:rPr>
        <w:t>’</w:t>
      </w:r>
      <w:r w:rsidR="00D3703B">
        <w:rPr>
          <w:rFonts w:ascii="Times" w:hAnsi="Times"/>
          <w:szCs w:val="24"/>
        </w:rPr>
        <w:t>encadrement des investissements internationaux par l</w:t>
      </w:r>
      <w:r w:rsidR="00A52ACC">
        <w:rPr>
          <w:rFonts w:ascii="Times" w:hAnsi="Times"/>
          <w:szCs w:val="24"/>
        </w:rPr>
        <w:t>’</w:t>
      </w:r>
      <w:r w:rsidR="00D3703B">
        <w:rPr>
          <w:rFonts w:ascii="Times" w:hAnsi="Times"/>
          <w:szCs w:val="24"/>
        </w:rPr>
        <w:t>Union européenne.</w:t>
      </w:r>
    </w:p>
    <w:p w14:paraId="1CA60B9D" w14:textId="77777777" w:rsidR="00853B0E" w:rsidRDefault="00853B0E" w:rsidP="009B3FC5">
      <w:pPr>
        <w:numPr>
          <w:ilvl w:val="0"/>
          <w:numId w:val="0"/>
        </w:numPr>
        <w:spacing w:line="240" w:lineRule="auto"/>
        <w:rPr>
          <w:rFonts w:ascii="Times" w:hAnsi="Times"/>
          <w:szCs w:val="24"/>
        </w:rPr>
      </w:pPr>
    </w:p>
    <w:p w14:paraId="253FFBC7" w14:textId="081DB6A6" w:rsidR="00853B0E" w:rsidRDefault="00853B0E" w:rsidP="009B3FC5">
      <w:pPr>
        <w:numPr>
          <w:ilvl w:val="0"/>
          <w:numId w:val="0"/>
        </w:numPr>
        <w:spacing w:line="240" w:lineRule="auto"/>
        <w:rPr>
          <w:rFonts w:ascii="Times" w:hAnsi="Times"/>
          <w:szCs w:val="24"/>
        </w:rPr>
      </w:pPr>
      <w:r>
        <w:rPr>
          <w:rFonts w:ascii="Times" w:hAnsi="Times"/>
          <w:szCs w:val="24"/>
        </w:rPr>
        <w:t>Ce propos conclusif vise, sans prétention autre que celle de la synthèse à vocation essentiellement pédagogique, à tenter de présenter un tableau général de l</w:t>
      </w:r>
      <w:r w:rsidR="00A52ACC">
        <w:rPr>
          <w:rFonts w:ascii="Times" w:hAnsi="Times"/>
          <w:szCs w:val="24"/>
        </w:rPr>
        <w:t>’</w:t>
      </w:r>
      <w:r>
        <w:rPr>
          <w:rFonts w:ascii="Times" w:hAnsi="Times"/>
          <w:szCs w:val="24"/>
        </w:rPr>
        <w:t>objet « droit européen des investissements ». Au regard de ce qui précède, il est intéressant de le replacer dans les deux « foyers », ou « contextes » institutionnels, juridiques et politiques, dans lequel il s</w:t>
      </w:r>
      <w:r w:rsidR="00A52ACC">
        <w:rPr>
          <w:rFonts w:ascii="Times" w:hAnsi="Times"/>
          <w:szCs w:val="24"/>
        </w:rPr>
        <w:t>’</w:t>
      </w:r>
      <w:r>
        <w:rPr>
          <w:rFonts w:ascii="Times" w:hAnsi="Times"/>
          <w:szCs w:val="24"/>
        </w:rPr>
        <w:t>insère et devrait, n</w:t>
      </w:r>
      <w:r w:rsidR="00A52ACC">
        <w:rPr>
          <w:rFonts w:ascii="Times" w:hAnsi="Times"/>
          <w:szCs w:val="24"/>
        </w:rPr>
        <w:t>’</w:t>
      </w:r>
      <w:r>
        <w:rPr>
          <w:rFonts w:ascii="Times" w:hAnsi="Times"/>
          <w:szCs w:val="24"/>
        </w:rPr>
        <w:t>en déplaise à telle ou telle partie de la doctrine ou à tel juge, continuer à se développer : celui, d</w:t>
      </w:r>
      <w:r w:rsidR="00A52ACC">
        <w:rPr>
          <w:rFonts w:ascii="Times" w:hAnsi="Times"/>
          <w:szCs w:val="24"/>
        </w:rPr>
        <w:t>’</w:t>
      </w:r>
      <w:r>
        <w:rPr>
          <w:rFonts w:ascii="Times" w:hAnsi="Times"/>
          <w:szCs w:val="24"/>
        </w:rPr>
        <w:t>abord, du droit international des investissements dans lequel il puise sa raison d</w:t>
      </w:r>
      <w:r w:rsidR="00A52ACC">
        <w:rPr>
          <w:rFonts w:ascii="Times" w:hAnsi="Times"/>
          <w:szCs w:val="24"/>
        </w:rPr>
        <w:t>’</w:t>
      </w:r>
      <w:r>
        <w:rPr>
          <w:rFonts w:ascii="Times" w:hAnsi="Times"/>
          <w:szCs w:val="24"/>
        </w:rPr>
        <w:t>être (I), puis celui, d</w:t>
      </w:r>
      <w:r w:rsidR="00A52ACC">
        <w:rPr>
          <w:rFonts w:ascii="Times" w:hAnsi="Times"/>
          <w:szCs w:val="24"/>
        </w:rPr>
        <w:t>’</w:t>
      </w:r>
      <w:r>
        <w:rPr>
          <w:rFonts w:ascii="Times" w:hAnsi="Times"/>
          <w:szCs w:val="24"/>
        </w:rPr>
        <w:t>abord plus complexe – pour l</w:t>
      </w:r>
      <w:r w:rsidR="00A52ACC">
        <w:rPr>
          <w:rFonts w:ascii="Times" w:hAnsi="Times"/>
          <w:szCs w:val="24"/>
        </w:rPr>
        <w:t>’</w:t>
      </w:r>
      <w:r>
        <w:rPr>
          <w:rFonts w:ascii="Times" w:hAnsi="Times"/>
          <w:szCs w:val="24"/>
        </w:rPr>
        <w:t>internationaliste – et incertain, du droit de l</w:t>
      </w:r>
      <w:r w:rsidR="00A52ACC">
        <w:rPr>
          <w:rFonts w:ascii="Times" w:hAnsi="Times"/>
          <w:szCs w:val="24"/>
        </w:rPr>
        <w:t>’</w:t>
      </w:r>
      <w:r>
        <w:rPr>
          <w:rFonts w:ascii="Times" w:hAnsi="Times"/>
          <w:szCs w:val="24"/>
        </w:rPr>
        <w:t>Union européenne (II).</w:t>
      </w:r>
    </w:p>
    <w:p w14:paraId="36FB36F9" w14:textId="77777777" w:rsidR="00710B1B" w:rsidRDefault="00710B1B" w:rsidP="009B3FC5">
      <w:pPr>
        <w:numPr>
          <w:ilvl w:val="0"/>
          <w:numId w:val="0"/>
        </w:numPr>
        <w:spacing w:line="240" w:lineRule="auto"/>
        <w:jc w:val="left"/>
        <w:rPr>
          <w:rFonts w:ascii="Times" w:hAnsi="Times"/>
          <w:szCs w:val="24"/>
        </w:rPr>
      </w:pPr>
    </w:p>
    <w:p w14:paraId="596CAB81" w14:textId="702695BF" w:rsidR="00710B1B" w:rsidRPr="00853B0E" w:rsidRDefault="00853B0E" w:rsidP="009B3FC5">
      <w:pPr>
        <w:numPr>
          <w:ilvl w:val="0"/>
          <w:numId w:val="0"/>
        </w:numPr>
        <w:spacing w:line="240" w:lineRule="auto"/>
        <w:rPr>
          <w:rFonts w:ascii="Times" w:hAnsi="Times"/>
          <w:b/>
          <w:bCs/>
          <w:szCs w:val="24"/>
        </w:rPr>
      </w:pPr>
      <w:r w:rsidRPr="00853B0E">
        <w:rPr>
          <w:rFonts w:ascii="Times" w:hAnsi="Times"/>
          <w:b/>
          <w:bCs/>
          <w:szCs w:val="24"/>
        </w:rPr>
        <w:t>I</w:t>
      </w:r>
      <w:r w:rsidR="00B37EB5">
        <w:rPr>
          <w:rFonts w:ascii="Times" w:hAnsi="Times"/>
          <w:b/>
          <w:bCs/>
          <w:szCs w:val="24"/>
        </w:rPr>
        <w:t xml:space="preserve"> –</w:t>
      </w:r>
      <w:r w:rsidRPr="00853B0E">
        <w:rPr>
          <w:rFonts w:ascii="Times" w:hAnsi="Times"/>
          <w:b/>
          <w:bCs/>
          <w:szCs w:val="24"/>
        </w:rPr>
        <w:t xml:space="preserve"> </w:t>
      </w:r>
      <w:r w:rsidR="00B37EB5">
        <w:rPr>
          <w:rFonts w:ascii="Times" w:hAnsi="Times"/>
          <w:b/>
          <w:bCs/>
          <w:szCs w:val="24"/>
        </w:rPr>
        <w:t>R</w:t>
      </w:r>
      <w:r w:rsidRPr="00853B0E">
        <w:rPr>
          <w:rFonts w:ascii="Times" w:hAnsi="Times"/>
          <w:b/>
          <w:bCs/>
          <w:szCs w:val="24"/>
        </w:rPr>
        <w:t>EPLACER LE DROIT EUROP</w:t>
      </w:r>
      <w:r>
        <w:rPr>
          <w:rFonts w:ascii="Times" w:hAnsi="Times"/>
          <w:b/>
          <w:bCs/>
          <w:szCs w:val="24"/>
        </w:rPr>
        <w:t>É</w:t>
      </w:r>
      <w:r w:rsidRPr="00853B0E">
        <w:rPr>
          <w:rFonts w:ascii="Times" w:hAnsi="Times"/>
          <w:b/>
          <w:bCs/>
          <w:szCs w:val="24"/>
        </w:rPr>
        <w:t xml:space="preserve">EN DES INVESTISSEMENTS DANS LE CONTEXTE DU DROIT </w:t>
      </w:r>
      <w:r>
        <w:rPr>
          <w:rFonts w:ascii="Times" w:hAnsi="Times"/>
          <w:b/>
          <w:bCs/>
          <w:szCs w:val="24"/>
        </w:rPr>
        <w:t xml:space="preserve">INTERNATINOAL </w:t>
      </w:r>
      <w:r w:rsidRPr="00853B0E">
        <w:rPr>
          <w:rFonts w:ascii="Times" w:hAnsi="Times"/>
          <w:b/>
          <w:bCs/>
          <w:szCs w:val="24"/>
        </w:rPr>
        <w:t>DES INVESTISSEMENTS</w:t>
      </w:r>
    </w:p>
    <w:p w14:paraId="64A53BB3" w14:textId="77777777" w:rsidR="00710B1B" w:rsidRDefault="00710B1B" w:rsidP="009B3FC5">
      <w:pPr>
        <w:numPr>
          <w:ilvl w:val="0"/>
          <w:numId w:val="0"/>
        </w:numPr>
        <w:spacing w:line="240" w:lineRule="auto"/>
        <w:jc w:val="left"/>
        <w:rPr>
          <w:rFonts w:ascii="Times" w:hAnsi="Times"/>
          <w:szCs w:val="24"/>
        </w:rPr>
      </w:pPr>
    </w:p>
    <w:p w14:paraId="6E62597A" w14:textId="3390B03A" w:rsidR="00C64E62" w:rsidRPr="00B37EB5" w:rsidRDefault="00C64E62" w:rsidP="009B3FC5">
      <w:pPr>
        <w:numPr>
          <w:ilvl w:val="0"/>
          <w:numId w:val="0"/>
        </w:numPr>
        <w:spacing w:line="240" w:lineRule="auto"/>
        <w:rPr>
          <w:rFonts w:ascii="Times" w:hAnsi="Times"/>
          <w:szCs w:val="24"/>
        </w:rPr>
      </w:pPr>
      <w:r>
        <w:rPr>
          <w:rFonts w:ascii="Times" w:hAnsi="Times"/>
          <w:szCs w:val="24"/>
        </w:rPr>
        <w:t>L</w:t>
      </w:r>
      <w:r w:rsidR="00A52ACC">
        <w:rPr>
          <w:rFonts w:ascii="Times" w:hAnsi="Times"/>
          <w:szCs w:val="24"/>
        </w:rPr>
        <w:t>’</w:t>
      </w:r>
      <w:r>
        <w:rPr>
          <w:rFonts w:ascii="Times" w:hAnsi="Times"/>
          <w:szCs w:val="24"/>
        </w:rPr>
        <w:t>émergence d</w:t>
      </w:r>
      <w:r w:rsidR="00A52ACC">
        <w:rPr>
          <w:rFonts w:ascii="Times" w:hAnsi="Times"/>
          <w:szCs w:val="24"/>
        </w:rPr>
        <w:t>’</w:t>
      </w:r>
      <w:r w:rsidR="00710AC3">
        <w:rPr>
          <w:rFonts w:ascii="Times" w:hAnsi="Times"/>
          <w:szCs w:val="24"/>
        </w:rPr>
        <w:t xml:space="preserve">un </w:t>
      </w:r>
      <w:r>
        <w:rPr>
          <w:rFonts w:ascii="Times" w:hAnsi="Times"/>
          <w:szCs w:val="24"/>
        </w:rPr>
        <w:t>droit européen de l</w:t>
      </w:r>
      <w:r w:rsidR="00A52ACC">
        <w:rPr>
          <w:rFonts w:ascii="Times" w:hAnsi="Times"/>
          <w:szCs w:val="24"/>
        </w:rPr>
        <w:t>’</w:t>
      </w:r>
      <w:r>
        <w:rPr>
          <w:rFonts w:ascii="Times" w:hAnsi="Times"/>
          <w:szCs w:val="24"/>
        </w:rPr>
        <w:t>investissement n</w:t>
      </w:r>
      <w:r w:rsidR="00A52ACC">
        <w:rPr>
          <w:rFonts w:ascii="Times" w:hAnsi="Times"/>
          <w:szCs w:val="24"/>
        </w:rPr>
        <w:t>’</w:t>
      </w:r>
      <w:r>
        <w:rPr>
          <w:rFonts w:ascii="Times" w:hAnsi="Times"/>
          <w:szCs w:val="24"/>
        </w:rPr>
        <w:t>est pas exclusivement lié</w:t>
      </w:r>
      <w:r w:rsidR="00710AC3">
        <w:rPr>
          <w:rFonts w:ascii="Times" w:hAnsi="Times"/>
          <w:szCs w:val="24"/>
        </w:rPr>
        <w:t>e</w:t>
      </w:r>
      <w:r>
        <w:rPr>
          <w:rFonts w:ascii="Times" w:hAnsi="Times"/>
          <w:szCs w:val="24"/>
        </w:rPr>
        <w:t xml:space="preserve"> à </w:t>
      </w:r>
      <w:r w:rsidR="00B37EB5">
        <w:rPr>
          <w:rFonts w:ascii="Times" w:hAnsi="Times"/>
          <w:szCs w:val="24"/>
        </w:rPr>
        <w:t>l</w:t>
      </w:r>
      <w:r w:rsidR="00A52ACC">
        <w:rPr>
          <w:rFonts w:ascii="Times" w:hAnsi="Times"/>
          <w:szCs w:val="24"/>
        </w:rPr>
        <w:t>’</w:t>
      </w:r>
      <w:r w:rsidR="00B37EB5">
        <w:rPr>
          <w:rFonts w:ascii="Times" w:hAnsi="Times"/>
          <w:szCs w:val="24"/>
        </w:rPr>
        <w:t xml:space="preserve">adoption </w:t>
      </w:r>
      <w:r>
        <w:rPr>
          <w:rFonts w:ascii="Times" w:hAnsi="Times"/>
          <w:szCs w:val="24"/>
        </w:rPr>
        <w:t>d</w:t>
      </w:r>
      <w:r w:rsidR="00A52ACC">
        <w:rPr>
          <w:rFonts w:ascii="Times" w:hAnsi="Times"/>
          <w:szCs w:val="24"/>
        </w:rPr>
        <w:t>’</w:t>
      </w:r>
      <w:r>
        <w:rPr>
          <w:rFonts w:ascii="Times" w:hAnsi="Times"/>
          <w:szCs w:val="24"/>
        </w:rPr>
        <w:t>un corpus normatif régional destiné à encadrer les activités économiques</w:t>
      </w:r>
      <w:r w:rsidR="00B37EB5">
        <w:rPr>
          <w:rFonts w:ascii="Times" w:hAnsi="Times"/>
          <w:szCs w:val="24"/>
        </w:rPr>
        <w:t xml:space="preserve"> intra-européennes</w:t>
      </w:r>
      <w:r>
        <w:rPr>
          <w:rFonts w:ascii="Times" w:hAnsi="Times"/>
          <w:szCs w:val="24"/>
        </w:rPr>
        <w:t>.</w:t>
      </w:r>
      <w:r w:rsidR="00710AC3">
        <w:rPr>
          <w:rFonts w:ascii="Times" w:hAnsi="Times"/>
          <w:szCs w:val="24"/>
        </w:rPr>
        <w:t xml:space="preserve"> Ce dernier existe depuis les années 1950, même si son développement s</w:t>
      </w:r>
      <w:r w:rsidR="00A52ACC">
        <w:rPr>
          <w:rFonts w:ascii="Times" w:hAnsi="Times"/>
          <w:szCs w:val="24"/>
        </w:rPr>
        <w:t>’</w:t>
      </w:r>
      <w:r w:rsidR="00710AC3">
        <w:rPr>
          <w:rFonts w:ascii="Times" w:hAnsi="Times"/>
          <w:szCs w:val="24"/>
        </w:rPr>
        <w:t xml:space="preserve">est </w:t>
      </w:r>
      <w:r w:rsidR="00B37EB5">
        <w:rPr>
          <w:rFonts w:ascii="Times" w:hAnsi="Times"/>
          <w:szCs w:val="24"/>
        </w:rPr>
        <w:t xml:space="preserve">évidemment </w:t>
      </w:r>
      <w:r w:rsidR="00710AC3">
        <w:rPr>
          <w:rFonts w:ascii="Times" w:hAnsi="Times"/>
          <w:szCs w:val="24"/>
        </w:rPr>
        <w:t>accéléré ces dernières décennies. Le fait est que même après Lisbonne, c</w:t>
      </w:r>
      <w:r w:rsidR="00A52ACC">
        <w:rPr>
          <w:rFonts w:ascii="Times" w:hAnsi="Times"/>
          <w:szCs w:val="24"/>
        </w:rPr>
        <w:t>’</w:t>
      </w:r>
      <w:r w:rsidR="00710AC3">
        <w:rPr>
          <w:rFonts w:ascii="Times" w:hAnsi="Times"/>
          <w:szCs w:val="24"/>
        </w:rPr>
        <w:t>est-à-dire au début des années 2010, l</w:t>
      </w:r>
      <w:r w:rsidR="00A52ACC">
        <w:rPr>
          <w:rFonts w:ascii="Times" w:hAnsi="Times"/>
          <w:szCs w:val="24"/>
        </w:rPr>
        <w:t>’</w:t>
      </w:r>
      <w:r w:rsidR="00710AC3">
        <w:rPr>
          <w:rFonts w:ascii="Times" w:hAnsi="Times"/>
          <w:szCs w:val="24"/>
        </w:rPr>
        <w:t>hypothèse d</w:t>
      </w:r>
      <w:r w:rsidR="00A52ACC">
        <w:rPr>
          <w:rFonts w:ascii="Times" w:hAnsi="Times"/>
          <w:szCs w:val="24"/>
        </w:rPr>
        <w:t>’</w:t>
      </w:r>
      <w:r w:rsidR="00710AC3">
        <w:rPr>
          <w:rFonts w:ascii="Times" w:hAnsi="Times"/>
          <w:szCs w:val="24"/>
        </w:rPr>
        <w:t xml:space="preserve">un droit européen des investissements </w:t>
      </w:r>
      <w:r w:rsidR="008F79FA">
        <w:rPr>
          <w:rFonts w:ascii="Times" w:hAnsi="Times"/>
          <w:szCs w:val="24"/>
        </w:rPr>
        <w:t>propre</w:t>
      </w:r>
      <w:r w:rsidR="00710AC3">
        <w:rPr>
          <w:rFonts w:ascii="Times" w:hAnsi="Times"/>
          <w:szCs w:val="24"/>
        </w:rPr>
        <w:t xml:space="preserve"> n</w:t>
      </w:r>
      <w:r w:rsidR="00A52ACC">
        <w:rPr>
          <w:rFonts w:ascii="Times" w:hAnsi="Times"/>
          <w:szCs w:val="24"/>
        </w:rPr>
        <w:t>’</w:t>
      </w:r>
      <w:r w:rsidR="00710AC3">
        <w:rPr>
          <w:rFonts w:ascii="Times" w:hAnsi="Times"/>
          <w:szCs w:val="24"/>
        </w:rPr>
        <w:t>était pas</w:t>
      </w:r>
      <w:r w:rsidR="00B37EB5">
        <w:rPr>
          <w:rFonts w:ascii="Times" w:hAnsi="Times"/>
          <w:szCs w:val="24"/>
        </w:rPr>
        <w:t xml:space="preserve"> particulièrement</w:t>
      </w:r>
      <w:r w:rsidR="008F79FA">
        <w:rPr>
          <w:rFonts w:ascii="Times" w:hAnsi="Times"/>
          <w:szCs w:val="24"/>
        </w:rPr>
        <w:t xml:space="preserve"> évoquée</w:t>
      </w:r>
      <w:r w:rsidR="00B37EB5">
        <w:rPr>
          <w:rFonts w:ascii="Times" w:hAnsi="Times"/>
          <w:szCs w:val="24"/>
        </w:rPr>
        <w:t> ; c</w:t>
      </w:r>
      <w:r w:rsidR="00A52ACC">
        <w:rPr>
          <w:rFonts w:ascii="Times" w:hAnsi="Times"/>
          <w:szCs w:val="24"/>
        </w:rPr>
        <w:t>’</w:t>
      </w:r>
      <w:r w:rsidR="00B37EB5">
        <w:rPr>
          <w:rFonts w:ascii="Times" w:hAnsi="Times"/>
          <w:szCs w:val="24"/>
        </w:rPr>
        <w:t>est l</w:t>
      </w:r>
      <w:r w:rsidR="00A52ACC">
        <w:rPr>
          <w:rFonts w:ascii="Times" w:hAnsi="Times"/>
          <w:szCs w:val="24"/>
        </w:rPr>
        <w:t>’</w:t>
      </w:r>
      <w:r w:rsidR="00B37EB5">
        <w:rPr>
          <w:rFonts w:ascii="Times" w:hAnsi="Times"/>
          <w:szCs w:val="24"/>
        </w:rPr>
        <w:t xml:space="preserve">arrêt </w:t>
      </w:r>
      <w:proofErr w:type="spellStart"/>
      <w:r w:rsidR="00B37EB5">
        <w:rPr>
          <w:rFonts w:ascii="Times" w:hAnsi="Times"/>
          <w:i/>
          <w:iCs/>
          <w:szCs w:val="24"/>
        </w:rPr>
        <w:t>Achmea</w:t>
      </w:r>
      <w:proofErr w:type="spellEnd"/>
      <w:r w:rsidR="00B37EB5">
        <w:rPr>
          <w:rFonts w:ascii="Times" w:hAnsi="Times"/>
          <w:szCs w:val="24"/>
        </w:rPr>
        <w:t>, par la rupture majeure qu</w:t>
      </w:r>
      <w:r w:rsidR="00A52ACC">
        <w:rPr>
          <w:rFonts w:ascii="Times" w:hAnsi="Times"/>
          <w:szCs w:val="24"/>
        </w:rPr>
        <w:t>’</w:t>
      </w:r>
      <w:r w:rsidR="00B37EB5">
        <w:rPr>
          <w:rFonts w:ascii="Times" w:hAnsi="Times"/>
          <w:szCs w:val="24"/>
        </w:rPr>
        <w:t>il opère avec la logique du droit des investissements tel qu</w:t>
      </w:r>
      <w:r w:rsidR="00A52ACC">
        <w:rPr>
          <w:rFonts w:ascii="Times" w:hAnsi="Times"/>
          <w:szCs w:val="24"/>
        </w:rPr>
        <w:t>’</w:t>
      </w:r>
      <w:r w:rsidR="00B37EB5">
        <w:rPr>
          <w:rFonts w:ascii="Times" w:hAnsi="Times"/>
          <w:szCs w:val="24"/>
        </w:rPr>
        <w:t>il était conçu jusqu</w:t>
      </w:r>
      <w:r w:rsidR="00A52ACC">
        <w:rPr>
          <w:rFonts w:ascii="Times" w:hAnsi="Times"/>
          <w:szCs w:val="24"/>
        </w:rPr>
        <w:t>’</w:t>
      </w:r>
      <w:r w:rsidR="00B37EB5">
        <w:rPr>
          <w:rFonts w:ascii="Times" w:hAnsi="Times"/>
          <w:szCs w:val="24"/>
        </w:rPr>
        <w:t>alors, qui marque à notre sens le tournant européen de ce droit. Sans revenir sur les très nombreux commentaires de cet arrêt majeur, on peut retracer les grandes lignes qui ont rendu acceptable et certainement possible, du point de vue du droit international des investissements, une telle révolution. Parmi elles, on peut relever le besoin de légitimation de l</w:t>
      </w:r>
      <w:r w:rsidR="00A52ACC">
        <w:rPr>
          <w:rFonts w:ascii="Times" w:hAnsi="Times"/>
          <w:szCs w:val="24"/>
        </w:rPr>
        <w:t>’</w:t>
      </w:r>
      <w:r w:rsidR="00B37EB5">
        <w:rPr>
          <w:rFonts w:ascii="Times" w:hAnsi="Times"/>
          <w:szCs w:val="24"/>
        </w:rPr>
        <w:t>arbitrage d</w:t>
      </w:r>
      <w:r w:rsidR="00A52ACC">
        <w:rPr>
          <w:rFonts w:ascii="Times" w:hAnsi="Times"/>
          <w:szCs w:val="24"/>
        </w:rPr>
        <w:t>’</w:t>
      </w:r>
      <w:r w:rsidR="00B37EB5">
        <w:rPr>
          <w:rFonts w:ascii="Times" w:hAnsi="Times"/>
          <w:szCs w:val="24"/>
        </w:rPr>
        <w:t>investissements (A) et la dynamique internationale de régionalisation (B).</w:t>
      </w:r>
    </w:p>
    <w:p w14:paraId="4526F15D" w14:textId="499799E4" w:rsidR="00C64E62" w:rsidRDefault="00C64E62" w:rsidP="009B3FC5">
      <w:pPr>
        <w:numPr>
          <w:ilvl w:val="0"/>
          <w:numId w:val="0"/>
        </w:numPr>
        <w:spacing w:line="240" w:lineRule="auto"/>
        <w:jc w:val="left"/>
        <w:rPr>
          <w:rFonts w:ascii="Times" w:hAnsi="Times"/>
          <w:szCs w:val="24"/>
        </w:rPr>
      </w:pPr>
    </w:p>
    <w:p w14:paraId="4824C78B" w14:textId="346DC869" w:rsidR="00710B1B" w:rsidRPr="00B37EB5" w:rsidRDefault="00B37EB5" w:rsidP="009B3FC5">
      <w:pPr>
        <w:numPr>
          <w:ilvl w:val="0"/>
          <w:numId w:val="0"/>
        </w:numPr>
        <w:spacing w:line="240" w:lineRule="auto"/>
        <w:rPr>
          <w:rFonts w:ascii="Times" w:hAnsi="Times"/>
          <w:b/>
          <w:bCs/>
          <w:szCs w:val="24"/>
        </w:rPr>
      </w:pPr>
      <w:r w:rsidRPr="00B37EB5">
        <w:rPr>
          <w:rFonts w:ascii="Times" w:hAnsi="Times"/>
          <w:b/>
          <w:bCs/>
          <w:szCs w:val="24"/>
        </w:rPr>
        <w:t xml:space="preserve">A – UN BESOIN SOCIAL DE </w:t>
      </w:r>
      <w:r w:rsidR="0058026D">
        <w:rPr>
          <w:rFonts w:ascii="Times" w:hAnsi="Times"/>
          <w:b/>
          <w:bCs/>
          <w:szCs w:val="24"/>
        </w:rPr>
        <w:t>« </w:t>
      </w:r>
      <w:r w:rsidRPr="00B37EB5">
        <w:rPr>
          <w:rFonts w:ascii="Times" w:hAnsi="Times"/>
          <w:b/>
          <w:bCs/>
          <w:szCs w:val="24"/>
        </w:rPr>
        <w:t>PUBLICISATION</w:t>
      </w:r>
      <w:r w:rsidR="0058026D">
        <w:rPr>
          <w:rFonts w:ascii="Times" w:hAnsi="Times"/>
          <w:b/>
          <w:bCs/>
          <w:szCs w:val="24"/>
        </w:rPr>
        <w:t> »</w:t>
      </w:r>
      <w:r w:rsidRPr="00B37EB5">
        <w:rPr>
          <w:rFonts w:ascii="Times" w:hAnsi="Times"/>
          <w:b/>
          <w:bCs/>
          <w:szCs w:val="24"/>
        </w:rPr>
        <w:t xml:space="preserve"> DU CONTENTIEUX DES INVESTISSEMENTS</w:t>
      </w:r>
    </w:p>
    <w:p w14:paraId="43F8359D" w14:textId="77777777" w:rsidR="00710B1B" w:rsidRDefault="00710B1B" w:rsidP="009B3FC5">
      <w:pPr>
        <w:numPr>
          <w:ilvl w:val="0"/>
          <w:numId w:val="0"/>
        </w:numPr>
        <w:spacing w:line="240" w:lineRule="auto"/>
        <w:jc w:val="left"/>
        <w:rPr>
          <w:rFonts w:ascii="Times" w:hAnsi="Times"/>
          <w:szCs w:val="24"/>
        </w:rPr>
      </w:pPr>
    </w:p>
    <w:p w14:paraId="0A92B412" w14:textId="632B62C6" w:rsidR="00137D78" w:rsidRDefault="00137D78" w:rsidP="009B3FC5">
      <w:pPr>
        <w:numPr>
          <w:ilvl w:val="0"/>
          <w:numId w:val="0"/>
        </w:numPr>
        <w:spacing w:line="240" w:lineRule="auto"/>
        <w:rPr>
          <w:rFonts w:ascii="Times" w:hAnsi="Times"/>
          <w:szCs w:val="24"/>
        </w:rPr>
      </w:pPr>
      <w:r>
        <w:rPr>
          <w:rFonts w:ascii="Times" w:hAnsi="Times"/>
          <w:szCs w:val="24"/>
        </w:rPr>
        <w:t>Beaucoup a été écrit sur les raisons qui conduisent une grande partie de la doctrine critique à rejeter tout ou partie du système de règlement des différends relatifs aux investissements – autrement dit, l</w:t>
      </w:r>
      <w:r w:rsidR="00A52ACC">
        <w:rPr>
          <w:rFonts w:ascii="Times" w:hAnsi="Times"/>
          <w:szCs w:val="24"/>
        </w:rPr>
        <w:t>’</w:t>
      </w:r>
      <w:r>
        <w:rPr>
          <w:rFonts w:ascii="Times" w:hAnsi="Times"/>
          <w:szCs w:val="24"/>
        </w:rPr>
        <w:t>arbitrage d</w:t>
      </w:r>
      <w:r w:rsidR="00A52ACC">
        <w:rPr>
          <w:rFonts w:ascii="Times" w:hAnsi="Times"/>
          <w:szCs w:val="24"/>
        </w:rPr>
        <w:t>’</w:t>
      </w:r>
      <w:r>
        <w:rPr>
          <w:rFonts w:ascii="Times" w:hAnsi="Times"/>
          <w:szCs w:val="24"/>
        </w:rPr>
        <w:t>investissement</w:t>
      </w:r>
      <w:r w:rsidR="00B37EB5">
        <w:rPr>
          <w:rStyle w:val="Appelnotedebasdep"/>
          <w:rFonts w:ascii="Times" w:hAnsi="Times"/>
          <w:szCs w:val="24"/>
        </w:rPr>
        <w:footnoteReference w:id="6"/>
      </w:r>
      <w:r>
        <w:rPr>
          <w:rFonts w:ascii="Times" w:hAnsi="Times"/>
          <w:szCs w:val="24"/>
        </w:rPr>
        <w:t>.</w:t>
      </w:r>
      <w:r w:rsidR="000009C5">
        <w:rPr>
          <w:rFonts w:ascii="Times" w:hAnsi="Times"/>
          <w:szCs w:val="24"/>
        </w:rPr>
        <w:t xml:space="preserve"> On peut dès lors se borner à rappeler quelques éléments généraux</w:t>
      </w:r>
      <w:r w:rsidR="0085211E">
        <w:rPr>
          <w:rFonts w:ascii="Times" w:hAnsi="Times"/>
          <w:szCs w:val="24"/>
        </w:rPr>
        <w:t>.</w:t>
      </w:r>
    </w:p>
    <w:p w14:paraId="2C9069E7" w14:textId="77777777" w:rsidR="000009C5" w:rsidRDefault="000009C5" w:rsidP="009B3FC5">
      <w:pPr>
        <w:numPr>
          <w:ilvl w:val="0"/>
          <w:numId w:val="0"/>
        </w:numPr>
        <w:spacing w:line="240" w:lineRule="auto"/>
        <w:rPr>
          <w:rFonts w:ascii="Times" w:hAnsi="Times"/>
          <w:szCs w:val="24"/>
        </w:rPr>
      </w:pPr>
    </w:p>
    <w:p w14:paraId="7505BDAB" w14:textId="73DBE34A" w:rsidR="000009C5" w:rsidRDefault="000009C5" w:rsidP="009B3FC5">
      <w:pPr>
        <w:numPr>
          <w:ilvl w:val="0"/>
          <w:numId w:val="0"/>
        </w:numPr>
        <w:spacing w:line="240" w:lineRule="auto"/>
        <w:rPr>
          <w:rFonts w:ascii="Times" w:hAnsi="Times"/>
          <w:szCs w:val="24"/>
        </w:rPr>
      </w:pPr>
      <w:r>
        <w:rPr>
          <w:rFonts w:ascii="Times" w:hAnsi="Times"/>
          <w:szCs w:val="24"/>
        </w:rPr>
        <w:t>L</w:t>
      </w:r>
      <w:r w:rsidR="00A52ACC">
        <w:rPr>
          <w:rFonts w:ascii="Times" w:hAnsi="Times"/>
          <w:szCs w:val="24"/>
        </w:rPr>
        <w:t>’</w:t>
      </w:r>
      <w:r>
        <w:rPr>
          <w:rFonts w:ascii="Times" w:hAnsi="Times"/>
          <w:szCs w:val="24"/>
        </w:rPr>
        <w:t>arbitrage d</w:t>
      </w:r>
      <w:r w:rsidR="00A52ACC">
        <w:rPr>
          <w:rFonts w:ascii="Times" w:hAnsi="Times"/>
          <w:szCs w:val="24"/>
        </w:rPr>
        <w:t>’</w:t>
      </w:r>
      <w:r>
        <w:rPr>
          <w:rFonts w:ascii="Times" w:hAnsi="Times"/>
          <w:szCs w:val="24"/>
        </w:rPr>
        <w:t>investissements repose, structurellement, sur l</w:t>
      </w:r>
      <w:r w:rsidR="00A52ACC">
        <w:rPr>
          <w:rFonts w:ascii="Times" w:hAnsi="Times"/>
          <w:szCs w:val="24"/>
        </w:rPr>
        <w:t>’</w:t>
      </w:r>
      <w:r>
        <w:rPr>
          <w:rFonts w:ascii="Times" w:hAnsi="Times"/>
          <w:szCs w:val="24"/>
        </w:rPr>
        <w:t>idée certainement datée selon laquelle l</w:t>
      </w:r>
      <w:r w:rsidR="00A52ACC">
        <w:rPr>
          <w:rFonts w:ascii="Times" w:hAnsi="Times"/>
          <w:szCs w:val="24"/>
        </w:rPr>
        <w:t>’</w:t>
      </w:r>
      <w:r>
        <w:rPr>
          <w:rFonts w:ascii="Times" w:hAnsi="Times"/>
          <w:szCs w:val="24"/>
        </w:rPr>
        <w:t>investisseur est l</w:t>
      </w:r>
      <w:r w:rsidR="00A52ACC">
        <w:rPr>
          <w:rFonts w:ascii="Times" w:hAnsi="Times"/>
          <w:szCs w:val="24"/>
        </w:rPr>
        <w:t>’</w:t>
      </w:r>
      <w:r>
        <w:rPr>
          <w:rFonts w:ascii="Times" w:hAnsi="Times"/>
          <w:szCs w:val="24"/>
        </w:rPr>
        <w:t>être faible et l</w:t>
      </w:r>
      <w:r w:rsidR="00A52ACC">
        <w:rPr>
          <w:rFonts w:ascii="Times" w:hAnsi="Times"/>
          <w:szCs w:val="24"/>
        </w:rPr>
        <w:t>’</w:t>
      </w:r>
      <w:r>
        <w:rPr>
          <w:rFonts w:ascii="Times" w:hAnsi="Times"/>
          <w:szCs w:val="24"/>
        </w:rPr>
        <w:t>État, souverain, l</w:t>
      </w:r>
      <w:r w:rsidR="00A52ACC">
        <w:rPr>
          <w:rFonts w:ascii="Times" w:hAnsi="Times"/>
          <w:szCs w:val="24"/>
        </w:rPr>
        <w:t>’</w:t>
      </w:r>
      <w:r>
        <w:rPr>
          <w:rFonts w:ascii="Times" w:hAnsi="Times"/>
          <w:szCs w:val="24"/>
        </w:rPr>
        <w:t>être fort. Or, contrairement au droit administratif français qui postule historiquement qu</w:t>
      </w:r>
      <w:r w:rsidR="00A52ACC">
        <w:rPr>
          <w:rFonts w:ascii="Times" w:hAnsi="Times"/>
          <w:szCs w:val="24"/>
        </w:rPr>
        <w:t>’</w:t>
      </w:r>
      <w:r>
        <w:rPr>
          <w:rFonts w:ascii="Times" w:hAnsi="Times"/>
          <w:szCs w:val="24"/>
        </w:rPr>
        <w:t>au regard de l</w:t>
      </w:r>
      <w:r w:rsidR="00A52ACC">
        <w:rPr>
          <w:rFonts w:ascii="Times" w:hAnsi="Times"/>
          <w:szCs w:val="24"/>
        </w:rPr>
        <w:t>’</w:t>
      </w:r>
      <w:r>
        <w:rPr>
          <w:rFonts w:ascii="Times" w:hAnsi="Times"/>
          <w:szCs w:val="24"/>
        </w:rPr>
        <w:t>intérêt général qui prédomine et guide l</w:t>
      </w:r>
      <w:r w:rsidR="00A52ACC">
        <w:rPr>
          <w:rFonts w:ascii="Times" w:hAnsi="Times"/>
          <w:szCs w:val="24"/>
        </w:rPr>
        <w:t>’</w:t>
      </w:r>
      <w:r>
        <w:rPr>
          <w:rFonts w:ascii="Times" w:hAnsi="Times"/>
          <w:szCs w:val="24"/>
        </w:rPr>
        <w:t>action public, un juge spécifique globalement protecteur de l</w:t>
      </w:r>
      <w:r w:rsidR="00A52ACC">
        <w:rPr>
          <w:rFonts w:ascii="Times" w:hAnsi="Times"/>
          <w:szCs w:val="24"/>
        </w:rPr>
        <w:t>’</w:t>
      </w:r>
      <w:r>
        <w:rPr>
          <w:rFonts w:ascii="Times" w:hAnsi="Times"/>
          <w:szCs w:val="24"/>
        </w:rPr>
        <w:t>Administration doit seul juger de ses actes, le système de règlement des différends relatifs aux investissements a été pensé pour effacer la différence, de poids, entre la personne privée et la personne publique. La justice étatique étant soupçonnée de partialité envers l</w:t>
      </w:r>
      <w:r w:rsidR="00A52ACC">
        <w:rPr>
          <w:rFonts w:ascii="Times" w:hAnsi="Times"/>
          <w:szCs w:val="24"/>
        </w:rPr>
        <w:t>’</w:t>
      </w:r>
      <w:r>
        <w:rPr>
          <w:rFonts w:ascii="Times" w:hAnsi="Times"/>
          <w:szCs w:val="24"/>
        </w:rPr>
        <w:t>État, il s</w:t>
      </w:r>
      <w:r w:rsidR="00A52ACC">
        <w:rPr>
          <w:rFonts w:ascii="Times" w:hAnsi="Times"/>
          <w:szCs w:val="24"/>
        </w:rPr>
        <w:t>’</w:t>
      </w:r>
      <w:r>
        <w:rPr>
          <w:rFonts w:ascii="Times" w:hAnsi="Times"/>
          <w:szCs w:val="24"/>
        </w:rPr>
        <w:t>est agi d</w:t>
      </w:r>
      <w:r w:rsidR="00A52ACC">
        <w:rPr>
          <w:rFonts w:ascii="Times" w:hAnsi="Times"/>
          <w:szCs w:val="24"/>
        </w:rPr>
        <w:t>’</w:t>
      </w:r>
      <w:r>
        <w:rPr>
          <w:rFonts w:ascii="Times" w:hAnsi="Times"/>
          <w:szCs w:val="24"/>
        </w:rPr>
        <w:t xml:space="preserve">inventer des mécanismes permettant, le temps de la résolution du litige, une égalité – et une </w:t>
      </w:r>
      <w:r>
        <w:rPr>
          <w:rFonts w:ascii="Times" w:hAnsi="Times"/>
          <w:szCs w:val="24"/>
        </w:rPr>
        <w:lastRenderedPageBreak/>
        <w:t>apparence d</w:t>
      </w:r>
      <w:r w:rsidR="00A52ACC">
        <w:rPr>
          <w:rFonts w:ascii="Times" w:hAnsi="Times"/>
          <w:szCs w:val="24"/>
        </w:rPr>
        <w:t>’</w:t>
      </w:r>
      <w:r>
        <w:rPr>
          <w:rFonts w:ascii="Times" w:hAnsi="Times"/>
          <w:szCs w:val="24"/>
        </w:rPr>
        <w:t>égalité – des parties. L</w:t>
      </w:r>
      <w:r w:rsidR="00A52ACC">
        <w:rPr>
          <w:rFonts w:ascii="Times" w:hAnsi="Times"/>
          <w:szCs w:val="24"/>
        </w:rPr>
        <w:t>’</w:t>
      </w:r>
      <w:r>
        <w:rPr>
          <w:rFonts w:ascii="Times" w:hAnsi="Times"/>
          <w:szCs w:val="24"/>
        </w:rPr>
        <w:t>invention fut relative : l</w:t>
      </w:r>
      <w:r w:rsidR="00A52ACC">
        <w:rPr>
          <w:rFonts w:ascii="Times" w:hAnsi="Times"/>
          <w:szCs w:val="24"/>
        </w:rPr>
        <w:t>’</w:t>
      </w:r>
      <w:r>
        <w:rPr>
          <w:rFonts w:ascii="Times" w:hAnsi="Times"/>
          <w:szCs w:val="24"/>
        </w:rPr>
        <w:t>arbitrage commercial, existant depuis pour ainsi dire toujours, a pu fournir un support solide à l</w:t>
      </w:r>
      <w:r w:rsidR="00A52ACC">
        <w:rPr>
          <w:rFonts w:ascii="Times" w:hAnsi="Times"/>
          <w:szCs w:val="24"/>
        </w:rPr>
        <w:t>’</w:t>
      </w:r>
      <w:r>
        <w:rPr>
          <w:rFonts w:ascii="Times" w:hAnsi="Times"/>
          <w:szCs w:val="24"/>
        </w:rPr>
        <w:t>élaboration du contentieux des investissements, de sorte que l</w:t>
      </w:r>
      <w:r w:rsidR="00A52ACC">
        <w:rPr>
          <w:rFonts w:ascii="Times" w:hAnsi="Times"/>
          <w:szCs w:val="24"/>
        </w:rPr>
        <w:t>’</w:t>
      </w:r>
      <w:r>
        <w:rPr>
          <w:rFonts w:ascii="Times" w:hAnsi="Times"/>
          <w:szCs w:val="24"/>
        </w:rPr>
        <w:t>arbitrage d</w:t>
      </w:r>
      <w:r w:rsidR="00A52ACC">
        <w:rPr>
          <w:rFonts w:ascii="Times" w:hAnsi="Times"/>
          <w:szCs w:val="24"/>
        </w:rPr>
        <w:t>’</w:t>
      </w:r>
      <w:r>
        <w:rPr>
          <w:rFonts w:ascii="Times" w:hAnsi="Times"/>
          <w:szCs w:val="24"/>
        </w:rPr>
        <w:t>investissements est devenu le seul cas</w:t>
      </w:r>
      <w:r>
        <w:rPr>
          <w:rStyle w:val="Appelnotedebasdep"/>
          <w:rFonts w:ascii="Times" w:hAnsi="Times"/>
          <w:szCs w:val="24"/>
        </w:rPr>
        <w:footnoteReference w:id="7"/>
      </w:r>
      <w:r>
        <w:rPr>
          <w:rFonts w:ascii="Times" w:hAnsi="Times"/>
          <w:szCs w:val="24"/>
        </w:rPr>
        <w:t xml:space="preserve"> dans lequel une personne privée peut, sans épuiser les voies de recours internes ni même saisir une juridiction nationale, </w:t>
      </w:r>
      <w:r w:rsidR="007229E4">
        <w:rPr>
          <w:rFonts w:ascii="Times" w:hAnsi="Times"/>
          <w:szCs w:val="24"/>
        </w:rPr>
        <w:t>porter</w:t>
      </w:r>
      <w:r>
        <w:rPr>
          <w:rFonts w:ascii="Times" w:hAnsi="Times"/>
          <w:szCs w:val="24"/>
        </w:rPr>
        <w:t xml:space="preserve"> </w:t>
      </w:r>
      <w:r w:rsidR="007229E4">
        <w:rPr>
          <w:rFonts w:ascii="Times" w:hAnsi="Times"/>
          <w:szCs w:val="24"/>
        </w:rPr>
        <w:t xml:space="preserve">et faire </w:t>
      </w:r>
      <w:r>
        <w:rPr>
          <w:rFonts w:ascii="Times" w:hAnsi="Times"/>
          <w:szCs w:val="24"/>
        </w:rPr>
        <w:t>trancher un litige</w:t>
      </w:r>
      <w:r w:rsidR="007229E4">
        <w:rPr>
          <w:rFonts w:ascii="Times" w:hAnsi="Times"/>
          <w:szCs w:val="24"/>
        </w:rPr>
        <w:t xml:space="preserve"> impliquant un État</w:t>
      </w:r>
      <w:r w:rsidR="00B41789">
        <w:rPr>
          <w:rFonts w:ascii="Times" w:hAnsi="Times"/>
          <w:szCs w:val="24"/>
        </w:rPr>
        <w:t xml:space="preserve"> autre que le sien</w:t>
      </w:r>
      <w:r>
        <w:rPr>
          <w:rFonts w:ascii="Times" w:hAnsi="Times"/>
          <w:szCs w:val="24"/>
        </w:rPr>
        <w:t xml:space="preserve"> par une autorité contentieuse internationale.</w:t>
      </w:r>
    </w:p>
    <w:p w14:paraId="67358F59" w14:textId="77777777" w:rsidR="00EA2806" w:rsidRDefault="00EA2806" w:rsidP="009B3FC5">
      <w:pPr>
        <w:numPr>
          <w:ilvl w:val="0"/>
          <w:numId w:val="0"/>
        </w:numPr>
        <w:spacing w:line="240" w:lineRule="auto"/>
        <w:jc w:val="left"/>
        <w:rPr>
          <w:rFonts w:ascii="Times" w:hAnsi="Times"/>
          <w:szCs w:val="24"/>
        </w:rPr>
      </w:pPr>
    </w:p>
    <w:p w14:paraId="090CB5BD" w14:textId="7E859022" w:rsidR="00710B1B" w:rsidRDefault="00B41789" w:rsidP="009B3FC5">
      <w:pPr>
        <w:numPr>
          <w:ilvl w:val="0"/>
          <w:numId w:val="0"/>
        </w:numPr>
        <w:spacing w:line="240" w:lineRule="auto"/>
        <w:rPr>
          <w:rFonts w:ascii="Times" w:hAnsi="Times"/>
          <w:szCs w:val="24"/>
        </w:rPr>
      </w:pPr>
      <w:r>
        <w:rPr>
          <w:rFonts w:ascii="Times" w:hAnsi="Times"/>
          <w:szCs w:val="24"/>
        </w:rPr>
        <w:t>Cet héritage historique peut, voire doit, être interrogé. Peu à peu, a émergé l</w:t>
      </w:r>
      <w:r w:rsidR="00A52ACC">
        <w:rPr>
          <w:rFonts w:ascii="Times" w:hAnsi="Times"/>
          <w:szCs w:val="24"/>
        </w:rPr>
        <w:t>’</w:t>
      </w:r>
      <w:r>
        <w:rPr>
          <w:rFonts w:ascii="Times" w:hAnsi="Times"/>
          <w:szCs w:val="24"/>
        </w:rPr>
        <w:t>idée selon laquelle les tribunaux d</w:t>
      </w:r>
      <w:r w:rsidR="00A52ACC">
        <w:rPr>
          <w:rFonts w:ascii="Times" w:hAnsi="Times"/>
          <w:szCs w:val="24"/>
        </w:rPr>
        <w:t>’</w:t>
      </w:r>
      <w:r>
        <w:rPr>
          <w:rFonts w:ascii="Times" w:hAnsi="Times"/>
          <w:szCs w:val="24"/>
        </w:rPr>
        <w:t>investissements, par nature privés, seraient globalement « pro investisseurs », ce que peuvent confirmer les chiffres s</w:t>
      </w:r>
      <w:r w:rsidR="00A52ACC">
        <w:rPr>
          <w:rFonts w:ascii="Times" w:hAnsi="Times"/>
          <w:szCs w:val="24"/>
        </w:rPr>
        <w:t>’</w:t>
      </w:r>
      <w:r>
        <w:rPr>
          <w:rFonts w:ascii="Times" w:hAnsi="Times"/>
          <w:szCs w:val="24"/>
        </w:rPr>
        <w:t>ils sont correctement interprétés – malgré un débat qui fait rage</w:t>
      </w:r>
      <w:r>
        <w:rPr>
          <w:rStyle w:val="Appelnotedebasdep"/>
          <w:rFonts w:ascii="Times" w:hAnsi="Times"/>
          <w:szCs w:val="24"/>
        </w:rPr>
        <w:footnoteReference w:id="8"/>
      </w:r>
      <w:r>
        <w:rPr>
          <w:rFonts w:ascii="Times" w:hAnsi="Times"/>
          <w:szCs w:val="24"/>
        </w:rPr>
        <w:t>. La composition des tribunaux arbitraux interroge également, les critiques dénonçant le portrait-robot de l</w:t>
      </w:r>
      <w:r w:rsidR="00A52ACC">
        <w:rPr>
          <w:rFonts w:ascii="Times" w:hAnsi="Times"/>
          <w:szCs w:val="24"/>
        </w:rPr>
        <w:t>’</w:t>
      </w:r>
      <w:r>
        <w:rPr>
          <w:rFonts w:ascii="Times" w:hAnsi="Times"/>
          <w:szCs w:val="24"/>
        </w:rPr>
        <w:t>arbitre d</w:t>
      </w:r>
      <w:r w:rsidR="00A52ACC">
        <w:rPr>
          <w:rFonts w:ascii="Times" w:hAnsi="Times"/>
          <w:szCs w:val="24"/>
        </w:rPr>
        <w:t>’</w:t>
      </w:r>
      <w:r>
        <w:rPr>
          <w:rFonts w:ascii="Times" w:hAnsi="Times"/>
          <w:szCs w:val="24"/>
        </w:rPr>
        <w:t>investissements comme étant majoritairement celui d</w:t>
      </w:r>
      <w:r w:rsidR="00A52ACC">
        <w:rPr>
          <w:rFonts w:ascii="Times" w:hAnsi="Times"/>
          <w:szCs w:val="24"/>
        </w:rPr>
        <w:t>’</w:t>
      </w:r>
      <w:r>
        <w:rPr>
          <w:rFonts w:ascii="Times" w:hAnsi="Times"/>
          <w:szCs w:val="24"/>
        </w:rPr>
        <w:t>un homme blanc, occidental, de plus de soixante ans. Le statut des arbitres, lui aussi, questionne</w:t>
      </w:r>
      <w:r>
        <w:rPr>
          <w:rStyle w:val="Appelnotedebasdep"/>
          <w:rFonts w:ascii="Times" w:hAnsi="Times"/>
          <w:szCs w:val="24"/>
        </w:rPr>
        <w:footnoteReference w:id="9"/>
      </w:r>
      <w:r w:rsidR="00BD1FB3">
        <w:rPr>
          <w:rFonts w:ascii="Times" w:hAnsi="Times"/>
          <w:szCs w:val="24"/>
        </w:rPr>
        <w:t> ; la société civile, alertée par les débats entourant l</w:t>
      </w:r>
      <w:r w:rsidR="00A52ACC">
        <w:rPr>
          <w:rFonts w:ascii="Times" w:hAnsi="Times"/>
          <w:szCs w:val="24"/>
        </w:rPr>
        <w:t>’</w:t>
      </w:r>
      <w:r w:rsidR="00BD1FB3">
        <w:rPr>
          <w:rFonts w:ascii="Times" w:hAnsi="Times"/>
          <w:szCs w:val="24"/>
        </w:rPr>
        <w:t>adoption du CETA/AECG</w:t>
      </w:r>
      <w:r w:rsidR="0099035A">
        <w:rPr>
          <w:rStyle w:val="Appelnotedebasdep"/>
          <w:rFonts w:ascii="Times" w:hAnsi="Times"/>
          <w:szCs w:val="24"/>
        </w:rPr>
        <w:footnoteReference w:id="10"/>
      </w:r>
      <w:r w:rsidR="00BD1FB3">
        <w:rPr>
          <w:rFonts w:ascii="Times" w:hAnsi="Times"/>
          <w:szCs w:val="24"/>
        </w:rPr>
        <w:t>, s</w:t>
      </w:r>
      <w:r w:rsidR="00A52ACC">
        <w:rPr>
          <w:rFonts w:ascii="Times" w:hAnsi="Times"/>
          <w:szCs w:val="24"/>
        </w:rPr>
        <w:t>’</w:t>
      </w:r>
      <w:r w:rsidR="00BD1FB3">
        <w:rPr>
          <w:rFonts w:ascii="Times" w:hAnsi="Times"/>
          <w:szCs w:val="24"/>
        </w:rPr>
        <w:t>est d</w:t>
      </w:r>
      <w:r w:rsidR="00A52ACC">
        <w:rPr>
          <w:rFonts w:ascii="Times" w:hAnsi="Times"/>
          <w:szCs w:val="24"/>
        </w:rPr>
        <w:t>’</w:t>
      </w:r>
      <w:r w:rsidR="00BD1FB3">
        <w:rPr>
          <w:rFonts w:ascii="Times" w:hAnsi="Times"/>
          <w:szCs w:val="24"/>
        </w:rPr>
        <w:t xml:space="preserve">ailleurs saisie de cet enjeu. Comme le rappelle Florian </w:t>
      </w:r>
      <w:proofErr w:type="spellStart"/>
      <w:r w:rsidR="00BD1FB3">
        <w:rPr>
          <w:rFonts w:ascii="Times" w:hAnsi="Times"/>
          <w:szCs w:val="24"/>
        </w:rPr>
        <w:t>Couveinhes</w:t>
      </w:r>
      <w:proofErr w:type="spellEnd"/>
      <w:r w:rsidR="00BD1FB3">
        <w:rPr>
          <w:rFonts w:ascii="Times" w:hAnsi="Times"/>
          <w:szCs w:val="24"/>
        </w:rPr>
        <w:t>-Matsumoto, c</w:t>
      </w:r>
      <w:r w:rsidR="00A52ACC">
        <w:rPr>
          <w:rFonts w:ascii="Times" w:hAnsi="Times"/>
          <w:szCs w:val="24"/>
        </w:rPr>
        <w:t>’</w:t>
      </w:r>
      <w:r w:rsidR="00BD1FB3">
        <w:rPr>
          <w:rFonts w:ascii="Times" w:hAnsi="Times"/>
          <w:szCs w:val="24"/>
        </w:rPr>
        <w:t>est « </w:t>
      </w:r>
      <w:r w:rsidR="00BD1FB3" w:rsidRPr="00BD1FB3">
        <w:rPr>
          <w:rFonts w:ascii="Times" w:hAnsi="Times"/>
          <w:szCs w:val="24"/>
        </w:rPr>
        <w:t>la puissance du rejet populaire, associatif, syndical</w:t>
      </w:r>
      <w:r w:rsidR="00BD1FB3">
        <w:rPr>
          <w:rFonts w:ascii="Times" w:hAnsi="Times"/>
          <w:szCs w:val="24"/>
        </w:rPr>
        <w:t xml:space="preserve"> </w:t>
      </w:r>
      <w:r w:rsidR="00BD1FB3" w:rsidRPr="00BD1FB3">
        <w:rPr>
          <w:rFonts w:ascii="Times" w:hAnsi="Times"/>
          <w:szCs w:val="24"/>
        </w:rPr>
        <w:t>et dans une certaine mesure parlementaire du principe même de tribunaux</w:t>
      </w:r>
      <w:r w:rsidR="00BD1FB3">
        <w:rPr>
          <w:rFonts w:ascii="Times" w:hAnsi="Times"/>
          <w:szCs w:val="24"/>
        </w:rPr>
        <w:t xml:space="preserve"> </w:t>
      </w:r>
      <w:r w:rsidR="00BD1FB3" w:rsidRPr="00BD1FB3">
        <w:rPr>
          <w:rFonts w:ascii="Times" w:hAnsi="Times"/>
          <w:szCs w:val="24"/>
        </w:rPr>
        <w:t>spéciaux d</w:t>
      </w:r>
      <w:r w:rsidR="00A52ACC">
        <w:rPr>
          <w:rFonts w:ascii="Times" w:hAnsi="Times"/>
          <w:szCs w:val="24"/>
        </w:rPr>
        <w:t>’</w:t>
      </w:r>
      <w:r w:rsidR="00BD1FB3" w:rsidRPr="00BD1FB3">
        <w:rPr>
          <w:rFonts w:ascii="Times" w:hAnsi="Times"/>
          <w:szCs w:val="24"/>
        </w:rPr>
        <w:t>investissements qui a mené le triangle institutionnel de l</w:t>
      </w:r>
      <w:r w:rsidR="00A52ACC">
        <w:rPr>
          <w:rFonts w:ascii="Times" w:hAnsi="Times"/>
          <w:szCs w:val="24"/>
        </w:rPr>
        <w:t>’</w:t>
      </w:r>
      <w:r w:rsidR="00BD1FB3" w:rsidRPr="00BD1FB3">
        <w:rPr>
          <w:rFonts w:ascii="Times" w:hAnsi="Times"/>
          <w:szCs w:val="24"/>
        </w:rPr>
        <w:t>UE et les</w:t>
      </w:r>
      <w:r w:rsidR="00BD1FB3">
        <w:rPr>
          <w:rFonts w:ascii="Times" w:hAnsi="Times"/>
          <w:szCs w:val="24"/>
        </w:rPr>
        <w:t xml:space="preserve"> </w:t>
      </w:r>
      <w:r w:rsidR="00BD1FB3" w:rsidRPr="00BD1FB3">
        <w:rPr>
          <w:rFonts w:ascii="Times" w:hAnsi="Times"/>
          <w:szCs w:val="24"/>
        </w:rPr>
        <w:t>gouvernements des États membres à faire leur une certaine critique de l</w:t>
      </w:r>
      <w:r w:rsidR="00A52ACC">
        <w:rPr>
          <w:rFonts w:ascii="Times" w:hAnsi="Times"/>
          <w:szCs w:val="24"/>
        </w:rPr>
        <w:t>’</w:t>
      </w:r>
      <w:r w:rsidR="00BD1FB3" w:rsidRPr="00BD1FB3">
        <w:rPr>
          <w:rFonts w:ascii="Times" w:hAnsi="Times"/>
          <w:szCs w:val="24"/>
        </w:rPr>
        <w:t>arbitrage</w:t>
      </w:r>
      <w:r w:rsidR="00BD1FB3">
        <w:rPr>
          <w:rFonts w:ascii="Times" w:hAnsi="Times"/>
          <w:szCs w:val="24"/>
        </w:rPr>
        <w:t xml:space="preserve"> </w:t>
      </w:r>
      <w:r w:rsidR="00BD1FB3" w:rsidRPr="00BD1FB3">
        <w:rPr>
          <w:rFonts w:ascii="Times" w:hAnsi="Times"/>
          <w:szCs w:val="24"/>
        </w:rPr>
        <w:t>d</w:t>
      </w:r>
      <w:r w:rsidR="00A52ACC">
        <w:rPr>
          <w:rFonts w:ascii="Times" w:hAnsi="Times"/>
          <w:szCs w:val="24"/>
        </w:rPr>
        <w:t>’</w:t>
      </w:r>
      <w:r w:rsidR="00BD1FB3" w:rsidRPr="00BD1FB3">
        <w:rPr>
          <w:rFonts w:ascii="Times" w:hAnsi="Times"/>
          <w:szCs w:val="24"/>
        </w:rPr>
        <w:t xml:space="preserve">investissements traditionnel, et de promouvoir un projet alternatif de </w:t>
      </w:r>
      <w:r w:rsidR="00BD1FB3">
        <w:rPr>
          <w:rFonts w:ascii="Times" w:hAnsi="Times"/>
          <w:szCs w:val="24"/>
        </w:rPr>
        <w:t>[Cour mondiale d</w:t>
      </w:r>
      <w:r w:rsidR="00A52ACC">
        <w:rPr>
          <w:rFonts w:ascii="Times" w:hAnsi="Times"/>
          <w:szCs w:val="24"/>
        </w:rPr>
        <w:t>’</w:t>
      </w:r>
      <w:r w:rsidR="00BD1FB3">
        <w:rPr>
          <w:rFonts w:ascii="Times" w:hAnsi="Times"/>
          <w:szCs w:val="24"/>
        </w:rPr>
        <w:t>investissements] »</w:t>
      </w:r>
      <w:r w:rsidR="00BD1FB3">
        <w:rPr>
          <w:rStyle w:val="Appelnotedebasdep"/>
          <w:rFonts w:ascii="Times" w:hAnsi="Times"/>
          <w:szCs w:val="24"/>
        </w:rPr>
        <w:footnoteReference w:id="11"/>
      </w:r>
      <w:r w:rsidR="00BD1FB3">
        <w:rPr>
          <w:rFonts w:ascii="Times" w:hAnsi="Times"/>
          <w:szCs w:val="24"/>
        </w:rPr>
        <w:t>.</w:t>
      </w:r>
    </w:p>
    <w:p w14:paraId="20CCB77E" w14:textId="77777777" w:rsidR="00BD1FB3" w:rsidRDefault="00BD1FB3" w:rsidP="009B3FC5">
      <w:pPr>
        <w:numPr>
          <w:ilvl w:val="0"/>
          <w:numId w:val="0"/>
        </w:numPr>
        <w:spacing w:line="240" w:lineRule="auto"/>
        <w:rPr>
          <w:rFonts w:ascii="Times" w:hAnsi="Times"/>
          <w:szCs w:val="24"/>
        </w:rPr>
      </w:pPr>
    </w:p>
    <w:p w14:paraId="12421BE6" w14:textId="28C50566" w:rsidR="00BD1FB3" w:rsidRDefault="00BD1FB3" w:rsidP="009B3FC5">
      <w:pPr>
        <w:numPr>
          <w:ilvl w:val="0"/>
          <w:numId w:val="0"/>
        </w:numPr>
        <w:spacing w:line="240" w:lineRule="auto"/>
        <w:rPr>
          <w:rFonts w:ascii="Times" w:hAnsi="Times"/>
          <w:szCs w:val="24"/>
        </w:rPr>
      </w:pPr>
      <w:r>
        <w:rPr>
          <w:rFonts w:ascii="Times" w:hAnsi="Times"/>
          <w:szCs w:val="24"/>
        </w:rPr>
        <w:t xml:space="preserve">Il était donc logique, dans un tel contexte, que de nouvelles solutions émergent. </w:t>
      </w:r>
      <w:r w:rsidR="0058026D">
        <w:rPr>
          <w:rFonts w:ascii="Times" w:hAnsi="Times"/>
          <w:szCs w:val="24"/>
        </w:rPr>
        <w:t>L</w:t>
      </w:r>
      <w:r w:rsidR="00A52ACC">
        <w:rPr>
          <w:rFonts w:ascii="Times" w:hAnsi="Times"/>
          <w:szCs w:val="24"/>
        </w:rPr>
        <w:t>’</w:t>
      </w:r>
      <w:r w:rsidR="0058026D">
        <w:rPr>
          <w:rFonts w:ascii="Times" w:hAnsi="Times"/>
          <w:szCs w:val="24"/>
        </w:rPr>
        <w:t>intervention des États pour ramener l</w:t>
      </w:r>
      <w:r w:rsidR="00A52ACC">
        <w:rPr>
          <w:rFonts w:ascii="Times" w:hAnsi="Times"/>
          <w:szCs w:val="24"/>
        </w:rPr>
        <w:t>’</w:t>
      </w:r>
      <w:r w:rsidR="0058026D">
        <w:rPr>
          <w:rFonts w:ascii="Times" w:hAnsi="Times"/>
          <w:szCs w:val="24"/>
        </w:rPr>
        <w:t>arbitrage d</w:t>
      </w:r>
      <w:r w:rsidR="00A52ACC">
        <w:rPr>
          <w:rFonts w:ascii="Times" w:hAnsi="Times"/>
          <w:szCs w:val="24"/>
        </w:rPr>
        <w:t>’</w:t>
      </w:r>
      <w:r w:rsidR="0058026D">
        <w:rPr>
          <w:rFonts w:ascii="Times" w:hAnsi="Times"/>
          <w:szCs w:val="24"/>
        </w:rPr>
        <w:t>investissement, dont les critiques peuvent être – peut-être abusivement – résumées à son caractère privé, dans le giron de la puissance publique,</w:t>
      </w:r>
      <w:r w:rsidR="002148A4">
        <w:rPr>
          <w:rFonts w:ascii="Times" w:hAnsi="Times"/>
          <w:szCs w:val="24"/>
        </w:rPr>
        <w:t xml:space="preserve"> était nécessaire ou, à tout le moins, très souhaitable.</w:t>
      </w:r>
      <w:r w:rsidR="0058026D">
        <w:rPr>
          <w:rFonts w:ascii="Times" w:hAnsi="Times"/>
          <w:szCs w:val="24"/>
        </w:rPr>
        <w:t xml:space="preserve"> </w:t>
      </w:r>
      <w:r>
        <w:rPr>
          <w:rFonts w:ascii="Times" w:hAnsi="Times"/>
          <w:szCs w:val="24"/>
        </w:rPr>
        <w:t>C</w:t>
      </w:r>
      <w:r w:rsidR="00A52ACC">
        <w:rPr>
          <w:rFonts w:ascii="Times" w:hAnsi="Times"/>
          <w:szCs w:val="24"/>
        </w:rPr>
        <w:t>’</w:t>
      </w:r>
      <w:r>
        <w:rPr>
          <w:rFonts w:ascii="Times" w:hAnsi="Times"/>
          <w:szCs w:val="24"/>
        </w:rPr>
        <w:t>est certainement car une réforme du CIRDI, visant à le transformer en juridiction permanente, paraît illusoire, que la voie du régionalisme a pu, comme dans d</w:t>
      </w:r>
      <w:r w:rsidR="00A52ACC">
        <w:rPr>
          <w:rFonts w:ascii="Times" w:hAnsi="Times"/>
          <w:szCs w:val="24"/>
        </w:rPr>
        <w:t>’</w:t>
      </w:r>
      <w:r>
        <w:rPr>
          <w:rFonts w:ascii="Times" w:hAnsi="Times"/>
          <w:szCs w:val="24"/>
        </w:rPr>
        <w:t xml:space="preserve">autres domaines, paraître </w:t>
      </w:r>
      <w:r w:rsidR="002148A4">
        <w:rPr>
          <w:rFonts w:ascii="Times" w:hAnsi="Times"/>
          <w:szCs w:val="24"/>
        </w:rPr>
        <w:t xml:space="preserve">dans ce </w:t>
      </w:r>
      <w:proofErr w:type="gramStart"/>
      <w:r w:rsidR="002148A4">
        <w:rPr>
          <w:rFonts w:ascii="Times" w:hAnsi="Times"/>
          <w:szCs w:val="24"/>
        </w:rPr>
        <w:t xml:space="preserve">contexte </w:t>
      </w:r>
      <w:r>
        <w:rPr>
          <w:rFonts w:ascii="Times" w:hAnsi="Times"/>
          <w:szCs w:val="24"/>
        </w:rPr>
        <w:t>la</w:t>
      </w:r>
      <w:proofErr w:type="gramEnd"/>
      <w:r>
        <w:rPr>
          <w:rFonts w:ascii="Times" w:hAnsi="Times"/>
          <w:szCs w:val="24"/>
        </w:rPr>
        <w:t xml:space="preserve"> plus pertinente – du point de vue des « réformateurs »</w:t>
      </w:r>
      <w:r w:rsidR="0085211E">
        <w:rPr>
          <w:rFonts w:ascii="Times" w:hAnsi="Times"/>
          <w:szCs w:val="24"/>
        </w:rPr>
        <w:t>.</w:t>
      </w:r>
    </w:p>
    <w:p w14:paraId="413EC0E0" w14:textId="77777777" w:rsidR="00BD1FB3" w:rsidRDefault="00BD1FB3" w:rsidP="009B3FC5">
      <w:pPr>
        <w:numPr>
          <w:ilvl w:val="0"/>
          <w:numId w:val="0"/>
        </w:numPr>
        <w:spacing w:line="240" w:lineRule="auto"/>
        <w:rPr>
          <w:rFonts w:ascii="Times" w:hAnsi="Times"/>
          <w:szCs w:val="24"/>
        </w:rPr>
      </w:pPr>
    </w:p>
    <w:p w14:paraId="047E8AB2" w14:textId="24CF8117" w:rsidR="00710B1B" w:rsidRPr="00B37EB5" w:rsidRDefault="00B37EB5" w:rsidP="009B3FC5">
      <w:pPr>
        <w:numPr>
          <w:ilvl w:val="0"/>
          <w:numId w:val="0"/>
        </w:numPr>
        <w:spacing w:line="240" w:lineRule="auto"/>
        <w:jc w:val="left"/>
        <w:rPr>
          <w:rFonts w:ascii="Times" w:hAnsi="Times"/>
          <w:b/>
          <w:szCs w:val="24"/>
        </w:rPr>
      </w:pPr>
      <w:r w:rsidRPr="00B37EB5">
        <w:rPr>
          <w:rFonts w:ascii="Times" w:hAnsi="Times"/>
          <w:b/>
          <w:szCs w:val="24"/>
        </w:rPr>
        <w:t>B. UN IN</w:t>
      </w:r>
      <w:r w:rsidR="007229E4">
        <w:rPr>
          <w:rFonts w:ascii="Times" w:hAnsi="Times"/>
          <w:b/>
          <w:szCs w:val="24"/>
        </w:rPr>
        <w:t>É</w:t>
      </w:r>
      <w:r w:rsidRPr="00B37EB5">
        <w:rPr>
          <w:rFonts w:ascii="Times" w:hAnsi="Times"/>
          <w:b/>
          <w:szCs w:val="24"/>
        </w:rPr>
        <w:t>VITABLE R</w:t>
      </w:r>
      <w:r w:rsidR="007229E4">
        <w:rPr>
          <w:rFonts w:ascii="Times" w:hAnsi="Times"/>
          <w:b/>
          <w:szCs w:val="24"/>
        </w:rPr>
        <w:t>É</w:t>
      </w:r>
      <w:r w:rsidRPr="00B37EB5">
        <w:rPr>
          <w:rFonts w:ascii="Times" w:hAnsi="Times"/>
          <w:b/>
          <w:szCs w:val="24"/>
        </w:rPr>
        <w:t>GIONALISME ?</w:t>
      </w:r>
    </w:p>
    <w:p w14:paraId="6B58366F" w14:textId="77777777" w:rsidR="00710B1B" w:rsidRDefault="00710B1B" w:rsidP="009B3FC5">
      <w:pPr>
        <w:numPr>
          <w:ilvl w:val="0"/>
          <w:numId w:val="0"/>
        </w:numPr>
        <w:spacing w:line="240" w:lineRule="auto"/>
        <w:jc w:val="left"/>
        <w:rPr>
          <w:rFonts w:ascii="Times" w:hAnsi="Times"/>
          <w:szCs w:val="24"/>
        </w:rPr>
      </w:pPr>
    </w:p>
    <w:p w14:paraId="2FD467BC" w14:textId="24064092" w:rsidR="00BD1FB3" w:rsidRDefault="00BD1FB3" w:rsidP="009B3FC5">
      <w:pPr>
        <w:numPr>
          <w:ilvl w:val="0"/>
          <w:numId w:val="0"/>
        </w:numPr>
        <w:spacing w:line="240" w:lineRule="auto"/>
        <w:rPr>
          <w:rFonts w:ascii="Times" w:hAnsi="Times"/>
          <w:szCs w:val="24"/>
        </w:rPr>
      </w:pPr>
      <w:r>
        <w:rPr>
          <w:rFonts w:ascii="Times" w:hAnsi="Times"/>
          <w:szCs w:val="24"/>
        </w:rPr>
        <w:t>Le droit international des investissements n</w:t>
      </w:r>
      <w:r w:rsidR="00A52ACC">
        <w:rPr>
          <w:rFonts w:ascii="Times" w:hAnsi="Times"/>
          <w:szCs w:val="24"/>
        </w:rPr>
        <w:t>’</w:t>
      </w:r>
      <w:r>
        <w:rPr>
          <w:rFonts w:ascii="Times" w:hAnsi="Times"/>
          <w:szCs w:val="24"/>
        </w:rPr>
        <w:t>est pas figé. Son verdissement, et plus largement son « </w:t>
      </w:r>
      <w:proofErr w:type="spellStart"/>
      <w:r>
        <w:rPr>
          <w:rFonts w:ascii="Times" w:hAnsi="Times"/>
          <w:szCs w:val="24"/>
        </w:rPr>
        <w:t>éthicisation</w:t>
      </w:r>
      <w:proofErr w:type="spellEnd"/>
      <w:r>
        <w:rPr>
          <w:rFonts w:ascii="Times" w:hAnsi="Times"/>
          <w:szCs w:val="24"/>
        </w:rPr>
        <w:t> »</w:t>
      </w:r>
      <w:r>
        <w:rPr>
          <w:rStyle w:val="Appelnotedebasdep"/>
          <w:rFonts w:ascii="Times" w:hAnsi="Times"/>
          <w:szCs w:val="24"/>
        </w:rPr>
        <w:footnoteReference w:id="12"/>
      </w:r>
      <w:r>
        <w:rPr>
          <w:rFonts w:ascii="Times" w:hAnsi="Times"/>
          <w:szCs w:val="24"/>
        </w:rPr>
        <w:t>, est certainement en marche</w:t>
      </w:r>
      <w:r w:rsidR="00853049">
        <w:rPr>
          <w:rFonts w:ascii="Times" w:hAnsi="Times"/>
          <w:szCs w:val="24"/>
        </w:rPr>
        <w:t>, entre autres dynamiques contemporaines. Toutefois, la réforme mondiale et structurelle des institutions chargées du contentieux de l</w:t>
      </w:r>
      <w:r w:rsidR="00A52ACC">
        <w:rPr>
          <w:rFonts w:ascii="Times" w:hAnsi="Times"/>
          <w:szCs w:val="24"/>
        </w:rPr>
        <w:t>’</w:t>
      </w:r>
      <w:r w:rsidR="00853049">
        <w:rPr>
          <w:rFonts w:ascii="Times" w:hAnsi="Times"/>
          <w:szCs w:val="24"/>
        </w:rPr>
        <w:t>investissements, que la société civile et l</w:t>
      </w:r>
      <w:r w:rsidR="00A52ACC">
        <w:rPr>
          <w:rFonts w:ascii="Times" w:hAnsi="Times"/>
          <w:szCs w:val="24"/>
        </w:rPr>
        <w:t>’</w:t>
      </w:r>
      <w:r w:rsidR="00853049">
        <w:rPr>
          <w:rFonts w:ascii="Times" w:hAnsi="Times"/>
          <w:szCs w:val="24"/>
        </w:rPr>
        <w:t xml:space="preserve">Union européenne entendent promouvoir, peine à </w:t>
      </w:r>
      <w:r w:rsidR="00853049">
        <w:rPr>
          <w:rFonts w:ascii="Times" w:hAnsi="Times"/>
          <w:szCs w:val="24"/>
        </w:rPr>
        <w:lastRenderedPageBreak/>
        <w:t>paraître ne serait-ce qu</w:t>
      </w:r>
      <w:r w:rsidR="00A52ACC">
        <w:rPr>
          <w:rFonts w:ascii="Times" w:hAnsi="Times"/>
          <w:szCs w:val="24"/>
        </w:rPr>
        <w:t>’</w:t>
      </w:r>
      <w:r w:rsidR="00853049">
        <w:rPr>
          <w:rFonts w:ascii="Times" w:hAnsi="Times"/>
          <w:szCs w:val="24"/>
        </w:rPr>
        <w:t>envisageable. Il est difficile de s</w:t>
      </w:r>
      <w:r w:rsidR="00A52ACC">
        <w:rPr>
          <w:rFonts w:ascii="Times" w:hAnsi="Times"/>
          <w:szCs w:val="24"/>
        </w:rPr>
        <w:t>’</w:t>
      </w:r>
      <w:r w:rsidR="00853049">
        <w:rPr>
          <w:rFonts w:ascii="Times" w:hAnsi="Times"/>
          <w:szCs w:val="24"/>
        </w:rPr>
        <w:t xml:space="preserve">en étonner : </w:t>
      </w:r>
      <w:r w:rsidR="00EC3FA7">
        <w:rPr>
          <w:rFonts w:ascii="Times" w:hAnsi="Times"/>
          <w:szCs w:val="24"/>
        </w:rPr>
        <w:t>le multilatéralisme, que l</w:t>
      </w:r>
      <w:r w:rsidR="00A52ACC">
        <w:rPr>
          <w:rFonts w:ascii="Times" w:hAnsi="Times"/>
          <w:szCs w:val="24"/>
        </w:rPr>
        <w:t>’</w:t>
      </w:r>
      <w:r w:rsidR="00EC3FA7">
        <w:rPr>
          <w:rFonts w:ascii="Times" w:hAnsi="Times"/>
          <w:szCs w:val="24"/>
        </w:rPr>
        <w:t>on dit volontiers en « crise » voire « en panne », n</w:t>
      </w:r>
      <w:r w:rsidR="00A52ACC">
        <w:rPr>
          <w:rFonts w:ascii="Times" w:hAnsi="Times"/>
          <w:szCs w:val="24"/>
        </w:rPr>
        <w:t>’</w:t>
      </w:r>
      <w:r w:rsidR="00EC3FA7">
        <w:rPr>
          <w:rFonts w:ascii="Times" w:hAnsi="Times"/>
          <w:szCs w:val="24"/>
        </w:rPr>
        <w:t>est, bien qu</w:t>
      </w:r>
      <w:r w:rsidR="00A52ACC">
        <w:rPr>
          <w:rFonts w:ascii="Times" w:hAnsi="Times"/>
          <w:szCs w:val="24"/>
        </w:rPr>
        <w:t>’</w:t>
      </w:r>
      <w:r w:rsidR="00EC3FA7">
        <w:rPr>
          <w:rFonts w:ascii="Times" w:hAnsi="Times"/>
          <w:szCs w:val="24"/>
        </w:rPr>
        <w:t xml:space="preserve">il faille relativiser </w:t>
      </w:r>
      <w:r w:rsidR="00CA1D08">
        <w:rPr>
          <w:rFonts w:ascii="Times" w:hAnsi="Times"/>
          <w:szCs w:val="24"/>
        </w:rPr>
        <w:t>ces conclusions alarmistes</w:t>
      </w:r>
      <w:r w:rsidR="00CA1D08">
        <w:rPr>
          <w:rStyle w:val="Appelnotedebasdep"/>
          <w:rFonts w:ascii="Times" w:hAnsi="Times"/>
          <w:szCs w:val="24"/>
        </w:rPr>
        <w:footnoteReference w:id="13"/>
      </w:r>
      <w:r w:rsidR="00CA1D08">
        <w:rPr>
          <w:rFonts w:ascii="Times" w:hAnsi="Times"/>
          <w:szCs w:val="24"/>
        </w:rPr>
        <w:t>, pas au sommet de son efficacité depuis le début des années 2000.</w:t>
      </w:r>
      <w:r w:rsidR="00DB418C">
        <w:rPr>
          <w:rFonts w:ascii="Times" w:hAnsi="Times"/>
          <w:szCs w:val="24"/>
        </w:rPr>
        <w:t xml:space="preserve"> </w:t>
      </w:r>
      <w:r w:rsidR="00B92323">
        <w:rPr>
          <w:rFonts w:ascii="Times" w:hAnsi="Times"/>
          <w:szCs w:val="24"/>
        </w:rPr>
        <w:t>Si les retraits des organisations internationales et donc de leurs traités constitutifs sont parfois jugés « relativement rares »</w:t>
      </w:r>
      <w:r w:rsidR="00B92323">
        <w:rPr>
          <w:rStyle w:val="Appelnotedebasdep"/>
          <w:rFonts w:ascii="Times" w:hAnsi="Times"/>
          <w:szCs w:val="24"/>
        </w:rPr>
        <w:footnoteReference w:id="14"/>
      </w:r>
      <w:r w:rsidR="00B92323">
        <w:rPr>
          <w:rFonts w:ascii="Times" w:hAnsi="Times"/>
          <w:szCs w:val="24"/>
        </w:rPr>
        <w:t>, un certain regain de l</w:t>
      </w:r>
      <w:r w:rsidR="00A52ACC">
        <w:rPr>
          <w:rFonts w:ascii="Times" w:hAnsi="Times"/>
          <w:szCs w:val="24"/>
        </w:rPr>
        <w:t>’</w:t>
      </w:r>
      <w:r w:rsidR="00B92323">
        <w:rPr>
          <w:rFonts w:ascii="Times" w:hAnsi="Times"/>
          <w:szCs w:val="24"/>
        </w:rPr>
        <w:t>activité de rétractation a pu être enregistrée, notamment mais pas exclusivement sous l</w:t>
      </w:r>
      <w:r w:rsidR="00A52ACC">
        <w:rPr>
          <w:rFonts w:ascii="Times" w:hAnsi="Times"/>
          <w:szCs w:val="24"/>
        </w:rPr>
        <w:t>’</w:t>
      </w:r>
      <w:r w:rsidR="00B92323">
        <w:rPr>
          <w:rFonts w:ascii="Times" w:hAnsi="Times"/>
          <w:szCs w:val="24"/>
        </w:rPr>
        <w:t>ère Trump</w:t>
      </w:r>
      <w:r w:rsidR="00B92323">
        <w:rPr>
          <w:rStyle w:val="Appelnotedebasdep"/>
          <w:rFonts w:ascii="Times" w:hAnsi="Times"/>
          <w:szCs w:val="24"/>
        </w:rPr>
        <w:footnoteReference w:id="15"/>
      </w:r>
      <w:r w:rsidR="00B92323">
        <w:rPr>
          <w:rFonts w:ascii="Times" w:hAnsi="Times"/>
          <w:szCs w:val="24"/>
        </w:rPr>
        <w:t>. Surtout, bien que</w:t>
      </w:r>
      <w:r w:rsidR="00DB418C">
        <w:rPr>
          <w:rFonts w:ascii="Times" w:hAnsi="Times"/>
          <w:szCs w:val="24"/>
        </w:rPr>
        <w:t xml:space="preserve"> la communauté internationale </w:t>
      </w:r>
      <w:r w:rsidR="00B92323">
        <w:rPr>
          <w:rFonts w:ascii="Times" w:hAnsi="Times"/>
          <w:szCs w:val="24"/>
        </w:rPr>
        <w:t>soit</w:t>
      </w:r>
      <w:r w:rsidR="00DB418C">
        <w:rPr>
          <w:rFonts w:ascii="Times" w:hAnsi="Times"/>
          <w:szCs w:val="24"/>
        </w:rPr>
        <w:t xml:space="preserve"> parvenue à adopter quelques traités </w:t>
      </w:r>
      <w:r w:rsidR="006758D9">
        <w:rPr>
          <w:rFonts w:ascii="Times" w:hAnsi="Times"/>
          <w:szCs w:val="24"/>
        </w:rPr>
        <w:t>significatifs ces dernières années</w:t>
      </w:r>
      <w:r w:rsidR="00DB418C">
        <w:rPr>
          <w:rFonts w:ascii="Times" w:hAnsi="Times"/>
          <w:szCs w:val="24"/>
        </w:rPr>
        <w:t xml:space="preserve"> – l</w:t>
      </w:r>
      <w:r w:rsidR="00A52ACC">
        <w:rPr>
          <w:rFonts w:ascii="Times" w:hAnsi="Times"/>
          <w:szCs w:val="24"/>
        </w:rPr>
        <w:t>’</w:t>
      </w:r>
      <w:r w:rsidR="00DB418C">
        <w:rPr>
          <w:rFonts w:ascii="Times" w:hAnsi="Times"/>
          <w:szCs w:val="24"/>
        </w:rPr>
        <w:t>Accord de Paris de 2015 et l</w:t>
      </w:r>
      <w:r w:rsidR="00A52ACC">
        <w:rPr>
          <w:rFonts w:ascii="Times" w:hAnsi="Times"/>
          <w:szCs w:val="24"/>
        </w:rPr>
        <w:t>’</w:t>
      </w:r>
      <w:r w:rsidR="00DB418C">
        <w:rPr>
          <w:rFonts w:ascii="Times" w:hAnsi="Times"/>
          <w:szCs w:val="24"/>
        </w:rPr>
        <w:t>AECG sont</w:t>
      </w:r>
      <w:r w:rsidR="006758D9">
        <w:rPr>
          <w:rFonts w:ascii="Times" w:hAnsi="Times"/>
          <w:szCs w:val="24"/>
        </w:rPr>
        <w:t xml:space="preserve"> parfois</w:t>
      </w:r>
      <w:r w:rsidR="00DB418C">
        <w:rPr>
          <w:rFonts w:ascii="Times" w:hAnsi="Times"/>
          <w:szCs w:val="24"/>
        </w:rPr>
        <w:t xml:space="preserve"> qualifiés d</w:t>
      </w:r>
      <w:r w:rsidR="00A52ACC">
        <w:rPr>
          <w:rFonts w:ascii="Times" w:hAnsi="Times"/>
          <w:szCs w:val="24"/>
        </w:rPr>
        <w:t>’</w:t>
      </w:r>
      <w:r w:rsidR="00DB418C">
        <w:rPr>
          <w:rFonts w:ascii="Times" w:hAnsi="Times"/>
          <w:szCs w:val="24"/>
        </w:rPr>
        <w:t>accords issus de la « génération » de la crise du multilatéralisme</w:t>
      </w:r>
      <w:r w:rsidR="00DB418C">
        <w:rPr>
          <w:rStyle w:val="Appelnotedebasdep"/>
          <w:rFonts w:ascii="Times" w:hAnsi="Times"/>
          <w:szCs w:val="24"/>
        </w:rPr>
        <w:footnoteReference w:id="16"/>
      </w:r>
      <w:r w:rsidR="00DB418C">
        <w:rPr>
          <w:rFonts w:ascii="Times" w:hAnsi="Times"/>
          <w:szCs w:val="24"/>
        </w:rPr>
        <w:t> ; on peut certainement y ajouter le récent traité</w:t>
      </w:r>
      <w:r w:rsidR="006758D9">
        <w:rPr>
          <w:rFonts w:ascii="Times" w:hAnsi="Times"/>
          <w:szCs w:val="24"/>
        </w:rPr>
        <w:t xml:space="preserve"> sur la </w:t>
      </w:r>
      <w:r w:rsidR="006758D9" w:rsidRPr="006758D9">
        <w:rPr>
          <w:rFonts w:ascii="Times" w:hAnsi="Times"/>
          <w:szCs w:val="24"/>
        </w:rPr>
        <w:t>conservation et l</w:t>
      </w:r>
      <w:r w:rsidR="00A52ACC">
        <w:rPr>
          <w:rFonts w:ascii="Times" w:hAnsi="Times"/>
          <w:szCs w:val="24"/>
        </w:rPr>
        <w:t>’</w:t>
      </w:r>
      <w:r w:rsidR="006758D9" w:rsidRPr="006758D9">
        <w:rPr>
          <w:rFonts w:ascii="Times" w:hAnsi="Times"/>
          <w:szCs w:val="24"/>
        </w:rPr>
        <w:t>utilisation durable de la diversité biologique marine</w:t>
      </w:r>
      <w:r w:rsidR="006758D9">
        <w:rPr>
          <w:rFonts w:ascii="Times" w:hAnsi="Times"/>
          <w:szCs w:val="24"/>
        </w:rPr>
        <w:t xml:space="preserve"> en haute mer</w:t>
      </w:r>
      <w:r w:rsidR="006758D9">
        <w:rPr>
          <w:rStyle w:val="Appelnotedebasdep"/>
          <w:rFonts w:ascii="Times" w:hAnsi="Times"/>
          <w:szCs w:val="24"/>
        </w:rPr>
        <w:footnoteReference w:id="17"/>
      </w:r>
      <w:r w:rsidR="006758D9">
        <w:rPr>
          <w:rFonts w:ascii="Times" w:hAnsi="Times"/>
          <w:szCs w:val="24"/>
        </w:rPr>
        <w:t xml:space="preserve"> – l</w:t>
      </w:r>
      <w:r w:rsidR="00A52ACC">
        <w:rPr>
          <w:rFonts w:ascii="Times" w:hAnsi="Times"/>
          <w:szCs w:val="24"/>
        </w:rPr>
        <w:t>’</w:t>
      </w:r>
      <w:r w:rsidR="006758D9">
        <w:rPr>
          <w:rFonts w:ascii="Times" w:hAnsi="Times"/>
          <w:szCs w:val="24"/>
        </w:rPr>
        <w:t>heure n</w:t>
      </w:r>
      <w:r w:rsidR="00A52ACC">
        <w:rPr>
          <w:rFonts w:ascii="Times" w:hAnsi="Times"/>
          <w:szCs w:val="24"/>
        </w:rPr>
        <w:t>’</w:t>
      </w:r>
      <w:r w:rsidR="006758D9">
        <w:rPr>
          <w:rFonts w:ascii="Times" w:hAnsi="Times"/>
          <w:szCs w:val="24"/>
        </w:rPr>
        <w:t>est pas à la ferveur multilatérale</w:t>
      </w:r>
      <w:r w:rsidR="00B92323">
        <w:rPr>
          <w:rFonts w:ascii="Times" w:hAnsi="Times"/>
          <w:szCs w:val="24"/>
        </w:rPr>
        <w:t xml:space="preserve"> ni</w:t>
      </w:r>
      <w:r w:rsidR="006758D9">
        <w:rPr>
          <w:rFonts w:ascii="Times" w:hAnsi="Times"/>
          <w:szCs w:val="24"/>
        </w:rPr>
        <w:t xml:space="preserve"> à la révision systématique des traités</w:t>
      </w:r>
      <w:r w:rsidR="00B92323">
        <w:rPr>
          <w:rFonts w:ascii="Times" w:hAnsi="Times"/>
          <w:szCs w:val="24"/>
        </w:rPr>
        <w:t xml:space="preserve"> existant.</w:t>
      </w:r>
    </w:p>
    <w:p w14:paraId="4B4A49E6" w14:textId="6BF16E7A" w:rsidR="00B92323" w:rsidRDefault="00B92323" w:rsidP="009B3FC5">
      <w:pPr>
        <w:numPr>
          <w:ilvl w:val="0"/>
          <w:numId w:val="0"/>
        </w:numPr>
        <w:spacing w:line="240" w:lineRule="auto"/>
        <w:rPr>
          <w:rFonts w:ascii="Times" w:hAnsi="Times"/>
          <w:szCs w:val="24"/>
        </w:rPr>
      </w:pPr>
    </w:p>
    <w:p w14:paraId="260B5068" w14:textId="0F1AAA38" w:rsidR="00B92323" w:rsidRDefault="00B92323" w:rsidP="009B3FC5">
      <w:pPr>
        <w:numPr>
          <w:ilvl w:val="0"/>
          <w:numId w:val="0"/>
        </w:numPr>
        <w:spacing w:line="240" w:lineRule="auto"/>
        <w:rPr>
          <w:rFonts w:ascii="Times" w:hAnsi="Times"/>
          <w:szCs w:val="24"/>
        </w:rPr>
      </w:pPr>
      <w:r>
        <w:rPr>
          <w:rFonts w:ascii="Times" w:hAnsi="Times"/>
          <w:szCs w:val="24"/>
        </w:rPr>
        <w:t>Les nouveaux enjeux et sujets d</w:t>
      </w:r>
      <w:r w:rsidR="00A52ACC">
        <w:rPr>
          <w:rFonts w:ascii="Times" w:hAnsi="Times"/>
          <w:szCs w:val="24"/>
        </w:rPr>
        <w:t>’</w:t>
      </w:r>
      <w:r>
        <w:rPr>
          <w:rFonts w:ascii="Times" w:hAnsi="Times"/>
          <w:szCs w:val="24"/>
        </w:rPr>
        <w:t>inquiétude des États sont volontiers, ces dernières années, discutés voire encadrés au niveau régional. Il en est ainsi du secteur du numérique dans lequel l</w:t>
      </w:r>
      <w:r w:rsidR="00A52ACC">
        <w:rPr>
          <w:rFonts w:ascii="Times" w:hAnsi="Times"/>
          <w:szCs w:val="24"/>
        </w:rPr>
        <w:t>’</w:t>
      </w:r>
      <w:r>
        <w:rPr>
          <w:rFonts w:ascii="Times" w:hAnsi="Times"/>
          <w:szCs w:val="24"/>
        </w:rPr>
        <w:t>Union européenne se démarque particulièrement</w:t>
      </w:r>
      <w:r>
        <w:rPr>
          <w:rStyle w:val="Appelnotedebasdep"/>
          <w:rFonts w:ascii="Times" w:hAnsi="Times"/>
          <w:szCs w:val="24"/>
        </w:rPr>
        <w:footnoteReference w:id="18"/>
      </w:r>
      <w:r>
        <w:rPr>
          <w:rFonts w:ascii="Times" w:hAnsi="Times"/>
          <w:szCs w:val="24"/>
        </w:rPr>
        <w:t>, mais également de certaines préoccupations comme le respect des droits de la personne humaine par les entreprises multinationales. Pour prendre cet unique exemple, alors que le drame du Rana Plaza en 2013 a suscité rapidement la création d</w:t>
      </w:r>
      <w:r w:rsidR="00A52ACC">
        <w:rPr>
          <w:rFonts w:ascii="Times" w:hAnsi="Times"/>
          <w:szCs w:val="24"/>
        </w:rPr>
        <w:t>’</w:t>
      </w:r>
      <w:r>
        <w:rPr>
          <w:rFonts w:ascii="Times" w:hAnsi="Times"/>
          <w:szCs w:val="24"/>
        </w:rPr>
        <w:t>un groupe de travail onusien chargé de travailler à l</w:t>
      </w:r>
      <w:r w:rsidR="00A52ACC">
        <w:rPr>
          <w:rFonts w:ascii="Times" w:hAnsi="Times"/>
          <w:szCs w:val="24"/>
        </w:rPr>
        <w:t>’</w:t>
      </w:r>
      <w:r>
        <w:rPr>
          <w:rFonts w:ascii="Times" w:hAnsi="Times"/>
          <w:szCs w:val="24"/>
        </w:rPr>
        <w:t>élaboration d</w:t>
      </w:r>
      <w:r w:rsidR="00A52ACC">
        <w:rPr>
          <w:rFonts w:ascii="Times" w:hAnsi="Times"/>
          <w:szCs w:val="24"/>
        </w:rPr>
        <w:t>’</w:t>
      </w:r>
      <w:r>
        <w:rPr>
          <w:rFonts w:ascii="Times" w:hAnsi="Times"/>
          <w:szCs w:val="24"/>
        </w:rPr>
        <w:t>un traité international sur la question</w:t>
      </w:r>
      <w:r>
        <w:rPr>
          <w:rStyle w:val="Appelnotedebasdep"/>
          <w:rFonts w:ascii="Times" w:hAnsi="Times"/>
          <w:szCs w:val="24"/>
        </w:rPr>
        <w:footnoteReference w:id="19"/>
      </w:r>
      <w:r>
        <w:rPr>
          <w:rFonts w:ascii="Times" w:hAnsi="Times"/>
          <w:szCs w:val="24"/>
        </w:rPr>
        <w:t xml:space="preserve">, le projet avance avec </w:t>
      </w:r>
      <w:r w:rsidR="00C709C5">
        <w:rPr>
          <w:rFonts w:ascii="Times" w:hAnsi="Times"/>
          <w:szCs w:val="24"/>
        </w:rPr>
        <w:t xml:space="preserve">une telle </w:t>
      </w:r>
      <w:r>
        <w:rPr>
          <w:rFonts w:ascii="Times" w:hAnsi="Times"/>
          <w:szCs w:val="24"/>
        </w:rPr>
        <w:t>lenteur</w:t>
      </w:r>
      <w:r w:rsidR="00C709C5">
        <w:rPr>
          <w:rFonts w:ascii="Times" w:hAnsi="Times"/>
          <w:szCs w:val="24"/>
        </w:rPr>
        <w:t xml:space="preserve"> que l</w:t>
      </w:r>
      <w:r w:rsidR="00A52ACC">
        <w:rPr>
          <w:rFonts w:ascii="Times" w:hAnsi="Times"/>
          <w:szCs w:val="24"/>
        </w:rPr>
        <w:t>’</w:t>
      </w:r>
      <w:r w:rsidR="00C709C5">
        <w:rPr>
          <w:rFonts w:ascii="Times" w:hAnsi="Times"/>
          <w:szCs w:val="24"/>
        </w:rPr>
        <w:t>Union européenne – qui n</w:t>
      </w:r>
      <w:r w:rsidR="00A52ACC">
        <w:rPr>
          <w:rFonts w:ascii="Times" w:hAnsi="Times"/>
          <w:szCs w:val="24"/>
        </w:rPr>
        <w:t>’</w:t>
      </w:r>
      <w:r w:rsidR="00C709C5">
        <w:rPr>
          <w:rFonts w:ascii="Times" w:hAnsi="Times"/>
          <w:szCs w:val="24"/>
        </w:rPr>
        <w:t>est au demeurant pas exempte de toute responsabilité dans cette absence de célérité mondiale</w:t>
      </w:r>
      <w:r w:rsidR="00F44D87">
        <w:rPr>
          <w:rFonts w:ascii="Times" w:hAnsi="Times"/>
          <w:szCs w:val="24"/>
        </w:rPr>
        <w:t xml:space="preserve"> </w:t>
      </w:r>
      <w:r w:rsidR="00C709C5">
        <w:rPr>
          <w:rFonts w:ascii="Times" w:hAnsi="Times"/>
          <w:szCs w:val="24"/>
        </w:rPr>
        <w:t>– proposera vraisemblablement, par une directive en cours de discussion, le premier devoir de vigilance international applicable aux entreprises transnationales en matière de respect des droits environnementaux et de la personne humaine</w:t>
      </w:r>
      <w:r w:rsidR="00F44D87">
        <w:rPr>
          <w:rStyle w:val="Appelnotedebasdep"/>
          <w:rFonts w:ascii="Times" w:hAnsi="Times"/>
          <w:szCs w:val="24"/>
        </w:rPr>
        <w:footnoteReference w:id="20"/>
      </w:r>
      <w:r w:rsidR="00C709C5">
        <w:rPr>
          <w:rFonts w:ascii="Times" w:hAnsi="Times"/>
          <w:szCs w:val="24"/>
        </w:rPr>
        <w:t>.</w:t>
      </w:r>
      <w:r w:rsidR="00F44D87">
        <w:rPr>
          <w:rFonts w:ascii="Times" w:hAnsi="Times"/>
          <w:szCs w:val="24"/>
        </w:rPr>
        <w:t xml:space="preserve"> Le régionalisme apparaît dans bien des domaines comme un palliatif à la lenteur multilatérale, de sorte que la solution aux difficultés et critiques rencontrées par l</w:t>
      </w:r>
      <w:r w:rsidR="00A52ACC">
        <w:rPr>
          <w:rFonts w:ascii="Times" w:hAnsi="Times"/>
          <w:szCs w:val="24"/>
        </w:rPr>
        <w:t>’</w:t>
      </w:r>
      <w:r w:rsidR="00F44D87">
        <w:rPr>
          <w:rFonts w:ascii="Times" w:hAnsi="Times"/>
          <w:szCs w:val="24"/>
        </w:rPr>
        <w:t>arbitrage d</w:t>
      </w:r>
      <w:r w:rsidR="00A52ACC">
        <w:rPr>
          <w:rFonts w:ascii="Times" w:hAnsi="Times"/>
          <w:szCs w:val="24"/>
        </w:rPr>
        <w:t>’</w:t>
      </w:r>
      <w:r w:rsidR="00F44D87">
        <w:rPr>
          <w:rFonts w:ascii="Times" w:hAnsi="Times"/>
          <w:szCs w:val="24"/>
        </w:rPr>
        <w:t>investissements pouvaient, en principe, y trouver des réponses.</w:t>
      </w:r>
    </w:p>
    <w:p w14:paraId="153D771F" w14:textId="77777777" w:rsidR="00F44D87" w:rsidRDefault="00F44D87" w:rsidP="009B3FC5">
      <w:pPr>
        <w:numPr>
          <w:ilvl w:val="0"/>
          <w:numId w:val="0"/>
        </w:numPr>
        <w:spacing w:line="240" w:lineRule="auto"/>
        <w:rPr>
          <w:rFonts w:ascii="Times" w:hAnsi="Times"/>
          <w:szCs w:val="24"/>
        </w:rPr>
      </w:pPr>
    </w:p>
    <w:p w14:paraId="5D162F23" w14:textId="1E0BC2A9" w:rsidR="00F44D87" w:rsidRDefault="00F44D87" w:rsidP="009B3FC5">
      <w:pPr>
        <w:numPr>
          <w:ilvl w:val="0"/>
          <w:numId w:val="0"/>
        </w:numPr>
        <w:spacing w:line="240" w:lineRule="auto"/>
        <w:rPr>
          <w:rFonts w:ascii="Times" w:hAnsi="Times"/>
          <w:szCs w:val="24"/>
        </w:rPr>
      </w:pPr>
      <w:r>
        <w:rPr>
          <w:rFonts w:ascii="Times" w:hAnsi="Times"/>
          <w:szCs w:val="24"/>
        </w:rPr>
        <w:t>Il n</w:t>
      </w:r>
      <w:r w:rsidR="00A52ACC">
        <w:rPr>
          <w:rFonts w:ascii="Times" w:hAnsi="Times"/>
          <w:szCs w:val="24"/>
        </w:rPr>
        <w:t>’</w:t>
      </w:r>
      <w:r>
        <w:rPr>
          <w:rFonts w:ascii="Times" w:hAnsi="Times"/>
          <w:szCs w:val="24"/>
        </w:rPr>
        <w:t>est, dès lors, nullement surprenant que la Cour de justice de l</w:t>
      </w:r>
      <w:r w:rsidR="00A52ACC">
        <w:rPr>
          <w:rFonts w:ascii="Times" w:hAnsi="Times"/>
          <w:szCs w:val="24"/>
        </w:rPr>
        <w:t>’</w:t>
      </w:r>
      <w:r>
        <w:rPr>
          <w:rFonts w:ascii="Times" w:hAnsi="Times"/>
          <w:szCs w:val="24"/>
        </w:rPr>
        <w:t>Union européenne ait, dans ce contexte mondial, décidé en 2018 de neutraliser les clauses attributives de compétence à un tribunal arbitral international (privé) en cas de litige entre un investisseur et un État membre de l</w:t>
      </w:r>
      <w:r w:rsidR="00A52ACC">
        <w:rPr>
          <w:rFonts w:ascii="Times" w:hAnsi="Times"/>
          <w:szCs w:val="24"/>
        </w:rPr>
        <w:t>’</w:t>
      </w:r>
      <w:r>
        <w:rPr>
          <w:rFonts w:ascii="Times" w:hAnsi="Times"/>
          <w:szCs w:val="24"/>
        </w:rPr>
        <w:t>Union européenne</w:t>
      </w:r>
      <w:r>
        <w:rPr>
          <w:rStyle w:val="Appelnotedebasdep"/>
          <w:rFonts w:ascii="Times" w:hAnsi="Times"/>
          <w:szCs w:val="24"/>
        </w:rPr>
        <w:footnoteReference w:id="21"/>
      </w:r>
      <w:r>
        <w:rPr>
          <w:rFonts w:ascii="Times" w:hAnsi="Times"/>
          <w:szCs w:val="24"/>
        </w:rPr>
        <w:t xml:space="preserve">. </w:t>
      </w:r>
      <w:r w:rsidR="00EF4D3D">
        <w:rPr>
          <w:rFonts w:ascii="Times" w:hAnsi="Times"/>
          <w:szCs w:val="24"/>
        </w:rPr>
        <w:t>De ce point de vue, l</w:t>
      </w:r>
      <w:r>
        <w:rPr>
          <w:rFonts w:ascii="Times" w:hAnsi="Times"/>
          <w:szCs w:val="24"/>
        </w:rPr>
        <w:t>e fondement – en l</w:t>
      </w:r>
      <w:r w:rsidR="00A52ACC">
        <w:rPr>
          <w:rFonts w:ascii="Times" w:hAnsi="Times"/>
          <w:szCs w:val="24"/>
        </w:rPr>
        <w:t>’</w:t>
      </w:r>
      <w:r>
        <w:rPr>
          <w:rFonts w:ascii="Times" w:hAnsi="Times"/>
          <w:szCs w:val="24"/>
        </w:rPr>
        <w:t>espèce, l</w:t>
      </w:r>
      <w:r w:rsidR="00A52ACC">
        <w:rPr>
          <w:rFonts w:ascii="Times" w:hAnsi="Times"/>
          <w:szCs w:val="24"/>
        </w:rPr>
        <w:t>’</w:t>
      </w:r>
      <w:r w:rsidR="00EF4D3D">
        <w:rPr>
          <w:rFonts w:ascii="Times" w:hAnsi="Times"/>
          <w:szCs w:val="24"/>
        </w:rPr>
        <w:t xml:space="preserve">idée </w:t>
      </w:r>
      <w:r>
        <w:rPr>
          <w:rFonts w:ascii="Times" w:hAnsi="Times"/>
          <w:szCs w:val="24"/>
        </w:rPr>
        <w:t xml:space="preserve">selon laquelle la </w:t>
      </w:r>
      <w:r>
        <w:rPr>
          <w:rFonts w:ascii="Times" w:hAnsi="Times"/>
          <w:szCs w:val="24"/>
        </w:rPr>
        <w:lastRenderedPageBreak/>
        <w:t>procédure arbitrale</w:t>
      </w:r>
      <w:r w:rsidR="00BF388C">
        <w:rPr>
          <w:rFonts w:ascii="Times" w:hAnsi="Times"/>
          <w:szCs w:val="24"/>
        </w:rPr>
        <w:t>, en ce qu</w:t>
      </w:r>
      <w:r w:rsidR="00A52ACC">
        <w:rPr>
          <w:rFonts w:ascii="Times" w:hAnsi="Times"/>
          <w:szCs w:val="24"/>
        </w:rPr>
        <w:t>’</w:t>
      </w:r>
      <w:r w:rsidR="00BF388C">
        <w:rPr>
          <w:rFonts w:ascii="Times" w:hAnsi="Times"/>
          <w:szCs w:val="24"/>
        </w:rPr>
        <w:t xml:space="preserve">elle </w:t>
      </w:r>
      <w:r>
        <w:rPr>
          <w:rFonts w:ascii="Times" w:hAnsi="Times"/>
          <w:szCs w:val="24"/>
        </w:rPr>
        <w:t xml:space="preserve">« pourrai[t] concerner </w:t>
      </w:r>
      <w:r w:rsidRPr="00F44D87">
        <w:rPr>
          <w:rFonts w:ascii="Times" w:hAnsi="Times"/>
          <w:szCs w:val="24"/>
        </w:rPr>
        <w:t>l</w:t>
      </w:r>
      <w:r w:rsidR="00A52ACC">
        <w:rPr>
          <w:rFonts w:ascii="Times" w:hAnsi="Times"/>
          <w:szCs w:val="24"/>
        </w:rPr>
        <w:t>’</w:t>
      </w:r>
      <w:r w:rsidRPr="00F44D87">
        <w:rPr>
          <w:rFonts w:ascii="Times" w:hAnsi="Times"/>
          <w:szCs w:val="24"/>
        </w:rPr>
        <w:t>interprétation ou l</w:t>
      </w:r>
      <w:r w:rsidR="00A52ACC">
        <w:rPr>
          <w:rFonts w:ascii="Times" w:hAnsi="Times"/>
          <w:szCs w:val="24"/>
        </w:rPr>
        <w:t>’</w:t>
      </w:r>
      <w:r w:rsidRPr="00F44D87">
        <w:rPr>
          <w:rFonts w:ascii="Times" w:hAnsi="Times"/>
          <w:szCs w:val="24"/>
        </w:rPr>
        <w:t>application du droit de l</w:t>
      </w:r>
      <w:r w:rsidR="00A52ACC">
        <w:rPr>
          <w:rFonts w:ascii="Times" w:hAnsi="Times"/>
          <w:szCs w:val="24"/>
        </w:rPr>
        <w:t>’</w:t>
      </w:r>
      <w:r w:rsidRPr="00F44D87">
        <w:rPr>
          <w:rFonts w:ascii="Times" w:hAnsi="Times"/>
          <w:szCs w:val="24"/>
        </w:rPr>
        <w:t>Union</w:t>
      </w:r>
      <w:r>
        <w:rPr>
          <w:rFonts w:ascii="Times" w:hAnsi="Times"/>
          <w:szCs w:val="24"/>
        </w:rPr>
        <w:t> »</w:t>
      </w:r>
      <w:r w:rsidR="00BF388C">
        <w:rPr>
          <w:rStyle w:val="Appelnotedebasdep"/>
          <w:rFonts w:ascii="Times" w:hAnsi="Times"/>
          <w:szCs w:val="24"/>
        </w:rPr>
        <w:footnoteReference w:id="22"/>
      </w:r>
      <w:r w:rsidR="00BF388C">
        <w:rPr>
          <w:rFonts w:ascii="Times" w:hAnsi="Times"/>
          <w:szCs w:val="24"/>
        </w:rPr>
        <w:t xml:space="preserve"> alors que le tribunal</w:t>
      </w:r>
      <w:r>
        <w:rPr>
          <w:rFonts w:ascii="Times" w:hAnsi="Times"/>
          <w:szCs w:val="24"/>
        </w:rPr>
        <w:t xml:space="preserve"> </w:t>
      </w:r>
      <w:r w:rsidR="00BF388C">
        <w:rPr>
          <w:rFonts w:ascii="Times" w:hAnsi="Times"/>
          <w:szCs w:val="24"/>
        </w:rPr>
        <w:t xml:space="preserve">arbitral ne </w:t>
      </w:r>
      <w:r>
        <w:rPr>
          <w:rFonts w:ascii="Times" w:hAnsi="Times"/>
          <w:szCs w:val="24"/>
        </w:rPr>
        <w:t>constitue</w:t>
      </w:r>
      <w:r w:rsidR="00BF388C">
        <w:rPr>
          <w:rFonts w:ascii="Times" w:hAnsi="Times"/>
          <w:szCs w:val="24"/>
        </w:rPr>
        <w:t xml:space="preserve"> pas</w:t>
      </w:r>
      <w:r>
        <w:rPr>
          <w:rFonts w:ascii="Times" w:hAnsi="Times"/>
          <w:szCs w:val="24"/>
        </w:rPr>
        <w:t xml:space="preserve"> une juridiction susceptible</w:t>
      </w:r>
      <w:r w:rsidR="00BF388C">
        <w:rPr>
          <w:rFonts w:ascii="Times" w:hAnsi="Times"/>
          <w:szCs w:val="24"/>
        </w:rPr>
        <w:t xml:space="preserve"> d</w:t>
      </w:r>
      <w:r w:rsidR="00A52ACC">
        <w:rPr>
          <w:rFonts w:ascii="Times" w:hAnsi="Times"/>
          <w:szCs w:val="24"/>
        </w:rPr>
        <w:t>’</w:t>
      </w:r>
      <w:r w:rsidR="00BF388C">
        <w:rPr>
          <w:rFonts w:ascii="Times" w:hAnsi="Times"/>
          <w:szCs w:val="24"/>
        </w:rPr>
        <w:t>opérer un renvoi préjudiciel seul à même de permettre l</w:t>
      </w:r>
      <w:r w:rsidR="00A52ACC">
        <w:rPr>
          <w:rFonts w:ascii="Times" w:hAnsi="Times"/>
          <w:szCs w:val="24"/>
        </w:rPr>
        <w:t>’</w:t>
      </w:r>
      <w:r w:rsidR="00BF388C">
        <w:rPr>
          <w:rFonts w:ascii="Times" w:hAnsi="Times"/>
          <w:szCs w:val="24"/>
        </w:rPr>
        <w:t>interprétation du droit de l</w:t>
      </w:r>
      <w:r w:rsidR="00A52ACC">
        <w:rPr>
          <w:rFonts w:ascii="Times" w:hAnsi="Times"/>
          <w:szCs w:val="24"/>
        </w:rPr>
        <w:t>’</w:t>
      </w:r>
      <w:r w:rsidR="00BF388C">
        <w:rPr>
          <w:rFonts w:ascii="Times" w:hAnsi="Times"/>
          <w:szCs w:val="24"/>
        </w:rPr>
        <w:t>Union</w:t>
      </w:r>
      <w:r w:rsidR="00EF4D3D">
        <w:rPr>
          <w:rFonts w:ascii="Times" w:hAnsi="Times"/>
          <w:szCs w:val="24"/>
        </w:rPr>
        <w:t xml:space="preserve">, « porte </w:t>
      </w:r>
      <w:r w:rsidR="00EF4D3D" w:rsidRPr="00EF4D3D">
        <w:rPr>
          <w:rFonts w:ascii="Times" w:hAnsi="Times"/>
          <w:szCs w:val="24"/>
        </w:rPr>
        <w:t>atteinte à l</w:t>
      </w:r>
      <w:r w:rsidR="00A52ACC">
        <w:rPr>
          <w:rFonts w:ascii="Times" w:hAnsi="Times"/>
          <w:szCs w:val="24"/>
        </w:rPr>
        <w:t>’</w:t>
      </w:r>
      <w:r w:rsidR="00EF4D3D" w:rsidRPr="00EF4D3D">
        <w:rPr>
          <w:rFonts w:ascii="Times" w:hAnsi="Times"/>
          <w:szCs w:val="24"/>
        </w:rPr>
        <w:t>autonomie du droit de l</w:t>
      </w:r>
      <w:r w:rsidR="00A52ACC">
        <w:rPr>
          <w:rFonts w:ascii="Times" w:hAnsi="Times"/>
          <w:szCs w:val="24"/>
        </w:rPr>
        <w:t>’</w:t>
      </w:r>
      <w:r w:rsidR="00EF4D3D" w:rsidRPr="00EF4D3D">
        <w:rPr>
          <w:rFonts w:ascii="Times" w:hAnsi="Times"/>
          <w:szCs w:val="24"/>
        </w:rPr>
        <w:t>Union</w:t>
      </w:r>
      <w:r w:rsidR="00EF4D3D">
        <w:rPr>
          <w:rFonts w:ascii="Times" w:hAnsi="Times"/>
          <w:szCs w:val="24"/>
        </w:rPr>
        <w:t> »</w:t>
      </w:r>
      <w:r w:rsidR="00EF4D3D">
        <w:rPr>
          <w:rStyle w:val="Appelnotedebasdep"/>
          <w:rFonts w:ascii="Times" w:hAnsi="Times"/>
          <w:szCs w:val="24"/>
        </w:rPr>
        <w:footnoteReference w:id="23"/>
      </w:r>
      <w:r w:rsidR="00EF4D3D">
        <w:rPr>
          <w:rFonts w:ascii="Times" w:hAnsi="Times"/>
          <w:szCs w:val="24"/>
        </w:rPr>
        <w:t xml:space="preserve"> – importe finalement peu. Peut-être même est-il tombé à point nommé, permettant aux États membre, au-delà des protestations de principe, de dénoncer de manière légitime et acceptable l</w:t>
      </w:r>
      <w:r w:rsidR="00A52ACC">
        <w:rPr>
          <w:rFonts w:ascii="Times" w:hAnsi="Times"/>
          <w:szCs w:val="24"/>
        </w:rPr>
        <w:t>’</w:t>
      </w:r>
      <w:r w:rsidR="00EF4D3D">
        <w:rPr>
          <w:rFonts w:ascii="Times" w:hAnsi="Times"/>
          <w:szCs w:val="24"/>
        </w:rPr>
        <w:t>ensemble des TBI intra-européens</w:t>
      </w:r>
      <w:r w:rsidR="00EF4D3D">
        <w:rPr>
          <w:rStyle w:val="Appelnotedebasdep"/>
          <w:rFonts w:ascii="Times" w:hAnsi="Times"/>
          <w:szCs w:val="24"/>
        </w:rPr>
        <w:footnoteReference w:id="24"/>
      </w:r>
      <w:r w:rsidR="00EF4D3D">
        <w:rPr>
          <w:rFonts w:ascii="Times" w:hAnsi="Times"/>
          <w:szCs w:val="24"/>
        </w:rPr>
        <w:t xml:space="preserve"> au profit d</w:t>
      </w:r>
      <w:r w:rsidR="00A52ACC">
        <w:rPr>
          <w:rFonts w:ascii="Times" w:hAnsi="Times"/>
          <w:szCs w:val="24"/>
        </w:rPr>
        <w:t>’</w:t>
      </w:r>
      <w:r w:rsidR="00EF4D3D">
        <w:rPr>
          <w:rFonts w:ascii="Times" w:hAnsi="Times"/>
          <w:szCs w:val="24"/>
        </w:rPr>
        <w:t>un nouveau système, davantage « européen ».</w:t>
      </w:r>
    </w:p>
    <w:p w14:paraId="6F46A9A9" w14:textId="77777777" w:rsidR="005D5A21" w:rsidRDefault="005D5A21" w:rsidP="009B3FC5">
      <w:pPr>
        <w:numPr>
          <w:ilvl w:val="0"/>
          <w:numId w:val="0"/>
        </w:numPr>
        <w:spacing w:line="240" w:lineRule="auto"/>
        <w:rPr>
          <w:rFonts w:ascii="Times" w:hAnsi="Times"/>
          <w:szCs w:val="24"/>
        </w:rPr>
      </w:pPr>
    </w:p>
    <w:p w14:paraId="441E0B51" w14:textId="397F0AED" w:rsidR="005D5A21" w:rsidRPr="00F44D87" w:rsidRDefault="005D5A21" w:rsidP="009B3FC5">
      <w:pPr>
        <w:numPr>
          <w:ilvl w:val="0"/>
          <w:numId w:val="0"/>
        </w:numPr>
        <w:spacing w:line="240" w:lineRule="auto"/>
        <w:rPr>
          <w:rFonts w:ascii="Times" w:hAnsi="Times"/>
          <w:szCs w:val="24"/>
        </w:rPr>
      </w:pPr>
      <w:r>
        <w:rPr>
          <w:rFonts w:ascii="Times" w:hAnsi="Times"/>
          <w:szCs w:val="24"/>
        </w:rPr>
        <w:t>Le champ du droit des investissements, produit des échanges entre États et d</w:t>
      </w:r>
      <w:r w:rsidR="00A52ACC">
        <w:rPr>
          <w:rFonts w:ascii="Times" w:hAnsi="Times"/>
          <w:szCs w:val="24"/>
        </w:rPr>
        <w:t>’</w:t>
      </w:r>
      <w:r>
        <w:rPr>
          <w:rFonts w:ascii="Times" w:hAnsi="Times"/>
          <w:szCs w:val="24"/>
        </w:rPr>
        <w:t>une institutionnalisation accomplie mais minimale au sein du CIRDI, se déplace dès lors sous l</w:t>
      </w:r>
      <w:r w:rsidR="00A52ACC">
        <w:rPr>
          <w:rFonts w:ascii="Times" w:hAnsi="Times"/>
          <w:szCs w:val="24"/>
        </w:rPr>
        <w:t>’</w:t>
      </w:r>
      <w:r>
        <w:rPr>
          <w:rFonts w:ascii="Times" w:hAnsi="Times"/>
          <w:szCs w:val="24"/>
        </w:rPr>
        <w:t>effet de la « prise de pouvoir » européenne. Il faut donc acter qu</w:t>
      </w:r>
      <w:r w:rsidR="00A52ACC">
        <w:rPr>
          <w:rFonts w:ascii="Times" w:hAnsi="Times"/>
          <w:szCs w:val="24"/>
        </w:rPr>
        <w:t>’</w:t>
      </w:r>
      <w:r>
        <w:rPr>
          <w:rFonts w:ascii="Times" w:hAnsi="Times"/>
          <w:szCs w:val="24"/>
        </w:rPr>
        <w:t>il existe, aujourd</w:t>
      </w:r>
      <w:r w:rsidR="00A52ACC">
        <w:rPr>
          <w:rFonts w:ascii="Times" w:hAnsi="Times"/>
          <w:szCs w:val="24"/>
        </w:rPr>
        <w:t>’</w:t>
      </w:r>
      <w:r>
        <w:rPr>
          <w:rFonts w:ascii="Times" w:hAnsi="Times"/>
          <w:szCs w:val="24"/>
        </w:rPr>
        <w:t>hui, un droit international « général » des investissements et un droit « européen » des investissements toujours en cours de formation. C</w:t>
      </w:r>
      <w:r w:rsidR="00A52ACC">
        <w:rPr>
          <w:rFonts w:ascii="Times" w:hAnsi="Times"/>
          <w:szCs w:val="24"/>
        </w:rPr>
        <w:t>’</w:t>
      </w:r>
      <w:r>
        <w:rPr>
          <w:rFonts w:ascii="Times" w:hAnsi="Times"/>
          <w:szCs w:val="24"/>
        </w:rPr>
        <w:t>est, en tout cas, dans le contexte du droit de l</w:t>
      </w:r>
      <w:r w:rsidR="00A52ACC">
        <w:rPr>
          <w:rFonts w:ascii="Times" w:hAnsi="Times"/>
          <w:szCs w:val="24"/>
        </w:rPr>
        <w:t>’</w:t>
      </w:r>
      <w:r>
        <w:rPr>
          <w:rFonts w:ascii="Times" w:hAnsi="Times"/>
          <w:szCs w:val="24"/>
        </w:rPr>
        <w:t>Union que son évolution peut dorénavant être appréhendée – ce qui n</w:t>
      </w:r>
      <w:r w:rsidR="00A52ACC">
        <w:rPr>
          <w:rFonts w:ascii="Times" w:hAnsi="Times"/>
          <w:szCs w:val="24"/>
        </w:rPr>
        <w:t>’</w:t>
      </w:r>
      <w:r>
        <w:rPr>
          <w:rFonts w:ascii="Times" w:hAnsi="Times"/>
          <w:szCs w:val="24"/>
        </w:rPr>
        <w:t>exclut pas la possibilité de rapports de systèmes potentiellement complexes, en matière d</w:t>
      </w:r>
      <w:r w:rsidR="00A52ACC">
        <w:rPr>
          <w:rFonts w:ascii="Times" w:hAnsi="Times"/>
          <w:szCs w:val="24"/>
        </w:rPr>
        <w:t>’</w:t>
      </w:r>
      <w:r>
        <w:rPr>
          <w:rFonts w:ascii="Times" w:hAnsi="Times"/>
          <w:szCs w:val="24"/>
        </w:rPr>
        <w:t>investissements, tant avec l</w:t>
      </w:r>
      <w:r w:rsidR="00A52ACC">
        <w:rPr>
          <w:rFonts w:ascii="Times" w:hAnsi="Times"/>
          <w:szCs w:val="24"/>
        </w:rPr>
        <w:t>’</w:t>
      </w:r>
      <w:r>
        <w:rPr>
          <w:rFonts w:ascii="Times" w:hAnsi="Times"/>
          <w:szCs w:val="24"/>
        </w:rPr>
        <w:t>ordre juridique international qu</w:t>
      </w:r>
      <w:r w:rsidR="00A52ACC">
        <w:rPr>
          <w:rFonts w:ascii="Times" w:hAnsi="Times"/>
          <w:szCs w:val="24"/>
        </w:rPr>
        <w:t>’</w:t>
      </w:r>
      <w:r>
        <w:rPr>
          <w:rFonts w:ascii="Times" w:hAnsi="Times"/>
          <w:szCs w:val="24"/>
        </w:rPr>
        <w:t>avec d</w:t>
      </w:r>
      <w:r w:rsidR="00A52ACC">
        <w:rPr>
          <w:rFonts w:ascii="Times" w:hAnsi="Times"/>
          <w:szCs w:val="24"/>
        </w:rPr>
        <w:t>’</w:t>
      </w:r>
      <w:r>
        <w:rPr>
          <w:rFonts w:ascii="Times" w:hAnsi="Times"/>
          <w:szCs w:val="24"/>
        </w:rPr>
        <w:t>autres ordres juridiques régionaux.</w:t>
      </w:r>
    </w:p>
    <w:p w14:paraId="32540D8B" w14:textId="77777777" w:rsidR="00710B1B" w:rsidRDefault="00710B1B" w:rsidP="009B3FC5">
      <w:pPr>
        <w:numPr>
          <w:ilvl w:val="0"/>
          <w:numId w:val="0"/>
        </w:numPr>
        <w:spacing w:line="240" w:lineRule="auto"/>
        <w:jc w:val="left"/>
        <w:rPr>
          <w:rFonts w:ascii="Times" w:hAnsi="Times"/>
          <w:szCs w:val="24"/>
        </w:rPr>
      </w:pPr>
    </w:p>
    <w:p w14:paraId="670A5B8C" w14:textId="0C1C499C" w:rsidR="00710B1B" w:rsidRPr="00853B0E" w:rsidRDefault="00853B0E" w:rsidP="009B3FC5">
      <w:pPr>
        <w:numPr>
          <w:ilvl w:val="0"/>
          <w:numId w:val="0"/>
        </w:numPr>
        <w:spacing w:line="240" w:lineRule="auto"/>
        <w:rPr>
          <w:rFonts w:ascii="Times" w:hAnsi="Times"/>
          <w:b/>
          <w:bCs/>
          <w:szCs w:val="24"/>
        </w:rPr>
      </w:pPr>
      <w:r w:rsidRPr="00853B0E">
        <w:rPr>
          <w:rFonts w:ascii="Times" w:hAnsi="Times"/>
          <w:b/>
          <w:bCs/>
          <w:szCs w:val="24"/>
        </w:rPr>
        <w:t>II</w:t>
      </w:r>
      <w:r w:rsidR="00F24C2C">
        <w:rPr>
          <w:rFonts w:ascii="Times" w:hAnsi="Times"/>
          <w:b/>
          <w:bCs/>
          <w:szCs w:val="24"/>
        </w:rPr>
        <w:t xml:space="preserve"> –</w:t>
      </w:r>
      <w:r w:rsidRPr="00853B0E">
        <w:rPr>
          <w:rFonts w:ascii="Times" w:hAnsi="Times"/>
          <w:b/>
          <w:bCs/>
          <w:szCs w:val="24"/>
        </w:rPr>
        <w:t xml:space="preserve"> REPLACER LE DROIT EUROP</w:t>
      </w:r>
      <w:r>
        <w:rPr>
          <w:rFonts w:ascii="Times" w:hAnsi="Times"/>
          <w:b/>
          <w:bCs/>
          <w:szCs w:val="24"/>
        </w:rPr>
        <w:t>É</w:t>
      </w:r>
      <w:r w:rsidRPr="00853B0E">
        <w:rPr>
          <w:rFonts w:ascii="Times" w:hAnsi="Times"/>
          <w:b/>
          <w:bCs/>
          <w:szCs w:val="24"/>
        </w:rPr>
        <w:t>EN DES INVESTISSEMENTS DANS LE CONTEXTE DU DROIT DE L</w:t>
      </w:r>
      <w:r w:rsidR="00A52ACC">
        <w:rPr>
          <w:rFonts w:ascii="Times" w:hAnsi="Times"/>
          <w:b/>
          <w:bCs/>
          <w:szCs w:val="24"/>
        </w:rPr>
        <w:t>’</w:t>
      </w:r>
      <w:r w:rsidRPr="00853B0E">
        <w:rPr>
          <w:rFonts w:ascii="Times" w:hAnsi="Times"/>
          <w:b/>
          <w:bCs/>
          <w:szCs w:val="24"/>
        </w:rPr>
        <w:t>UNION EUROP</w:t>
      </w:r>
      <w:r>
        <w:rPr>
          <w:rFonts w:ascii="Times" w:hAnsi="Times"/>
          <w:b/>
          <w:bCs/>
          <w:szCs w:val="24"/>
        </w:rPr>
        <w:t>É</w:t>
      </w:r>
      <w:r w:rsidRPr="00853B0E">
        <w:rPr>
          <w:rFonts w:ascii="Times" w:hAnsi="Times"/>
          <w:b/>
          <w:bCs/>
          <w:szCs w:val="24"/>
        </w:rPr>
        <w:t>ENNE</w:t>
      </w:r>
    </w:p>
    <w:p w14:paraId="043949C0" w14:textId="77777777" w:rsidR="00710B1B" w:rsidRDefault="00710B1B" w:rsidP="009B3FC5">
      <w:pPr>
        <w:numPr>
          <w:ilvl w:val="0"/>
          <w:numId w:val="0"/>
        </w:numPr>
        <w:spacing w:line="240" w:lineRule="auto"/>
        <w:jc w:val="left"/>
        <w:rPr>
          <w:rFonts w:ascii="Times" w:hAnsi="Times"/>
          <w:szCs w:val="24"/>
        </w:rPr>
      </w:pPr>
    </w:p>
    <w:p w14:paraId="228B7EC9" w14:textId="5904F149" w:rsidR="00E2366C" w:rsidRDefault="00E2366C" w:rsidP="009B3FC5">
      <w:pPr>
        <w:numPr>
          <w:ilvl w:val="0"/>
          <w:numId w:val="0"/>
        </w:numPr>
        <w:spacing w:line="240" w:lineRule="auto"/>
        <w:rPr>
          <w:rFonts w:ascii="Times" w:hAnsi="Times"/>
          <w:szCs w:val="24"/>
        </w:rPr>
      </w:pPr>
      <w:r>
        <w:rPr>
          <w:rFonts w:ascii="Times" w:hAnsi="Times"/>
          <w:szCs w:val="24"/>
        </w:rPr>
        <w:t>La question de l</w:t>
      </w:r>
      <w:r w:rsidR="00A52ACC">
        <w:rPr>
          <w:rFonts w:ascii="Times" w:hAnsi="Times"/>
          <w:szCs w:val="24"/>
        </w:rPr>
        <w:t>’</w:t>
      </w:r>
      <w:r>
        <w:rPr>
          <w:rFonts w:ascii="Times" w:hAnsi="Times"/>
          <w:szCs w:val="24"/>
        </w:rPr>
        <w:t>encadrement des investissements internationaux, ainsi déplacée dans le champ du droit de l</w:t>
      </w:r>
      <w:r w:rsidR="00A52ACC">
        <w:rPr>
          <w:rFonts w:ascii="Times" w:hAnsi="Times"/>
          <w:szCs w:val="24"/>
        </w:rPr>
        <w:t>’</w:t>
      </w:r>
      <w:r>
        <w:rPr>
          <w:rFonts w:ascii="Times" w:hAnsi="Times"/>
          <w:szCs w:val="24"/>
        </w:rPr>
        <w:t>Union, soulève de nombreuses interrogations dont certaines sont classiques. D</w:t>
      </w:r>
      <w:r w:rsidR="00A52ACC">
        <w:rPr>
          <w:rFonts w:ascii="Times" w:hAnsi="Times"/>
          <w:szCs w:val="24"/>
        </w:rPr>
        <w:t>’</w:t>
      </w:r>
      <w:r>
        <w:rPr>
          <w:rFonts w:ascii="Times" w:hAnsi="Times"/>
          <w:szCs w:val="24"/>
        </w:rPr>
        <w:t>autres ont été exhaustivement abordées, à l</w:t>
      </w:r>
      <w:r w:rsidR="00A52ACC">
        <w:rPr>
          <w:rFonts w:ascii="Times" w:hAnsi="Times"/>
          <w:szCs w:val="24"/>
        </w:rPr>
        <w:t>’</w:t>
      </w:r>
      <w:r>
        <w:rPr>
          <w:rFonts w:ascii="Times" w:hAnsi="Times"/>
          <w:szCs w:val="24"/>
        </w:rPr>
        <w:t>instar de la question d</w:t>
      </w:r>
      <w:r w:rsidR="00A52ACC">
        <w:rPr>
          <w:rFonts w:ascii="Times" w:hAnsi="Times"/>
          <w:szCs w:val="24"/>
        </w:rPr>
        <w:t>’</w:t>
      </w:r>
      <w:r>
        <w:rPr>
          <w:rFonts w:ascii="Times" w:hAnsi="Times"/>
          <w:szCs w:val="24"/>
        </w:rPr>
        <w:t>une définition européenne de l</w:t>
      </w:r>
      <w:r w:rsidR="00A52ACC">
        <w:rPr>
          <w:rFonts w:ascii="Times" w:hAnsi="Times"/>
          <w:szCs w:val="24"/>
        </w:rPr>
        <w:t>’</w:t>
      </w:r>
      <w:r>
        <w:rPr>
          <w:rFonts w:ascii="Times" w:hAnsi="Times"/>
          <w:szCs w:val="24"/>
        </w:rPr>
        <w:t>investissement</w:t>
      </w:r>
      <w:r>
        <w:rPr>
          <w:rStyle w:val="Appelnotedebasdep"/>
          <w:rFonts w:ascii="Times" w:hAnsi="Times"/>
          <w:szCs w:val="24"/>
        </w:rPr>
        <w:footnoteReference w:id="25"/>
      </w:r>
      <w:r>
        <w:rPr>
          <w:rFonts w:ascii="Times" w:hAnsi="Times"/>
          <w:szCs w:val="24"/>
        </w:rPr>
        <w:t>, de l</w:t>
      </w:r>
      <w:r w:rsidR="00A52ACC">
        <w:rPr>
          <w:rFonts w:ascii="Times" w:hAnsi="Times"/>
          <w:szCs w:val="24"/>
        </w:rPr>
        <w:t>’</w:t>
      </w:r>
      <w:r>
        <w:rPr>
          <w:rFonts w:ascii="Times" w:hAnsi="Times"/>
          <w:szCs w:val="24"/>
        </w:rPr>
        <w:t>existence de règles et standards spécifiques</w:t>
      </w:r>
      <w:r>
        <w:rPr>
          <w:rStyle w:val="Appelnotedebasdep"/>
          <w:rFonts w:ascii="Times" w:hAnsi="Times"/>
          <w:szCs w:val="24"/>
        </w:rPr>
        <w:footnoteReference w:id="26"/>
      </w:r>
      <w:r>
        <w:rPr>
          <w:rFonts w:ascii="Times" w:hAnsi="Times"/>
          <w:szCs w:val="24"/>
        </w:rPr>
        <w:t>, ou encore de l</w:t>
      </w:r>
      <w:r w:rsidR="00A52ACC">
        <w:rPr>
          <w:rFonts w:ascii="Times" w:hAnsi="Times"/>
          <w:szCs w:val="24"/>
        </w:rPr>
        <w:t>’</w:t>
      </w:r>
      <w:r>
        <w:rPr>
          <w:rFonts w:ascii="Times" w:hAnsi="Times"/>
          <w:szCs w:val="24"/>
        </w:rPr>
        <w:t>articulation</w:t>
      </w:r>
      <w:r w:rsidR="00732EB3">
        <w:rPr>
          <w:rFonts w:ascii="Times" w:hAnsi="Times"/>
          <w:szCs w:val="24"/>
        </w:rPr>
        <w:t xml:space="preserve"> de ce droit régional des investissements</w:t>
      </w:r>
      <w:r>
        <w:rPr>
          <w:rFonts w:ascii="Times" w:hAnsi="Times"/>
          <w:szCs w:val="24"/>
        </w:rPr>
        <w:t xml:space="preserve"> avec les libertés européennes</w:t>
      </w:r>
      <w:r w:rsidR="00732EB3">
        <w:rPr>
          <w:rStyle w:val="Appelnotedebasdep"/>
          <w:rFonts w:ascii="Times" w:hAnsi="Times"/>
          <w:szCs w:val="24"/>
        </w:rPr>
        <w:footnoteReference w:id="27"/>
      </w:r>
      <w:r>
        <w:rPr>
          <w:rFonts w:ascii="Times" w:hAnsi="Times"/>
          <w:szCs w:val="24"/>
        </w:rPr>
        <w:t>.</w:t>
      </w:r>
      <w:r w:rsidR="00F24C2C">
        <w:rPr>
          <w:rFonts w:ascii="Times" w:hAnsi="Times"/>
          <w:szCs w:val="24"/>
        </w:rPr>
        <w:t xml:space="preserve"> Il paraît cependant pertinent de revenir ici sur le point fondamental que constitue la liberté institutionnelle qu</w:t>
      </w:r>
      <w:r w:rsidR="00A52ACC">
        <w:rPr>
          <w:rFonts w:ascii="Times" w:hAnsi="Times"/>
          <w:szCs w:val="24"/>
        </w:rPr>
        <w:t>’</w:t>
      </w:r>
      <w:r w:rsidR="00F24C2C">
        <w:rPr>
          <w:rFonts w:ascii="Times" w:hAnsi="Times"/>
          <w:szCs w:val="24"/>
        </w:rPr>
        <w:t>a prise la Cour de justice de l</w:t>
      </w:r>
      <w:r w:rsidR="00A52ACC">
        <w:rPr>
          <w:rFonts w:ascii="Times" w:hAnsi="Times"/>
          <w:szCs w:val="24"/>
        </w:rPr>
        <w:t>’</w:t>
      </w:r>
      <w:r w:rsidR="00F24C2C">
        <w:rPr>
          <w:rFonts w:ascii="Times" w:hAnsi="Times"/>
          <w:szCs w:val="24"/>
        </w:rPr>
        <w:t>Union européenne (CJUE) en rendant l</w:t>
      </w:r>
      <w:r w:rsidR="00A52ACC">
        <w:rPr>
          <w:rFonts w:ascii="Times" w:hAnsi="Times"/>
          <w:szCs w:val="24"/>
        </w:rPr>
        <w:t>’</w:t>
      </w:r>
      <w:r w:rsidR="00F24C2C">
        <w:rPr>
          <w:rFonts w:ascii="Times" w:hAnsi="Times"/>
          <w:szCs w:val="24"/>
        </w:rPr>
        <w:t xml:space="preserve">arrêt </w:t>
      </w:r>
      <w:proofErr w:type="spellStart"/>
      <w:r w:rsidR="00F24C2C">
        <w:rPr>
          <w:rFonts w:ascii="Times" w:hAnsi="Times"/>
          <w:i/>
          <w:iCs/>
          <w:szCs w:val="24"/>
        </w:rPr>
        <w:t>Achmea</w:t>
      </w:r>
      <w:proofErr w:type="spellEnd"/>
      <w:r w:rsidR="00F24C2C">
        <w:rPr>
          <w:rFonts w:ascii="Times" w:hAnsi="Times"/>
          <w:szCs w:val="24"/>
        </w:rPr>
        <w:t xml:space="preserve"> (A), tant ce point de départ du « nouveau » droit européen des investissements constitue celui de nombreuses difficultés à venir. S</w:t>
      </w:r>
      <w:r w:rsidR="00A52ACC">
        <w:rPr>
          <w:rFonts w:ascii="Times" w:hAnsi="Times"/>
          <w:szCs w:val="24"/>
        </w:rPr>
        <w:t>’</w:t>
      </w:r>
      <w:r w:rsidR="00F24C2C">
        <w:rPr>
          <w:rFonts w:ascii="Times" w:hAnsi="Times"/>
          <w:szCs w:val="24"/>
        </w:rPr>
        <w:t>il n</w:t>
      </w:r>
      <w:r w:rsidR="00A52ACC">
        <w:rPr>
          <w:rFonts w:ascii="Times" w:hAnsi="Times"/>
          <w:szCs w:val="24"/>
        </w:rPr>
        <w:t>’</w:t>
      </w:r>
      <w:r w:rsidR="00F24C2C">
        <w:rPr>
          <w:rFonts w:ascii="Times" w:hAnsi="Times"/>
          <w:szCs w:val="24"/>
        </w:rPr>
        <w:t>est pas certain que les juges de l</w:t>
      </w:r>
      <w:r w:rsidR="00A52ACC">
        <w:rPr>
          <w:rFonts w:ascii="Times" w:hAnsi="Times"/>
          <w:szCs w:val="24"/>
        </w:rPr>
        <w:t>’</w:t>
      </w:r>
      <w:r w:rsidR="00F24C2C">
        <w:rPr>
          <w:rFonts w:ascii="Times" w:hAnsi="Times"/>
          <w:szCs w:val="24"/>
        </w:rPr>
        <w:t xml:space="preserve">Union </w:t>
      </w:r>
      <w:proofErr w:type="gramStart"/>
      <w:r w:rsidR="001368F4">
        <w:rPr>
          <w:rFonts w:ascii="Times" w:hAnsi="Times"/>
          <w:szCs w:val="24"/>
        </w:rPr>
        <w:t>avaient</w:t>
      </w:r>
      <w:proofErr w:type="gramEnd"/>
      <w:r w:rsidR="00F24C2C">
        <w:rPr>
          <w:rFonts w:ascii="Times" w:hAnsi="Times"/>
          <w:szCs w:val="24"/>
        </w:rPr>
        <w:t xml:space="preserve"> anticipé ces problématiques concrètes, la postérité du raisonnement de l</w:t>
      </w:r>
      <w:r w:rsidR="00A52ACC">
        <w:rPr>
          <w:rFonts w:ascii="Times" w:hAnsi="Times"/>
          <w:szCs w:val="24"/>
        </w:rPr>
        <w:t>’</w:t>
      </w:r>
      <w:r w:rsidR="00F24C2C">
        <w:rPr>
          <w:rFonts w:ascii="Times" w:hAnsi="Times"/>
          <w:szCs w:val="24"/>
        </w:rPr>
        <w:t xml:space="preserve">arrêt </w:t>
      </w:r>
      <w:proofErr w:type="spellStart"/>
      <w:r w:rsidR="00F24C2C" w:rsidRPr="00F24C2C">
        <w:rPr>
          <w:rFonts w:ascii="Times" w:hAnsi="Times"/>
          <w:i/>
          <w:iCs/>
          <w:szCs w:val="24"/>
        </w:rPr>
        <w:t>Achmea</w:t>
      </w:r>
      <w:proofErr w:type="spellEnd"/>
      <w:r w:rsidR="00F24C2C">
        <w:rPr>
          <w:rFonts w:ascii="Times" w:hAnsi="Times"/>
          <w:szCs w:val="24"/>
        </w:rPr>
        <w:t xml:space="preserve"> est incontestablement assurée, à défaut de la sécurité juridique de l</w:t>
      </w:r>
      <w:r w:rsidR="00A52ACC">
        <w:rPr>
          <w:rFonts w:ascii="Times" w:hAnsi="Times"/>
          <w:szCs w:val="24"/>
        </w:rPr>
        <w:t>’</w:t>
      </w:r>
      <w:r w:rsidR="00F24C2C">
        <w:rPr>
          <w:rFonts w:ascii="Times" w:hAnsi="Times"/>
          <w:szCs w:val="24"/>
        </w:rPr>
        <w:t>ensemble des sujets du droit des investissements (B).</w:t>
      </w:r>
    </w:p>
    <w:p w14:paraId="734C0776" w14:textId="77777777" w:rsidR="00E2366C" w:rsidRDefault="00E2366C" w:rsidP="009B3FC5">
      <w:pPr>
        <w:numPr>
          <w:ilvl w:val="0"/>
          <w:numId w:val="0"/>
        </w:numPr>
        <w:spacing w:line="240" w:lineRule="auto"/>
        <w:jc w:val="left"/>
        <w:rPr>
          <w:rFonts w:ascii="Times" w:hAnsi="Times"/>
          <w:szCs w:val="24"/>
        </w:rPr>
      </w:pPr>
    </w:p>
    <w:p w14:paraId="02FFFC5C" w14:textId="5885A82F" w:rsidR="0036719B" w:rsidRPr="00F24C2C" w:rsidRDefault="00F24C2C" w:rsidP="009B3FC5">
      <w:pPr>
        <w:numPr>
          <w:ilvl w:val="0"/>
          <w:numId w:val="0"/>
        </w:numPr>
        <w:spacing w:line="240" w:lineRule="auto"/>
        <w:jc w:val="left"/>
        <w:rPr>
          <w:rFonts w:ascii="Times" w:hAnsi="Times"/>
          <w:b/>
          <w:bCs/>
          <w:szCs w:val="24"/>
        </w:rPr>
      </w:pPr>
      <w:r w:rsidRPr="00F24C2C">
        <w:rPr>
          <w:rFonts w:ascii="Times" w:hAnsi="Times"/>
          <w:b/>
          <w:bCs/>
          <w:szCs w:val="24"/>
        </w:rPr>
        <w:t>A</w:t>
      </w:r>
      <w:r>
        <w:rPr>
          <w:rFonts w:ascii="Times" w:hAnsi="Times"/>
          <w:b/>
          <w:bCs/>
          <w:szCs w:val="24"/>
        </w:rPr>
        <w:t xml:space="preserve"> –</w:t>
      </w:r>
      <w:r w:rsidRPr="00F24C2C">
        <w:rPr>
          <w:rFonts w:ascii="Times" w:hAnsi="Times"/>
          <w:b/>
          <w:bCs/>
          <w:szCs w:val="24"/>
        </w:rPr>
        <w:t xml:space="preserve"> LE PRODUIT D</w:t>
      </w:r>
      <w:r w:rsidR="00A52ACC">
        <w:rPr>
          <w:rFonts w:ascii="Times" w:hAnsi="Times"/>
          <w:b/>
          <w:bCs/>
          <w:szCs w:val="24"/>
        </w:rPr>
        <w:t>’</w:t>
      </w:r>
      <w:r w:rsidRPr="00F24C2C">
        <w:rPr>
          <w:rFonts w:ascii="Times" w:hAnsi="Times"/>
          <w:b/>
          <w:bCs/>
          <w:szCs w:val="24"/>
        </w:rPr>
        <w:t>ENJEUX DE POUVOIRS INTRA-EUROP</w:t>
      </w:r>
      <w:r>
        <w:rPr>
          <w:rFonts w:ascii="Times" w:hAnsi="Times"/>
          <w:b/>
          <w:bCs/>
          <w:szCs w:val="24"/>
        </w:rPr>
        <w:t>É</w:t>
      </w:r>
      <w:r w:rsidRPr="00F24C2C">
        <w:rPr>
          <w:rFonts w:ascii="Times" w:hAnsi="Times"/>
          <w:b/>
          <w:bCs/>
          <w:szCs w:val="24"/>
        </w:rPr>
        <w:t>ENS : LE R</w:t>
      </w:r>
      <w:r>
        <w:rPr>
          <w:rFonts w:ascii="Times" w:hAnsi="Times"/>
          <w:b/>
          <w:bCs/>
          <w:szCs w:val="24"/>
        </w:rPr>
        <w:t>Ô</w:t>
      </w:r>
      <w:r w:rsidRPr="00F24C2C">
        <w:rPr>
          <w:rFonts w:ascii="Times" w:hAnsi="Times"/>
          <w:b/>
          <w:bCs/>
          <w:szCs w:val="24"/>
        </w:rPr>
        <w:t>LE DE LA COUR DE JUSTICE</w:t>
      </w:r>
    </w:p>
    <w:p w14:paraId="5F3BA454" w14:textId="77777777" w:rsidR="00710B1B" w:rsidRDefault="00710B1B" w:rsidP="009B3FC5">
      <w:pPr>
        <w:numPr>
          <w:ilvl w:val="0"/>
          <w:numId w:val="0"/>
        </w:numPr>
        <w:spacing w:line="240" w:lineRule="auto"/>
        <w:jc w:val="left"/>
        <w:rPr>
          <w:rFonts w:ascii="Times" w:hAnsi="Times"/>
          <w:szCs w:val="24"/>
        </w:rPr>
      </w:pPr>
    </w:p>
    <w:p w14:paraId="179CD6C7" w14:textId="15BB8EE8" w:rsidR="00992E9B" w:rsidRDefault="00D0076C" w:rsidP="009B3FC5">
      <w:pPr>
        <w:numPr>
          <w:ilvl w:val="0"/>
          <w:numId w:val="0"/>
        </w:numPr>
        <w:spacing w:line="240" w:lineRule="auto"/>
        <w:rPr>
          <w:rFonts w:ascii="Times" w:hAnsi="Times"/>
          <w:szCs w:val="24"/>
        </w:rPr>
      </w:pPr>
      <w:r>
        <w:rPr>
          <w:rFonts w:ascii="Times" w:hAnsi="Times"/>
          <w:szCs w:val="24"/>
        </w:rPr>
        <w:t>Il est un point qui ne fait pas débat : l</w:t>
      </w:r>
      <w:r w:rsidR="00A52ACC">
        <w:rPr>
          <w:rFonts w:ascii="Times" w:hAnsi="Times"/>
          <w:szCs w:val="24"/>
        </w:rPr>
        <w:t>’</w:t>
      </w:r>
      <w:r>
        <w:rPr>
          <w:rFonts w:ascii="Times" w:hAnsi="Times"/>
          <w:szCs w:val="24"/>
        </w:rPr>
        <w:t>origine du formidable coup d</w:t>
      </w:r>
      <w:r w:rsidR="00A52ACC">
        <w:rPr>
          <w:rFonts w:ascii="Times" w:hAnsi="Times"/>
          <w:szCs w:val="24"/>
        </w:rPr>
        <w:t>’</w:t>
      </w:r>
      <w:r>
        <w:rPr>
          <w:rFonts w:ascii="Times" w:hAnsi="Times"/>
          <w:szCs w:val="24"/>
        </w:rPr>
        <w:t>accélérateur qu</w:t>
      </w:r>
      <w:r w:rsidR="00A52ACC">
        <w:rPr>
          <w:rFonts w:ascii="Times" w:hAnsi="Times"/>
          <w:szCs w:val="24"/>
        </w:rPr>
        <w:t>’</w:t>
      </w:r>
      <w:r>
        <w:rPr>
          <w:rFonts w:ascii="Times" w:hAnsi="Times"/>
          <w:szCs w:val="24"/>
        </w:rPr>
        <w:t>a mis l</w:t>
      </w:r>
      <w:r w:rsidR="00A52ACC">
        <w:rPr>
          <w:rFonts w:ascii="Times" w:hAnsi="Times"/>
          <w:szCs w:val="24"/>
        </w:rPr>
        <w:t>’</w:t>
      </w:r>
      <w:r>
        <w:rPr>
          <w:rFonts w:ascii="Times" w:hAnsi="Times"/>
          <w:szCs w:val="24"/>
        </w:rPr>
        <w:t>Union au développement du droit européen des investissements réside dans l</w:t>
      </w:r>
      <w:r w:rsidR="00A52ACC">
        <w:rPr>
          <w:rFonts w:ascii="Times" w:hAnsi="Times"/>
          <w:szCs w:val="24"/>
        </w:rPr>
        <w:t>’</w:t>
      </w:r>
      <w:r>
        <w:rPr>
          <w:rFonts w:ascii="Times" w:hAnsi="Times"/>
          <w:szCs w:val="24"/>
        </w:rPr>
        <w:t xml:space="preserve">arrêt </w:t>
      </w:r>
      <w:proofErr w:type="spellStart"/>
      <w:r>
        <w:rPr>
          <w:rFonts w:ascii="Times" w:hAnsi="Times"/>
          <w:i/>
          <w:iCs/>
          <w:szCs w:val="24"/>
        </w:rPr>
        <w:t>Achmea</w:t>
      </w:r>
      <w:proofErr w:type="spellEnd"/>
      <w:r>
        <w:rPr>
          <w:rFonts w:ascii="Times" w:hAnsi="Times"/>
          <w:szCs w:val="24"/>
        </w:rPr>
        <w:t>, et donc dans la Cour de justice de l</w:t>
      </w:r>
      <w:r w:rsidR="00A52ACC">
        <w:rPr>
          <w:rFonts w:ascii="Times" w:hAnsi="Times"/>
          <w:szCs w:val="24"/>
        </w:rPr>
        <w:t>’</w:t>
      </w:r>
      <w:r>
        <w:rPr>
          <w:rFonts w:ascii="Times" w:hAnsi="Times"/>
          <w:szCs w:val="24"/>
        </w:rPr>
        <w:t>Union. On le sait : d</w:t>
      </w:r>
      <w:r w:rsidR="00A52ACC">
        <w:rPr>
          <w:rFonts w:ascii="Times" w:hAnsi="Times"/>
          <w:szCs w:val="24"/>
        </w:rPr>
        <w:t>’</w:t>
      </w:r>
      <w:r>
        <w:rPr>
          <w:rFonts w:ascii="Times" w:hAnsi="Times"/>
          <w:szCs w:val="24"/>
        </w:rPr>
        <w:t>autres solutions étaient possibles</w:t>
      </w:r>
      <w:r>
        <w:rPr>
          <w:rStyle w:val="Appelnotedebasdep"/>
          <w:rFonts w:ascii="Times" w:hAnsi="Times"/>
          <w:szCs w:val="24"/>
        </w:rPr>
        <w:footnoteReference w:id="28"/>
      </w:r>
      <w:r>
        <w:rPr>
          <w:rFonts w:ascii="Times" w:hAnsi="Times"/>
          <w:szCs w:val="24"/>
        </w:rPr>
        <w:t xml:space="preserve">, et </w:t>
      </w:r>
      <w:r>
        <w:rPr>
          <w:rFonts w:ascii="Times" w:hAnsi="Times"/>
          <w:szCs w:val="24"/>
        </w:rPr>
        <w:lastRenderedPageBreak/>
        <w:t>le rôle de la Cour a été prépondérant par rapport aux autres institutions européennes</w:t>
      </w:r>
      <w:r>
        <w:rPr>
          <w:rStyle w:val="Appelnotedebasdep"/>
          <w:rFonts w:ascii="Times" w:hAnsi="Times"/>
          <w:szCs w:val="24"/>
        </w:rPr>
        <w:footnoteReference w:id="29"/>
      </w:r>
      <w:r>
        <w:rPr>
          <w:rFonts w:ascii="Times" w:hAnsi="Times"/>
          <w:szCs w:val="24"/>
        </w:rPr>
        <w:t>.</w:t>
      </w:r>
      <w:r w:rsidR="002D1B58">
        <w:rPr>
          <w:rFonts w:ascii="Times" w:hAnsi="Times"/>
          <w:szCs w:val="24"/>
        </w:rPr>
        <w:t xml:space="preserve"> Bien que la Cour soit autonome et indépendante, cette décision – contraire, faut-il le rappeler, aux conclusions de l</w:t>
      </w:r>
      <w:r w:rsidR="00A52ACC">
        <w:rPr>
          <w:rFonts w:ascii="Times" w:hAnsi="Times"/>
          <w:szCs w:val="24"/>
        </w:rPr>
        <w:t>’</w:t>
      </w:r>
      <w:r w:rsidR="002D1B58">
        <w:rPr>
          <w:rFonts w:ascii="Times" w:hAnsi="Times"/>
          <w:szCs w:val="24"/>
        </w:rPr>
        <w:t>avocat général qui rappelait sur le point litigieux que la Commission pouvait toujours poursuivre et sanctionner un État membre qui donnerait effet à une sentence arbitrale interprétant incorrectement ou méconnaissant le droit de l</w:t>
      </w:r>
      <w:r w:rsidR="00A52ACC">
        <w:rPr>
          <w:rFonts w:ascii="Times" w:hAnsi="Times"/>
          <w:szCs w:val="24"/>
        </w:rPr>
        <w:t>’</w:t>
      </w:r>
      <w:r w:rsidR="002D1B58">
        <w:rPr>
          <w:rFonts w:ascii="Times" w:hAnsi="Times"/>
          <w:szCs w:val="24"/>
        </w:rPr>
        <w:t>Union</w:t>
      </w:r>
      <w:r w:rsidR="002D1B58">
        <w:rPr>
          <w:rStyle w:val="Appelnotedebasdep"/>
          <w:rFonts w:ascii="Times" w:hAnsi="Times"/>
          <w:szCs w:val="24"/>
        </w:rPr>
        <w:footnoteReference w:id="30"/>
      </w:r>
      <w:r w:rsidR="002D1B58">
        <w:rPr>
          <w:rFonts w:ascii="Times" w:hAnsi="Times"/>
          <w:szCs w:val="24"/>
        </w:rPr>
        <w:t xml:space="preserve"> – laisse à entrevoir une volonté propre à la Cour</w:t>
      </w:r>
      <w:r w:rsidR="00992E9B">
        <w:rPr>
          <w:rFonts w:ascii="Times" w:hAnsi="Times"/>
          <w:szCs w:val="24"/>
        </w:rPr>
        <w:t>, une « vision » de ce que devrait être le droit de l</w:t>
      </w:r>
      <w:r w:rsidR="00A52ACC">
        <w:rPr>
          <w:rFonts w:ascii="Times" w:hAnsi="Times"/>
          <w:szCs w:val="24"/>
        </w:rPr>
        <w:t>’</w:t>
      </w:r>
      <w:r w:rsidR="00992E9B">
        <w:rPr>
          <w:rFonts w:ascii="Times" w:hAnsi="Times"/>
          <w:szCs w:val="24"/>
        </w:rPr>
        <w:t>Union. La question de l</w:t>
      </w:r>
      <w:r w:rsidR="00A52ACC">
        <w:rPr>
          <w:rFonts w:ascii="Times" w:hAnsi="Times"/>
          <w:szCs w:val="24"/>
        </w:rPr>
        <w:t>’</w:t>
      </w:r>
      <w:r w:rsidR="00992E9B">
        <w:rPr>
          <w:rFonts w:ascii="Times" w:hAnsi="Times"/>
          <w:szCs w:val="24"/>
        </w:rPr>
        <w:t>articulation de cette vision avec celle des autres institutions et surtout des États membres ne peut être éludée : quelle est la place des États, qui restent souverains, dans cette équation ?</w:t>
      </w:r>
    </w:p>
    <w:p w14:paraId="6F7150BB" w14:textId="77777777" w:rsidR="00992E9B" w:rsidRDefault="00992E9B" w:rsidP="009B3FC5">
      <w:pPr>
        <w:numPr>
          <w:ilvl w:val="0"/>
          <w:numId w:val="0"/>
        </w:numPr>
        <w:spacing w:line="240" w:lineRule="auto"/>
        <w:rPr>
          <w:rFonts w:ascii="Times" w:hAnsi="Times"/>
          <w:szCs w:val="24"/>
        </w:rPr>
      </w:pPr>
    </w:p>
    <w:p w14:paraId="7C99C6DB" w14:textId="7AD7B556" w:rsidR="00992E9B" w:rsidRPr="00992E9B" w:rsidRDefault="00992E9B" w:rsidP="009B3FC5">
      <w:pPr>
        <w:numPr>
          <w:ilvl w:val="0"/>
          <w:numId w:val="0"/>
        </w:numPr>
        <w:spacing w:line="240" w:lineRule="auto"/>
        <w:rPr>
          <w:rFonts w:ascii="Times" w:hAnsi="Times"/>
          <w:szCs w:val="24"/>
        </w:rPr>
      </w:pPr>
      <w:r w:rsidRPr="00992E9B">
        <w:rPr>
          <w:rFonts w:ascii="Times" w:hAnsi="Times"/>
          <w:szCs w:val="24"/>
        </w:rPr>
        <w:t>Devant la Cour, deux groupes d</w:t>
      </w:r>
      <w:r w:rsidR="00A52ACC">
        <w:rPr>
          <w:rFonts w:ascii="Times" w:hAnsi="Times"/>
          <w:szCs w:val="24"/>
        </w:rPr>
        <w:t>’</w:t>
      </w:r>
      <w:r w:rsidRPr="00992E9B">
        <w:rPr>
          <w:rFonts w:ascii="Times" w:hAnsi="Times"/>
          <w:szCs w:val="24"/>
        </w:rPr>
        <w:t>États d</w:t>
      </w:r>
      <w:r w:rsidR="00A52ACC">
        <w:rPr>
          <w:rFonts w:ascii="Times" w:hAnsi="Times"/>
          <w:szCs w:val="24"/>
        </w:rPr>
        <w:t>’</w:t>
      </w:r>
      <w:r w:rsidRPr="00992E9B">
        <w:rPr>
          <w:rFonts w:ascii="Times" w:hAnsi="Times"/>
          <w:szCs w:val="24"/>
        </w:rPr>
        <w:t>opposaient. D</w:t>
      </w:r>
      <w:r w:rsidR="00A52ACC">
        <w:rPr>
          <w:rFonts w:ascii="Times" w:hAnsi="Times"/>
          <w:szCs w:val="24"/>
        </w:rPr>
        <w:t>’</w:t>
      </w:r>
      <w:r w:rsidRPr="00992E9B">
        <w:rPr>
          <w:rFonts w:ascii="Times" w:hAnsi="Times"/>
          <w:szCs w:val="24"/>
        </w:rPr>
        <w:t>un côté figuraient les États, dont le couple franco-allemand, qui ne voyaient pas de difficulté dans la compatibilité des clauses d</w:t>
      </w:r>
      <w:r w:rsidR="00A52ACC">
        <w:rPr>
          <w:rFonts w:ascii="Times" w:hAnsi="Times"/>
          <w:szCs w:val="24"/>
        </w:rPr>
        <w:t>’</w:t>
      </w:r>
      <w:r w:rsidRPr="00992E9B">
        <w:rPr>
          <w:rFonts w:ascii="Times" w:hAnsi="Times"/>
          <w:szCs w:val="24"/>
        </w:rPr>
        <w:t>arbitrage des TBI y compris intra-européens : Allemagne, France, Pays-Bas, Autriche, Finlande. Il faut dire, comme le soulignait l</w:t>
      </w:r>
      <w:r w:rsidR="00A52ACC">
        <w:rPr>
          <w:rFonts w:ascii="Times" w:hAnsi="Times"/>
          <w:szCs w:val="24"/>
        </w:rPr>
        <w:t>’</w:t>
      </w:r>
      <w:r w:rsidRPr="00992E9B">
        <w:rPr>
          <w:rFonts w:ascii="Times" w:hAnsi="Times"/>
          <w:szCs w:val="24"/>
        </w:rPr>
        <w:t>avocat général, qu</w:t>
      </w:r>
      <w:r w:rsidR="00A52ACC">
        <w:rPr>
          <w:rFonts w:ascii="Times" w:hAnsi="Times"/>
          <w:szCs w:val="24"/>
        </w:rPr>
        <w:t>’</w:t>
      </w:r>
      <w:r w:rsidRPr="00992E9B">
        <w:rPr>
          <w:rFonts w:ascii="Times" w:hAnsi="Times"/>
          <w:szCs w:val="24"/>
        </w:rPr>
        <w:t xml:space="preserve">ils sont </w:t>
      </w:r>
      <w:r w:rsidR="00467E1F">
        <w:rPr>
          <w:rFonts w:ascii="Times" w:hAnsi="Times"/>
          <w:szCs w:val="24"/>
        </w:rPr>
        <w:t>« </w:t>
      </w:r>
      <w:r w:rsidRPr="00992E9B">
        <w:rPr>
          <w:rFonts w:ascii="Times" w:hAnsi="Times"/>
          <w:szCs w:val="24"/>
        </w:rPr>
        <w:t>essentiellement des pays d</w:t>
      </w:r>
      <w:r w:rsidR="00A52ACC">
        <w:rPr>
          <w:rFonts w:ascii="Times" w:hAnsi="Times"/>
          <w:szCs w:val="24"/>
        </w:rPr>
        <w:t>’</w:t>
      </w:r>
      <w:r w:rsidRPr="00992E9B">
        <w:rPr>
          <w:rFonts w:ascii="Times" w:hAnsi="Times"/>
          <w:szCs w:val="24"/>
        </w:rPr>
        <w:t>origine des investisseurs et, par conséquent, jamais ou rarement cités comme parties défenderesses dans des procédures arbitrales lancées par des investisseurs</w:t>
      </w:r>
      <w:r w:rsidR="00467E1F">
        <w:rPr>
          <w:rFonts w:ascii="Times" w:hAnsi="Times"/>
          <w:szCs w:val="24"/>
        </w:rPr>
        <w:t> »</w:t>
      </w:r>
      <w:r w:rsidR="00467E1F">
        <w:rPr>
          <w:rStyle w:val="Appelnotedebasdep"/>
          <w:rFonts w:ascii="Times" w:hAnsi="Times"/>
          <w:szCs w:val="24"/>
        </w:rPr>
        <w:footnoteReference w:id="31"/>
      </w:r>
      <w:r w:rsidRPr="00992E9B">
        <w:rPr>
          <w:rFonts w:ascii="Times" w:hAnsi="Times"/>
          <w:szCs w:val="24"/>
        </w:rPr>
        <w:t>. Au support de l</w:t>
      </w:r>
      <w:r w:rsidR="00A52ACC">
        <w:rPr>
          <w:rFonts w:ascii="Times" w:hAnsi="Times"/>
          <w:szCs w:val="24"/>
        </w:rPr>
        <w:t>’</w:t>
      </w:r>
      <w:r w:rsidRPr="00992E9B">
        <w:rPr>
          <w:rFonts w:ascii="Times" w:hAnsi="Times"/>
          <w:szCs w:val="24"/>
        </w:rPr>
        <w:t>argumentation slovaque, qui invoquait l</w:t>
      </w:r>
      <w:r w:rsidR="00A52ACC">
        <w:rPr>
          <w:rFonts w:ascii="Times" w:hAnsi="Times"/>
          <w:szCs w:val="24"/>
        </w:rPr>
        <w:t>’</w:t>
      </w:r>
      <w:r w:rsidRPr="00992E9B">
        <w:rPr>
          <w:rFonts w:ascii="Times" w:hAnsi="Times"/>
          <w:szCs w:val="24"/>
        </w:rPr>
        <w:t>incompatibilité de ces clauses avec le droit de l</w:t>
      </w:r>
      <w:r w:rsidR="00A52ACC">
        <w:rPr>
          <w:rFonts w:ascii="Times" w:hAnsi="Times"/>
          <w:szCs w:val="24"/>
        </w:rPr>
        <w:t>’</w:t>
      </w:r>
      <w:r w:rsidRPr="00992E9B">
        <w:rPr>
          <w:rFonts w:ascii="Times" w:hAnsi="Times"/>
          <w:szCs w:val="24"/>
        </w:rPr>
        <w:t>Union, figuraient des États régulièrement défendeurs devant des tribunaux d</w:t>
      </w:r>
      <w:r w:rsidR="00A52ACC">
        <w:rPr>
          <w:rFonts w:ascii="Times" w:hAnsi="Times"/>
          <w:szCs w:val="24"/>
        </w:rPr>
        <w:t>’</w:t>
      </w:r>
      <w:r w:rsidRPr="00992E9B">
        <w:rPr>
          <w:rFonts w:ascii="Times" w:hAnsi="Times"/>
          <w:szCs w:val="24"/>
        </w:rPr>
        <w:t>investissements : République tchèque, Estonie, Grèce, Espagne, Italie, Chypre, Lettonie, Hongrie, Pologne, Roumanie. D</w:t>
      </w:r>
      <w:r w:rsidR="00A52ACC">
        <w:rPr>
          <w:rFonts w:ascii="Times" w:hAnsi="Times"/>
          <w:szCs w:val="24"/>
        </w:rPr>
        <w:t>’</w:t>
      </w:r>
      <w:r w:rsidRPr="00992E9B">
        <w:rPr>
          <w:rFonts w:ascii="Times" w:hAnsi="Times"/>
          <w:szCs w:val="24"/>
        </w:rPr>
        <w:t xml:space="preserve">autres États, comme la Belgique, le Luxembourg, le Portugal, le Royaume-Uni ou la Suède </w:t>
      </w:r>
      <w:r w:rsidR="00467E1F">
        <w:rPr>
          <w:rFonts w:ascii="Times" w:hAnsi="Times"/>
          <w:szCs w:val="24"/>
        </w:rPr>
        <w:t>–</w:t>
      </w:r>
      <w:r w:rsidRPr="00992E9B">
        <w:rPr>
          <w:rFonts w:ascii="Times" w:hAnsi="Times"/>
          <w:szCs w:val="24"/>
        </w:rPr>
        <w:t xml:space="preserve"> certaines des capitales de ces États étant de hauts lieux d</w:t>
      </w:r>
      <w:r w:rsidR="00467E1F">
        <w:rPr>
          <w:rFonts w:ascii="Times" w:hAnsi="Times"/>
          <w:szCs w:val="24"/>
        </w:rPr>
        <w:t>e l</w:t>
      </w:r>
      <w:r w:rsidR="00A52ACC">
        <w:rPr>
          <w:rFonts w:ascii="Times" w:hAnsi="Times"/>
          <w:szCs w:val="24"/>
        </w:rPr>
        <w:t>’</w:t>
      </w:r>
      <w:r w:rsidRPr="00992E9B">
        <w:rPr>
          <w:rFonts w:ascii="Times" w:hAnsi="Times"/>
          <w:szCs w:val="24"/>
        </w:rPr>
        <w:t>arbitrage d</w:t>
      </w:r>
      <w:r w:rsidR="00A52ACC">
        <w:rPr>
          <w:rFonts w:ascii="Times" w:hAnsi="Times"/>
          <w:szCs w:val="24"/>
        </w:rPr>
        <w:t>’</w:t>
      </w:r>
      <w:r w:rsidRPr="00992E9B">
        <w:rPr>
          <w:rFonts w:ascii="Times" w:hAnsi="Times"/>
          <w:szCs w:val="24"/>
        </w:rPr>
        <w:t xml:space="preserve">investissement </w:t>
      </w:r>
      <w:r w:rsidR="00467E1F">
        <w:rPr>
          <w:rFonts w:ascii="Times" w:hAnsi="Times"/>
          <w:szCs w:val="24"/>
        </w:rPr>
        <w:t>–</w:t>
      </w:r>
      <w:r w:rsidRPr="00992E9B">
        <w:rPr>
          <w:rFonts w:ascii="Times" w:hAnsi="Times"/>
          <w:szCs w:val="24"/>
        </w:rPr>
        <w:t xml:space="preserve"> ne sont pas intervenus. De cette liste découle une évidence : les avis des États membres étaient partagés sur la question, de sorte que la réponse ne s</w:t>
      </w:r>
      <w:r w:rsidR="00A52ACC">
        <w:rPr>
          <w:rFonts w:ascii="Times" w:hAnsi="Times"/>
          <w:szCs w:val="24"/>
        </w:rPr>
        <w:t>’</w:t>
      </w:r>
      <w:r w:rsidRPr="00992E9B">
        <w:rPr>
          <w:rFonts w:ascii="Times" w:hAnsi="Times"/>
          <w:szCs w:val="24"/>
        </w:rPr>
        <w:t>imposait pas.</w:t>
      </w:r>
    </w:p>
    <w:p w14:paraId="326EC7DB" w14:textId="77777777" w:rsidR="00992E9B" w:rsidRPr="00992E9B" w:rsidRDefault="00992E9B" w:rsidP="009B3FC5">
      <w:pPr>
        <w:numPr>
          <w:ilvl w:val="0"/>
          <w:numId w:val="0"/>
        </w:numPr>
        <w:spacing w:line="240" w:lineRule="auto"/>
        <w:rPr>
          <w:rFonts w:ascii="Times" w:hAnsi="Times"/>
          <w:szCs w:val="24"/>
        </w:rPr>
      </w:pPr>
    </w:p>
    <w:p w14:paraId="5EF5DF9E" w14:textId="61A5E0B9" w:rsidR="00992E9B" w:rsidRDefault="00992E9B" w:rsidP="009B3FC5">
      <w:pPr>
        <w:numPr>
          <w:ilvl w:val="0"/>
          <w:numId w:val="0"/>
        </w:numPr>
        <w:spacing w:line="240" w:lineRule="auto"/>
        <w:rPr>
          <w:rFonts w:ascii="Times" w:hAnsi="Times"/>
          <w:szCs w:val="24"/>
        </w:rPr>
      </w:pPr>
      <w:r w:rsidRPr="00992E9B">
        <w:rPr>
          <w:rFonts w:ascii="Times" w:hAnsi="Times"/>
          <w:szCs w:val="24"/>
        </w:rPr>
        <w:t>Il n</w:t>
      </w:r>
      <w:r w:rsidR="00A52ACC">
        <w:rPr>
          <w:rFonts w:ascii="Times" w:hAnsi="Times"/>
          <w:szCs w:val="24"/>
        </w:rPr>
        <w:t>’</w:t>
      </w:r>
      <w:r w:rsidRPr="00992E9B">
        <w:rPr>
          <w:rFonts w:ascii="Times" w:hAnsi="Times"/>
          <w:szCs w:val="24"/>
        </w:rPr>
        <w:t>est pas non plus inintéressant de s</w:t>
      </w:r>
      <w:r w:rsidR="00A52ACC">
        <w:rPr>
          <w:rFonts w:ascii="Times" w:hAnsi="Times"/>
          <w:szCs w:val="24"/>
        </w:rPr>
        <w:t>’</w:t>
      </w:r>
      <w:r w:rsidRPr="00992E9B">
        <w:rPr>
          <w:rFonts w:ascii="Times" w:hAnsi="Times"/>
          <w:szCs w:val="24"/>
        </w:rPr>
        <w:t>arrêter sur les interrogations de l</w:t>
      </w:r>
      <w:r w:rsidR="00A52ACC">
        <w:rPr>
          <w:rFonts w:ascii="Times" w:hAnsi="Times"/>
          <w:szCs w:val="24"/>
        </w:rPr>
        <w:t>’</w:t>
      </w:r>
      <w:r w:rsidRPr="00992E9B">
        <w:rPr>
          <w:rFonts w:ascii="Times" w:hAnsi="Times"/>
          <w:szCs w:val="24"/>
        </w:rPr>
        <w:t xml:space="preserve">avocat général </w:t>
      </w:r>
      <w:r w:rsidR="00467E1F">
        <w:rPr>
          <w:rFonts w:ascii="Times" w:hAnsi="Times"/>
          <w:szCs w:val="24"/>
        </w:rPr>
        <w:t>concernant la position de la Commission, s</w:t>
      </w:r>
      <w:r w:rsidR="00A52ACC">
        <w:rPr>
          <w:rFonts w:ascii="Times" w:hAnsi="Times"/>
          <w:szCs w:val="24"/>
        </w:rPr>
        <w:t>’</w:t>
      </w:r>
      <w:r w:rsidR="00467E1F">
        <w:rPr>
          <w:rFonts w:ascii="Times" w:hAnsi="Times"/>
          <w:szCs w:val="24"/>
        </w:rPr>
        <w:t>exprimant dans l</w:t>
      </w:r>
      <w:r w:rsidR="00A52ACC">
        <w:rPr>
          <w:rFonts w:ascii="Times" w:hAnsi="Times"/>
          <w:szCs w:val="24"/>
        </w:rPr>
        <w:t>’</w:t>
      </w:r>
      <w:r w:rsidR="00467E1F">
        <w:rPr>
          <w:rFonts w:ascii="Times" w:hAnsi="Times"/>
          <w:szCs w:val="24"/>
        </w:rPr>
        <w:t>intérêt de l</w:t>
      </w:r>
      <w:r w:rsidR="00A52ACC">
        <w:rPr>
          <w:rFonts w:ascii="Times" w:hAnsi="Times"/>
          <w:szCs w:val="24"/>
        </w:rPr>
        <w:t>’</w:t>
      </w:r>
      <w:r w:rsidR="00467E1F">
        <w:rPr>
          <w:rFonts w:ascii="Times" w:hAnsi="Times"/>
          <w:szCs w:val="24"/>
        </w:rPr>
        <w:t>Union :</w:t>
      </w:r>
    </w:p>
    <w:p w14:paraId="0FBCF04C" w14:textId="77777777" w:rsidR="00467E1F" w:rsidRPr="00992E9B" w:rsidRDefault="00467E1F" w:rsidP="009B3FC5">
      <w:pPr>
        <w:numPr>
          <w:ilvl w:val="0"/>
          <w:numId w:val="0"/>
        </w:numPr>
        <w:spacing w:line="240" w:lineRule="auto"/>
        <w:rPr>
          <w:rFonts w:ascii="Times" w:hAnsi="Times"/>
          <w:szCs w:val="24"/>
        </w:rPr>
      </w:pPr>
    </w:p>
    <w:p w14:paraId="66F39953" w14:textId="7EF68B82" w:rsidR="00992E9B" w:rsidRDefault="00992E9B" w:rsidP="009B3FC5">
      <w:pPr>
        <w:numPr>
          <w:ilvl w:val="0"/>
          <w:numId w:val="0"/>
        </w:numPr>
        <w:spacing w:line="240" w:lineRule="auto"/>
        <w:rPr>
          <w:rFonts w:ascii="Times" w:hAnsi="Times"/>
          <w:szCs w:val="24"/>
        </w:rPr>
      </w:pPr>
      <w:r>
        <w:rPr>
          <w:rFonts w:ascii="Times" w:hAnsi="Times"/>
          <w:szCs w:val="24"/>
        </w:rPr>
        <w:t>« </w:t>
      </w:r>
      <w:r w:rsidRPr="00992E9B">
        <w:rPr>
          <w:rFonts w:ascii="Times" w:hAnsi="Times"/>
          <w:szCs w:val="24"/>
        </w:rPr>
        <w:t>La thèse de la Commission m</w:t>
      </w:r>
      <w:r w:rsidR="00A52ACC">
        <w:rPr>
          <w:rFonts w:ascii="Times" w:hAnsi="Times"/>
          <w:szCs w:val="24"/>
        </w:rPr>
        <w:t>’</w:t>
      </w:r>
      <w:r w:rsidRPr="00992E9B">
        <w:rPr>
          <w:rFonts w:ascii="Times" w:hAnsi="Times"/>
          <w:szCs w:val="24"/>
        </w:rPr>
        <w:t>interpelle également.</w:t>
      </w:r>
      <w:r>
        <w:rPr>
          <w:rFonts w:ascii="Times" w:hAnsi="Times"/>
          <w:szCs w:val="24"/>
        </w:rPr>
        <w:t xml:space="preserve"> </w:t>
      </w:r>
      <w:r w:rsidRPr="00992E9B">
        <w:rPr>
          <w:rFonts w:ascii="Times" w:hAnsi="Times"/>
          <w:szCs w:val="24"/>
        </w:rPr>
        <w:t>En effet, pendant une très longue période, la thèse des institutions de l</w:t>
      </w:r>
      <w:r w:rsidR="00A52ACC">
        <w:rPr>
          <w:rFonts w:ascii="Times" w:hAnsi="Times"/>
          <w:szCs w:val="24"/>
        </w:rPr>
        <w:t>’</w:t>
      </w:r>
      <w:r w:rsidRPr="00992E9B">
        <w:rPr>
          <w:rFonts w:ascii="Times" w:hAnsi="Times"/>
          <w:szCs w:val="24"/>
        </w:rPr>
        <w:t>Union, y compris de la Commission, consistait à dire que, loin d</w:t>
      </w:r>
      <w:r w:rsidR="00A52ACC">
        <w:rPr>
          <w:rFonts w:ascii="Times" w:hAnsi="Times"/>
          <w:szCs w:val="24"/>
        </w:rPr>
        <w:t>’</w:t>
      </w:r>
      <w:r w:rsidRPr="00992E9B">
        <w:rPr>
          <w:rFonts w:ascii="Times" w:hAnsi="Times"/>
          <w:szCs w:val="24"/>
        </w:rPr>
        <w:t>être incompatibles avec le droit de l</w:t>
      </w:r>
      <w:r w:rsidR="00A52ACC">
        <w:rPr>
          <w:rFonts w:ascii="Times" w:hAnsi="Times"/>
          <w:szCs w:val="24"/>
        </w:rPr>
        <w:t>’</w:t>
      </w:r>
      <w:r w:rsidRPr="00992E9B">
        <w:rPr>
          <w:rFonts w:ascii="Times" w:hAnsi="Times"/>
          <w:szCs w:val="24"/>
        </w:rPr>
        <w:t>Union, les TBI étaient des instruments nécessaires pour préparer l</w:t>
      </w:r>
      <w:r w:rsidR="00A52ACC">
        <w:rPr>
          <w:rFonts w:ascii="Times" w:hAnsi="Times"/>
          <w:szCs w:val="24"/>
        </w:rPr>
        <w:t>’</w:t>
      </w:r>
      <w:r w:rsidRPr="00992E9B">
        <w:rPr>
          <w:rFonts w:ascii="Times" w:hAnsi="Times"/>
          <w:szCs w:val="24"/>
        </w:rPr>
        <w:t>adhésion à l</w:t>
      </w:r>
      <w:r w:rsidR="00A52ACC">
        <w:rPr>
          <w:rFonts w:ascii="Times" w:hAnsi="Times"/>
          <w:szCs w:val="24"/>
        </w:rPr>
        <w:t>’</w:t>
      </w:r>
      <w:r w:rsidRPr="00992E9B">
        <w:rPr>
          <w:rFonts w:ascii="Times" w:hAnsi="Times"/>
          <w:szCs w:val="24"/>
        </w:rPr>
        <w:t>Union des pays de l</w:t>
      </w:r>
      <w:r w:rsidR="00A52ACC">
        <w:rPr>
          <w:rFonts w:ascii="Times" w:hAnsi="Times"/>
          <w:szCs w:val="24"/>
        </w:rPr>
        <w:t>’</w:t>
      </w:r>
      <w:r w:rsidRPr="00992E9B">
        <w:rPr>
          <w:rFonts w:ascii="Times" w:hAnsi="Times"/>
          <w:szCs w:val="24"/>
        </w:rPr>
        <w:t>Europe centrale et orientale. Les accords d</w:t>
      </w:r>
      <w:r w:rsidR="00A52ACC">
        <w:rPr>
          <w:rFonts w:ascii="Times" w:hAnsi="Times"/>
          <w:szCs w:val="24"/>
        </w:rPr>
        <w:t>’</w:t>
      </w:r>
      <w:r w:rsidRPr="00992E9B">
        <w:rPr>
          <w:rFonts w:ascii="Times" w:hAnsi="Times"/>
          <w:szCs w:val="24"/>
        </w:rPr>
        <w:t>association signés entre l</w:t>
      </w:r>
      <w:r w:rsidR="00A52ACC">
        <w:rPr>
          <w:rFonts w:ascii="Times" w:hAnsi="Times"/>
          <w:szCs w:val="24"/>
        </w:rPr>
        <w:t>’</w:t>
      </w:r>
      <w:r w:rsidRPr="00992E9B">
        <w:rPr>
          <w:rFonts w:ascii="Times" w:hAnsi="Times"/>
          <w:szCs w:val="24"/>
        </w:rPr>
        <w:t>Union et les pays candidats comprenaient d</w:t>
      </w:r>
      <w:r w:rsidR="00A52ACC">
        <w:rPr>
          <w:rFonts w:ascii="Times" w:hAnsi="Times"/>
          <w:szCs w:val="24"/>
        </w:rPr>
        <w:t>’</w:t>
      </w:r>
      <w:r w:rsidRPr="00992E9B">
        <w:rPr>
          <w:rFonts w:ascii="Times" w:hAnsi="Times"/>
          <w:szCs w:val="24"/>
        </w:rPr>
        <w:t>ailleurs des dispositions prévoyant la conclusion de TBI entre les États membres et les pays candidats.</w:t>
      </w:r>
      <w:r>
        <w:rPr>
          <w:rFonts w:ascii="Times" w:hAnsi="Times"/>
          <w:szCs w:val="24"/>
        </w:rPr>
        <w:t xml:space="preserve"> </w:t>
      </w:r>
      <w:r w:rsidRPr="00992E9B">
        <w:rPr>
          <w:rFonts w:ascii="Times" w:hAnsi="Times"/>
          <w:szCs w:val="24"/>
        </w:rPr>
        <w:t>Lors de l</w:t>
      </w:r>
      <w:r w:rsidR="00A52ACC">
        <w:rPr>
          <w:rFonts w:ascii="Times" w:hAnsi="Times"/>
          <w:szCs w:val="24"/>
        </w:rPr>
        <w:t>’</w:t>
      </w:r>
      <w:r w:rsidRPr="00992E9B">
        <w:rPr>
          <w:rFonts w:ascii="Times" w:hAnsi="Times"/>
          <w:szCs w:val="24"/>
        </w:rPr>
        <w:t>audience, la Commission a essayé d</w:t>
      </w:r>
      <w:r w:rsidR="00A52ACC">
        <w:rPr>
          <w:rFonts w:ascii="Times" w:hAnsi="Times"/>
          <w:szCs w:val="24"/>
        </w:rPr>
        <w:t>’</w:t>
      </w:r>
      <w:r w:rsidRPr="00992E9B">
        <w:rPr>
          <w:rFonts w:ascii="Times" w:hAnsi="Times"/>
          <w:szCs w:val="24"/>
        </w:rPr>
        <w:t>expliquer cette évolution de sa position sur l</w:t>
      </w:r>
      <w:r w:rsidR="00A52ACC">
        <w:rPr>
          <w:rFonts w:ascii="Times" w:hAnsi="Times"/>
          <w:szCs w:val="24"/>
        </w:rPr>
        <w:t>’</w:t>
      </w:r>
      <w:r w:rsidRPr="00992E9B">
        <w:rPr>
          <w:rFonts w:ascii="Times" w:hAnsi="Times"/>
          <w:szCs w:val="24"/>
        </w:rPr>
        <w:t>incompatibilité des TBI avec les traités UE et FUE, en soutenant qu</w:t>
      </w:r>
      <w:r w:rsidR="00A52ACC">
        <w:rPr>
          <w:rFonts w:ascii="Times" w:hAnsi="Times"/>
          <w:szCs w:val="24"/>
        </w:rPr>
        <w:t>’</w:t>
      </w:r>
      <w:r w:rsidRPr="00992E9B">
        <w:rPr>
          <w:rFonts w:ascii="Times" w:hAnsi="Times"/>
          <w:szCs w:val="24"/>
        </w:rPr>
        <w:t>il s</w:t>
      </w:r>
      <w:r w:rsidR="00A52ACC">
        <w:rPr>
          <w:rFonts w:ascii="Times" w:hAnsi="Times"/>
          <w:szCs w:val="24"/>
        </w:rPr>
        <w:t>’</w:t>
      </w:r>
      <w:r w:rsidRPr="00992E9B">
        <w:rPr>
          <w:rFonts w:ascii="Times" w:hAnsi="Times"/>
          <w:szCs w:val="24"/>
        </w:rPr>
        <w:t>agissait d</w:t>
      </w:r>
      <w:r w:rsidR="00A52ACC">
        <w:rPr>
          <w:rFonts w:ascii="Times" w:hAnsi="Times"/>
          <w:szCs w:val="24"/>
        </w:rPr>
        <w:t>’</w:t>
      </w:r>
      <w:r w:rsidRPr="00992E9B">
        <w:rPr>
          <w:rFonts w:ascii="Times" w:hAnsi="Times"/>
          <w:szCs w:val="24"/>
        </w:rPr>
        <w:t>accords nécessaires pour préparer l</w:t>
      </w:r>
      <w:r w:rsidR="00A52ACC">
        <w:rPr>
          <w:rFonts w:ascii="Times" w:hAnsi="Times"/>
          <w:szCs w:val="24"/>
        </w:rPr>
        <w:t>’</w:t>
      </w:r>
      <w:r w:rsidRPr="00992E9B">
        <w:rPr>
          <w:rFonts w:ascii="Times" w:hAnsi="Times"/>
          <w:szCs w:val="24"/>
        </w:rPr>
        <w:t>adhésion des pays candidats. Toutefois, si ces TBI ne se justifiaient que pendant la période d</w:t>
      </w:r>
      <w:r w:rsidR="00A52ACC">
        <w:rPr>
          <w:rFonts w:ascii="Times" w:hAnsi="Times"/>
          <w:szCs w:val="24"/>
        </w:rPr>
        <w:t>’</w:t>
      </w:r>
      <w:r w:rsidRPr="00992E9B">
        <w:rPr>
          <w:rFonts w:ascii="Times" w:hAnsi="Times"/>
          <w:szCs w:val="24"/>
        </w:rPr>
        <w:t>association et si chaque partie savait qu</w:t>
      </w:r>
      <w:r w:rsidR="00A52ACC">
        <w:rPr>
          <w:rFonts w:ascii="Times" w:hAnsi="Times"/>
          <w:szCs w:val="24"/>
        </w:rPr>
        <w:t>’</w:t>
      </w:r>
      <w:r w:rsidRPr="00992E9B">
        <w:rPr>
          <w:rFonts w:ascii="Times" w:hAnsi="Times"/>
          <w:szCs w:val="24"/>
        </w:rPr>
        <w:t>ils deviendraient incompatibles avec les traités UE et FUE dès que l</w:t>
      </w:r>
      <w:r w:rsidR="00A52ACC">
        <w:rPr>
          <w:rFonts w:ascii="Times" w:hAnsi="Times"/>
          <w:szCs w:val="24"/>
        </w:rPr>
        <w:t>’</w:t>
      </w:r>
      <w:r w:rsidRPr="00992E9B">
        <w:rPr>
          <w:rFonts w:ascii="Times" w:hAnsi="Times"/>
          <w:szCs w:val="24"/>
        </w:rPr>
        <w:t>État tiers concerné serait devenu membre de l</w:t>
      </w:r>
      <w:r w:rsidR="00A52ACC">
        <w:rPr>
          <w:rFonts w:ascii="Times" w:hAnsi="Times"/>
          <w:szCs w:val="24"/>
        </w:rPr>
        <w:t>’</w:t>
      </w:r>
      <w:r w:rsidRPr="00992E9B">
        <w:rPr>
          <w:rFonts w:ascii="Times" w:hAnsi="Times"/>
          <w:szCs w:val="24"/>
        </w:rPr>
        <w:t>Union, pourquoi les traités d</w:t>
      </w:r>
      <w:r w:rsidR="00A52ACC">
        <w:rPr>
          <w:rFonts w:ascii="Times" w:hAnsi="Times"/>
          <w:szCs w:val="24"/>
        </w:rPr>
        <w:t>’</w:t>
      </w:r>
      <w:r w:rsidRPr="00992E9B">
        <w:rPr>
          <w:rFonts w:ascii="Times" w:hAnsi="Times"/>
          <w:szCs w:val="24"/>
        </w:rPr>
        <w:t>adhésion n</w:t>
      </w:r>
      <w:r w:rsidR="00A52ACC">
        <w:rPr>
          <w:rFonts w:ascii="Times" w:hAnsi="Times"/>
          <w:szCs w:val="24"/>
        </w:rPr>
        <w:t>’</w:t>
      </w:r>
      <w:r w:rsidRPr="00992E9B">
        <w:rPr>
          <w:rFonts w:ascii="Times" w:hAnsi="Times"/>
          <w:szCs w:val="24"/>
        </w:rPr>
        <w:t>ont-ils pas prévu de mettre fin à ces accords, les laissant ainsi dans une incertitude juridique qui perdure pour certains États membres depuis plus de 30 ans et pour beaucoup d</w:t>
      </w:r>
      <w:r w:rsidR="00A52ACC">
        <w:rPr>
          <w:rFonts w:ascii="Times" w:hAnsi="Times"/>
          <w:szCs w:val="24"/>
        </w:rPr>
        <w:t>’</w:t>
      </w:r>
      <w:r w:rsidRPr="00992E9B">
        <w:rPr>
          <w:rFonts w:ascii="Times" w:hAnsi="Times"/>
          <w:szCs w:val="24"/>
        </w:rPr>
        <w:t>autres depuis 13 ans</w:t>
      </w:r>
      <w:r w:rsidR="00467E1F">
        <w:rPr>
          <w:rFonts w:ascii="Times" w:hAnsi="Times"/>
          <w:szCs w:val="24"/>
        </w:rPr>
        <w:t> ?</w:t>
      </w:r>
      <w:r>
        <w:rPr>
          <w:rFonts w:ascii="Times" w:hAnsi="Times"/>
          <w:szCs w:val="24"/>
        </w:rPr>
        <w:t xml:space="preserve"> </w:t>
      </w:r>
      <w:r w:rsidRPr="00992E9B">
        <w:rPr>
          <w:rFonts w:ascii="Times" w:hAnsi="Times"/>
          <w:szCs w:val="24"/>
        </w:rPr>
        <w:t>De plus, dans l</w:t>
      </w:r>
      <w:r w:rsidR="00A52ACC">
        <w:rPr>
          <w:rFonts w:ascii="Times" w:hAnsi="Times"/>
          <w:szCs w:val="24"/>
        </w:rPr>
        <w:t>’</w:t>
      </w:r>
      <w:r w:rsidRPr="00992E9B">
        <w:rPr>
          <w:rFonts w:ascii="Times" w:hAnsi="Times"/>
          <w:szCs w:val="24"/>
        </w:rPr>
        <w:t>Union il n</w:t>
      </w:r>
      <w:r w:rsidR="00A52ACC">
        <w:rPr>
          <w:rFonts w:ascii="Times" w:hAnsi="Times"/>
          <w:szCs w:val="24"/>
        </w:rPr>
        <w:t>’</w:t>
      </w:r>
      <w:r w:rsidRPr="00992E9B">
        <w:rPr>
          <w:rFonts w:ascii="Times" w:hAnsi="Times"/>
          <w:szCs w:val="24"/>
        </w:rPr>
        <w:t>y a pas de traités d</w:t>
      </w:r>
      <w:r w:rsidR="00A52ACC">
        <w:rPr>
          <w:rFonts w:ascii="Times" w:hAnsi="Times"/>
          <w:szCs w:val="24"/>
        </w:rPr>
        <w:t>’</w:t>
      </w:r>
      <w:r w:rsidRPr="00992E9B">
        <w:rPr>
          <w:rFonts w:ascii="Times" w:hAnsi="Times"/>
          <w:szCs w:val="24"/>
        </w:rPr>
        <w:t>investissement uniquement entre pays d</w:t>
      </w:r>
      <w:r w:rsidR="00A52ACC">
        <w:rPr>
          <w:rFonts w:ascii="Times" w:hAnsi="Times"/>
          <w:szCs w:val="24"/>
        </w:rPr>
        <w:t>’</w:t>
      </w:r>
      <w:r w:rsidRPr="00992E9B">
        <w:rPr>
          <w:rFonts w:ascii="Times" w:hAnsi="Times"/>
          <w:szCs w:val="24"/>
        </w:rPr>
        <w:t>économie de marché et pays qui auparavant avaient connu une économie dirigée ou entre États membres et pays candidats à l</w:t>
      </w:r>
      <w:r w:rsidR="00A52ACC">
        <w:rPr>
          <w:rFonts w:ascii="Times" w:hAnsi="Times"/>
          <w:szCs w:val="24"/>
        </w:rPr>
        <w:t>’</w:t>
      </w:r>
      <w:r w:rsidRPr="00992E9B">
        <w:rPr>
          <w:rFonts w:ascii="Times" w:hAnsi="Times"/>
          <w:szCs w:val="24"/>
        </w:rPr>
        <w:t>adhésion, comme l</w:t>
      </w:r>
      <w:r w:rsidR="00A52ACC">
        <w:rPr>
          <w:rFonts w:ascii="Times" w:hAnsi="Times"/>
          <w:szCs w:val="24"/>
        </w:rPr>
        <w:t>’</w:t>
      </w:r>
      <w:r w:rsidRPr="00992E9B">
        <w:rPr>
          <w:rFonts w:ascii="Times" w:hAnsi="Times"/>
          <w:szCs w:val="24"/>
        </w:rPr>
        <w:t>a laissé croire la Commission.</w:t>
      </w:r>
      <w:r>
        <w:rPr>
          <w:rFonts w:ascii="Times" w:hAnsi="Times"/>
          <w:szCs w:val="24"/>
        </w:rPr>
        <w:t xml:space="preserve"> </w:t>
      </w:r>
      <w:r w:rsidRPr="00992E9B">
        <w:rPr>
          <w:rFonts w:ascii="Times" w:hAnsi="Times"/>
          <w:szCs w:val="24"/>
        </w:rPr>
        <w:t>[...]</w:t>
      </w:r>
      <w:r>
        <w:rPr>
          <w:rFonts w:ascii="Times" w:hAnsi="Times"/>
          <w:szCs w:val="24"/>
        </w:rPr>
        <w:t xml:space="preserve"> </w:t>
      </w:r>
      <w:r w:rsidRPr="00992E9B">
        <w:rPr>
          <w:rFonts w:ascii="Times" w:hAnsi="Times"/>
          <w:szCs w:val="24"/>
        </w:rPr>
        <w:t>J</w:t>
      </w:r>
      <w:r w:rsidR="00A52ACC">
        <w:rPr>
          <w:rFonts w:ascii="Times" w:hAnsi="Times"/>
          <w:szCs w:val="24"/>
        </w:rPr>
        <w:t>’</w:t>
      </w:r>
      <w:r w:rsidRPr="00992E9B">
        <w:rPr>
          <w:rFonts w:ascii="Times" w:hAnsi="Times"/>
          <w:szCs w:val="24"/>
        </w:rPr>
        <w:t>ajoute que le risque systémique que les TBI internes à l</w:t>
      </w:r>
      <w:r w:rsidR="00A52ACC">
        <w:rPr>
          <w:rFonts w:ascii="Times" w:hAnsi="Times"/>
          <w:szCs w:val="24"/>
        </w:rPr>
        <w:t>’</w:t>
      </w:r>
      <w:r w:rsidRPr="00992E9B">
        <w:rPr>
          <w:rFonts w:ascii="Times" w:hAnsi="Times"/>
          <w:szCs w:val="24"/>
        </w:rPr>
        <w:t>Union poseraient, selon la Commission, pour l</w:t>
      </w:r>
      <w:r w:rsidR="00A52ACC">
        <w:rPr>
          <w:rFonts w:ascii="Times" w:hAnsi="Times"/>
          <w:szCs w:val="24"/>
        </w:rPr>
        <w:t>’</w:t>
      </w:r>
      <w:r w:rsidRPr="00992E9B">
        <w:rPr>
          <w:rFonts w:ascii="Times" w:hAnsi="Times"/>
          <w:szCs w:val="24"/>
        </w:rPr>
        <w:t>uniformité et l</w:t>
      </w:r>
      <w:r w:rsidR="00A52ACC">
        <w:rPr>
          <w:rFonts w:ascii="Times" w:hAnsi="Times"/>
          <w:szCs w:val="24"/>
        </w:rPr>
        <w:t>’</w:t>
      </w:r>
      <w:r w:rsidRPr="00992E9B">
        <w:rPr>
          <w:rFonts w:ascii="Times" w:hAnsi="Times"/>
          <w:szCs w:val="24"/>
        </w:rPr>
        <w:t>efficacité du droit de l</w:t>
      </w:r>
      <w:r w:rsidR="00A52ACC">
        <w:rPr>
          <w:rFonts w:ascii="Times" w:hAnsi="Times"/>
          <w:szCs w:val="24"/>
        </w:rPr>
        <w:t>’</w:t>
      </w:r>
      <w:r w:rsidRPr="00992E9B">
        <w:rPr>
          <w:rFonts w:ascii="Times" w:hAnsi="Times"/>
          <w:szCs w:val="24"/>
        </w:rPr>
        <w:t>Union est largement exagéré. Les statistiques de la CNUCED montrent que, sur 62 procédures arbitrales internes à l</w:t>
      </w:r>
      <w:r w:rsidR="00A52ACC">
        <w:rPr>
          <w:rFonts w:ascii="Times" w:hAnsi="Times"/>
          <w:szCs w:val="24"/>
        </w:rPr>
        <w:t>’</w:t>
      </w:r>
      <w:r w:rsidRPr="00992E9B">
        <w:rPr>
          <w:rFonts w:ascii="Times" w:hAnsi="Times"/>
          <w:szCs w:val="24"/>
        </w:rPr>
        <w:t xml:space="preserve">Union qui, sur une période de plusieurs décennies, ont été clôturées, les </w:t>
      </w:r>
      <w:r w:rsidRPr="00992E9B">
        <w:rPr>
          <w:rFonts w:ascii="Times" w:hAnsi="Times"/>
          <w:szCs w:val="24"/>
        </w:rPr>
        <w:lastRenderedPageBreak/>
        <w:t>investisseurs n</w:t>
      </w:r>
      <w:r w:rsidR="00A52ACC">
        <w:rPr>
          <w:rFonts w:ascii="Times" w:hAnsi="Times"/>
          <w:szCs w:val="24"/>
        </w:rPr>
        <w:t>’</w:t>
      </w:r>
      <w:r w:rsidRPr="00992E9B">
        <w:rPr>
          <w:rFonts w:ascii="Times" w:hAnsi="Times"/>
          <w:szCs w:val="24"/>
        </w:rPr>
        <w:t xml:space="preserve">ont eu gain de cause que dans 10 affaires, ce qui représente 16,1 % de ces 62 affaires, à savoir un taux sensiblement inférieur aux 26,9 % de </w:t>
      </w:r>
      <w:r w:rsidR="00467E1F">
        <w:rPr>
          <w:rFonts w:ascii="Times" w:hAnsi="Times"/>
          <w:szCs w:val="24"/>
        </w:rPr>
        <w:t>« </w:t>
      </w:r>
      <w:r w:rsidRPr="00992E9B">
        <w:rPr>
          <w:rFonts w:ascii="Times" w:hAnsi="Times"/>
          <w:szCs w:val="24"/>
        </w:rPr>
        <w:t>victoires</w:t>
      </w:r>
      <w:r w:rsidR="00467E1F">
        <w:rPr>
          <w:rFonts w:ascii="Times" w:hAnsi="Times"/>
          <w:szCs w:val="24"/>
        </w:rPr>
        <w:t> »</w:t>
      </w:r>
      <w:r w:rsidRPr="00992E9B">
        <w:rPr>
          <w:rFonts w:ascii="Times" w:hAnsi="Times"/>
          <w:szCs w:val="24"/>
        </w:rPr>
        <w:t xml:space="preserve"> pour les investisseurs au niveau mondial.</w:t>
      </w:r>
      <w:r>
        <w:rPr>
          <w:rFonts w:ascii="Times" w:hAnsi="Times"/>
          <w:szCs w:val="24"/>
        </w:rPr>
        <w:t xml:space="preserve"> </w:t>
      </w:r>
      <w:r w:rsidRPr="00992E9B">
        <w:rPr>
          <w:rFonts w:ascii="Times" w:hAnsi="Times"/>
          <w:szCs w:val="24"/>
        </w:rPr>
        <w:t>Les tribunaux arbitraux ont très largement donné la possibilité à la Commission d</w:t>
      </w:r>
      <w:r w:rsidR="00A52ACC">
        <w:rPr>
          <w:rFonts w:ascii="Times" w:hAnsi="Times"/>
          <w:szCs w:val="24"/>
        </w:rPr>
        <w:t>’</w:t>
      </w:r>
      <w:r w:rsidRPr="00992E9B">
        <w:rPr>
          <w:rFonts w:ascii="Times" w:hAnsi="Times"/>
          <w:szCs w:val="24"/>
        </w:rPr>
        <w:t>intervenir dans les arbitrages et, à ma connaissance, dans aucune de ces 10 affaires, les tribunaux arbitraux n</w:t>
      </w:r>
      <w:r w:rsidR="00A52ACC">
        <w:rPr>
          <w:rFonts w:ascii="Times" w:hAnsi="Times"/>
          <w:szCs w:val="24"/>
        </w:rPr>
        <w:t>’</w:t>
      </w:r>
      <w:r w:rsidRPr="00992E9B">
        <w:rPr>
          <w:rFonts w:ascii="Times" w:hAnsi="Times"/>
          <w:szCs w:val="24"/>
        </w:rPr>
        <w:t>ont été amenés à contrôler la validité des actes de l</w:t>
      </w:r>
      <w:r w:rsidR="00A52ACC">
        <w:rPr>
          <w:rFonts w:ascii="Times" w:hAnsi="Times"/>
          <w:szCs w:val="24"/>
        </w:rPr>
        <w:t>’</w:t>
      </w:r>
      <w:r w:rsidRPr="00992E9B">
        <w:rPr>
          <w:rFonts w:ascii="Times" w:hAnsi="Times"/>
          <w:szCs w:val="24"/>
        </w:rPr>
        <w:t>Union ou la compatibilité d</w:t>
      </w:r>
      <w:r w:rsidR="00A52ACC">
        <w:rPr>
          <w:rFonts w:ascii="Times" w:hAnsi="Times"/>
          <w:szCs w:val="24"/>
        </w:rPr>
        <w:t>’</w:t>
      </w:r>
      <w:r w:rsidRPr="00992E9B">
        <w:rPr>
          <w:rFonts w:ascii="Times" w:hAnsi="Times"/>
          <w:szCs w:val="24"/>
        </w:rPr>
        <w:t>actes des États membres au regard du droit de l</w:t>
      </w:r>
      <w:r w:rsidR="00A52ACC">
        <w:rPr>
          <w:rFonts w:ascii="Times" w:hAnsi="Times"/>
          <w:szCs w:val="24"/>
        </w:rPr>
        <w:t>’</w:t>
      </w:r>
      <w:r w:rsidRPr="00992E9B">
        <w:rPr>
          <w:rFonts w:ascii="Times" w:hAnsi="Times"/>
          <w:szCs w:val="24"/>
        </w:rPr>
        <w:t>Union. Dans leurs observations écrites, plusieurs États membres ainsi que la Commission n</w:t>
      </w:r>
      <w:r w:rsidR="00A52ACC">
        <w:rPr>
          <w:rFonts w:ascii="Times" w:hAnsi="Times"/>
          <w:szCs w:val="24"/>
        </w:rPr>
        <w:t>’</w:t>
      </w:r>
      <w:r w:rsidRPr="00992E9B">
        <w:rPr>
          <w:rFonts w:ascii="Times" w:hAnsi="Times"/>
          <w:szCs w:val="24"/>
        </w:rPr>
        <w:t>ont fait état que d</w:t>
      </w:r>
      <w:r w:rsidR="00A52ACC">
        <w:rPr>
          <w:rFonts w:ascii="Times" w:hAnsi="Times"/>
          <w:szCs w:val="24"/>
        </w:rPr>
        <w:t>’</w:t>
      </w:r>
      <w:r w:rsidRPr="00992E9B">
        <w:rPr>
          <w:rFonts w:ascii="Times" w:hAnsi="Times"/>
          <w:szCs w:val="24"/>
        </w:rPr>
        <w:t>un seul exemple, à savoir l</w:t>
      </w:r>
      <w:r w:rsidR="00A52ACC">
        <w:rPr>
          <w:rFonts w:ascii="Times" w:hAnsi="Times"/>
          <w:szCs w:val="24"/>
        </w:rPr>
        <w:t>’</w:t>
      </w:r>
      <w:r w:rsidRPr="00992E9B">
        <w:rPr>
          <w:rFonts w:ascii="Times" w:hAnsi="Times"/>
          <w:szCs w:val="24"/>
        </w:rPr>
        <w:t xml:space="preserve">arbitrage </w:t>
      </w:r>
      <w:r w:rsidRPr="00992E9B">
        <w:rPr>
          <w:rFonts w:ascii="Times" w:hAnsi="Times"/>
          <w:i/>
          <w:iCs/>
          <w:szCs w:val="24"/>
        </w:rPr>
        <w:t xml:space="preserve">Ioan </w:t>
      </w:r>
      <w:proofErr w:type="spellStart"/>
      <w:r w:rsidRPr="00992E9B">
        <w:rPr>
          <w:rFonts w:ascii="Times" w:hAnsi="Times"/>
          <w:i/>
          <w:iCs/>
          <w:szCs w:val="24"/>
        </w:rPr>
        <w:t>Micula</w:t>
      </w:r>
      <w:proofErr w:type="spellEnd"/>
      <w:r w:rsidRPr="00992E9B">
        <w:rPr>
          <w:rFonts w:ascii="Times" w:hAnsi="Times"/>
          <w:i/>
          <w:iCs/>
          <w:szCs w:val="24"/>
        </w:rPr>
        <w:t xml:space="preserve"> e.a. c/ Roumanie</w:t>
      </w:r>
      <w:r w:rsidRPr="00992E9B">
        <w:rPr>
          <w:rFonts w:ascii="Times" w:hAnsi="Times"/>
          <w:szCs w:val="24"/>
        </w:rPr>
        <w:t xml:space="preserve"> (affaire CIRDI no ARB/05/20), qui aurait donné lieu à une sentence arbitrale prétendument incompatible avec le droit de l</w:t>
      </w:r>
      <w:r w:rsidR="00A52ACC">
        <w:rPr>
          <w:rFonts w:ascii="Times" w:hAnsi="Times"/>
          <w:szCs w:val="24"/>
        </w:rPr>
        <w:t>’</w:t>
      </w:r>
      <w:r w:rsidRPr="00992E9B">
        <w:rPr>
          <w:rFonts w:ascii="Times" w:hAnsi="Times"/>
          <w:szCs w:val="24"/>
        </w:rPr>
        <w:t>Union. Même si cet exemple n</w:t>
      </w:r>
      <w:r w:rsidR="00A52ACC">
        <w:rPr>
          <w:rFonts w:ascii="Times" w:hAnsi="Times"/>
          <w:szCs w:val="24"/>
        </w:rPr>
        <w:t>’</w:t>
      </w:r>
      <w:r w:rsidRPr="00992E9B">
        <w:rPr>
          <w:rFonts w:ascii="Times" w:hAnsi="Times"/>
          <w:szCs w:val="24"/>
        </w:rPr>
        <w:t>est pas, à mon avis, pertinent en l</w:t>
      </w:r>
      <w:r w:rsidR="00A52ACC">
        <w:rPr>
          <w:rFonts w:ascii="Times" w:hAnsi="Times"/>
          <w:szCs w:val="24"/>
        </w:rPr>
        <w:t>’</w:t>
      </w:r>
      <w:r w:rsidRPr="00992E9B">
        <w:rPr>
          <w:rFonts w:ascii="Times" w:hAnsi="Times"/>
          <w:szCs w:val="24"/>
        </w:rPr>
        <w:t>occurrence, le fait qu</w:t>
      </w:r>
      <w:r w:rsidR="00A52ACC">
        <w:rPr>
          <w:rFonts w:ascii="Times" w:hAnsi="Times"/>
          <w:szCs w:val="24"/>
        </w:rPr>
        <w:t>’</w:t>
      </w:r>
      <w:r w:rsidRPr="00992E9B">
        <w:rPr>
          <w:rFonts w:ascii="Times" w:hAnsi="Times"/>
          <w:szCs w:val="24"/>
        </w:rPr>
        <w:t>il existerait un seul exemple conforte mon idée que la crainte de certains États membres et de la Commission d</w:t>
      </w:r>
      <w:r w:rsidR="00A52ACC">
        <w:rPr>
          <w:rFonts w:ascii="Times" w:hAnsi="Times"/>
          <w:szCs w:val="24"/>
        </w:rPr>
        <w:t>’</w:t>
      </w:r>
      <w:r w:rsidRPr="00992E9B">
        <w:rPr>
          <w:rFonts w:ascii="Times" w:hAnsi="Times"/>
          <w:szCs w:val="24"/>
        </w:rPr>
        <w:t>un risque systémique que créeraient les TBI internes à l</w:t>
      </w:r>
      <w:r w:rsidR="00A52ACC">
        <w:rPr>
          <w:rFonts w:ascii="Times" w:hAnsi="Times"/>
          <w:szCs w:val="24"/>
        </w:rPr>
        <w:t>’</w:t>
      </w:r>
      <w:r w:rsidRPr="00992E9B">
        <w:rPr>
          <w:rFonts w:ascii="Times" w:hAnsi="Times"/>
          <w:szCs w:val="24"/>
        </w:rPr>
        <w:t>Union est largement exagérée</w:t>
      </w:r>
      <w:r>
        <w:rPr>
          <w:rFonts w:ascii="Times" w:hAnsi="Times"/>
          <w:szCs w:val="24"/>
        </w:rPr>
        <w:t> »</w:t>
      </w:r>
      <w:r w:rsidRPr="00992E9B">
        <w:rPr>
          <w:rFonts w:ascii="Times" w:hAnsi="Times"/>
          <w:szCs w:val="24"/>
        </w:rPr>
        <w:t>.</w:t>
      </w:r>
    </w:p>
    <w:p w14:paraId="4B9B9EC6" w14:textId="77777777" w:rsidR="00992E9B" w:rsidRDefault="00992E9B" w:rsidP="009B3FC5">
      <w:pPr>
        <w:numPr>
          <w:ilvl w:val="0"/>
          <w:numId w:val="0"/>
        </w:numPr>
        <w:spacing w:line="240" w:lineRule="auto"/>
        <w:rPr>
          <w:rFonts w:ascii="Times" w:hAnsi="Times"/>
          <w:szCs w:val="24"/>
        </w:rPr>
      </w:pPr>
    </w:p>
    <w:p w14:paraId="242D6B74" w14:textId="4A580357" w:rsidR="0036529B" w:rsidRDefault="00467E1F" w:rsidP="009B3FC5">
      <w:pPr>
        <w:numPr>
          <w:ilvl w:val="0"/>
          <w:numId w:val="0"/>
        </w:numPr>
        <w:spacing w:line="240" w:lineRule="auto"/>
        <w:rPr>
          <w:rFonts w:ascii="Times" w:hAnsi="Times"/>
          <w:szCs w:val="24"/>
        </w:rPr>
      </w:pPr>
      <w:r>
        <w:rPr>
          <w:rFonts w:ascii="Times" w:hAnsi="Times"/>
          <w:szCs w:val="24"/>
        </w:rPr>
        <w:t>À la lecture de ces conclusions, on demeurer dubitatif comme s</w:t>
      </w:r>
      <w:r w:rsidR="00A52ACC">
        <w:rPr>
          <w:rFonts w:ascii="Times" w:hAnsi="Times"/>
          <w:szCs w:val="24"/>
        </w:rPr>
        <w:t>’</w:t>
      </w:r>
      <w:r>
        <w:rPr>
          <w:rFonts w:ascii="Times" w:hAnsi="Times"/>
          <w:szCs w:val="24"/>
        </w:rPr>
        <w:t>avérer convaincu par l</w:t>
      </w:r>
      <w:r w:rsidR="00A52ACC">
        <w:rPr>
          <w:rFonts w:ascii="Times" w:hAnsi="Times"/>
          <w:szCs w:val="24"/>
        </w:rPr>
        <w:t>’</w:t>
      </w:r>
      <w:r>
        <w:rPr>
          <w:rFonts w:ascii="Times" w:hAnsi="Times"/>
          <w:szCs w:val="24"/>
        </w:rPr>
        <w:t>avocat général. Il est à tout le moins clair que l</w:t>
      </w:r>
      <w:r w:rsidR="00A52ACC">
        <w:rPr>
          <w:rFonts w:ascii="Times" w:hAnsi="Times"/>
          <w:szCs w:val="24"/>
        </w:rPr>
        <w:t>’</w:t>
      </w:r>
      <w:r>
        <w:rPr>
          <w:rFonts w:ascii="Times" w:hAnsi="Times"/>
          <w:szCs w:val="24"/>
        </w:rPr>
        <w:t xml:space="preserve">assentiment général était difficile à trouver, et que le maintien du </w:t>
      </w:r>
      <w:r>
        <w:rPr>
          <w:rFonts w:ascii="Times" w:hAnsi="Times"/>
          <w:i/>
          <w:iCs/>
          <w:szCs w:val="24"/>
        </w:rPr>
        <w:t>statu quo</w:t>
      </w:r>
      <w:r>
        <w:rPr>
          <w:rFonts w:ascii="Times" w:hAnsi="Times"/>
          <w:szCs w:val="24"/>
        </w:rPr>
        <w:t xml:space="preserve"> aurait, au regard de ce qui précède, entraîné peu de conséquences négatives concrètes. Autrement dit, la Cour aurait pu considérer, de manière certes davantage politique que juridique, que les conditions d</w:t>
      </w:r>
      <w:r w:rsidR="00A52ACC">
        <w:rPr>
          <w:rFonts w:ascii="Times" w:hAnsi="Times"/>
          <w:szCs w:val="24"/>
        </w:rPr>
        <w:t>’</w:t>
      </w:r>
      <w:r>
        <w:rPr>
          <w:rFonts w:ascii="Times" w:hAnsi="Times"/>
          <w:szCs w:val="24"/>
        </w:rPr>
        <w:t>un consensus n</w:t>
      </w:r>
      <w:r w:rsidR="00A52ACC">
        <w:rPr>
          <w:rFonts w:ascii="Times" w:hAnsi="Times"/>
          <w:szCs w:val="24"/>
        </w:rPr>
        <w:t>’</w:t>
      </w:r>
      <w:r>
        <w:rPr>
          <w:rFonts w:ascii="Times" w:hAnsi="Times"/>
          <w:szCs w:val="24"/>
        </w:rPr>
        <w:t>étaient pas réunies et qu</w:t>
      </w:r>
      <w:r w:rsidR="00A52ACC">
        <w:rPr>
          <w:rFonts w:ascii="Times" w:hAnsi="Times"/>
          <w:szCs w:val="24"/>
        </w:rPr>
        <w:t>’</w:t>
      </w:r>
      <w:r>
        <w:rPr>
          <w:rFonts w:ascii="Times" w:hAnsi="Times"/>
          <w:szCs w:val="24"/>
        </w:rPr>
        <w:t>il convenait que les États se réunissent, au sein des institutions européennes, pour négocier entre eux, à l</w:t>
      </w:r>
      <w:r w:rsidR="00A52ACC">
        <w:rPr>
          <w:rFonts w:ascii="Times" w:hAnsi="Times"/>
          <w:szCs w:val="24"/>
        </w:rPr>
        <w:t>’</w:t>
      </w:r>
      <w:r>
        <w:rPr>
          <w:rFonts w:ascii="Times" w:hAnsi="Times"/>
          <w:szCs w:val="24"/>
        </w:rPr>
        <w:t>initiative de la Commission le cas échéant. L</w:t>
      </w:r>
      <w:r w:rsidR="00A52ACC">
        <w:rPr>
          <w:rFonts w:ascii="Times" w:hAnsi="Times"/>
          <w:szCs w:val="24"/>
        </w:rPr>
        <w:t>’</w:t>
      </w:r>
      <w:r>
        <w:rPr>
          <w:rFonts w:ascii="Times" w:hAnsi="Times"/>
          <w:szCs w:val="24"/>
        </w:rPr>
        <w:t>enceinte de la CJUE n</w:t>
      </w:r>
      <w:r w:rsidR="00A52ACC">
        <w:rPr>
          <w:rFonts w:ascii="Times" w:hAnsi="Times"/>
          <w:szCs w:val="24"/>
        </w:rPr>
        <w:t>’</w:t>
      </w:r>
      <w:r>
        <w:rPr>
          <w:rFonts w:ascii="Times" w:hAnsi="Times"/>
          <w:szCs w:val="24"/>
        </w:rPr>
        <w:t xml:space="preserve">étant pas le meilleur </w:t>
      </w:r>
      <w:r>
        <w:rPr>
          <w:rFonts w:ascii="Times" w:hAnsi="Times"/>
          <w:i/>
          <w:iCs/>
          <w:szCs w:val="24"/>
        </w:rPr>
        <w:t>forum</w:t>
      </w:r>
      <w:r>
        <w:rPr>
          <w:rFonts w:ascii="Times" w:hAnsi="Times"/>
          <w:szCs w:val="24"/>
        </w:rPr>
        <w:t xml:space="preserve"> de négociations possible sur ce thème sensible, la réponse juridique de la Cour aurait pu être brève et consister, au moins sur ce point majeur, à valider l</w:t>
      </w:r>
      <w:r w:rsidR="00A52ACC">
        <w:rPr>
          <w:rFonts w:ascii="Times" w:hAnsi="Times"/>
          <w:szCs w:val="24"/>
        </w:rPr>
        <w:t>’</w:t>
      </w:r>
      <w:r>
        <w:rPr>
          <w:rFonts w:ascii="Times" w:hAnsi="Times"/>
          <w:szCs w:val="24"/>
        </w:rPr>
        <w:t>existant en s</w:t>
      </w:r>
      <w:r w:rsidR="00A52ACC">
        <w:rPr>
          <w:rFonts w:ascii="Times" w:hAnsi="Times"/>
          <w:szCs w:val="24"/>
        </w:rPr>
        <w:t>’</w:t>
      </w:r>
      <w:r>
        <w:rPr>
          <w:rFonts w:ascii="Times" w:hAnsi="Times"/>
          <w:szCs w:val="24"/>
        </w:rPr>
        <w:t>appuyant sur le raisonnement solide de l</w:t>
      </w:r>
      <w:r w:rsidR="00A52ACC">
        <w:rPr>
          <w:rFonts w:ascii="Times" w:hAnsi="Times"/>
          <w:szCs w:val="24"/>
        </w:rPr>
        <w:t>’</w:t>
      </w:r>
      <w:r>
        <w:rPr>
          <w:rFonts w:ascii="Times" w:hAnsi="Times"/>
          <w:szCs w:val="24"/>
        </w:rPr>
        <w:t>avocat général pour « renvoyer la balle » aux États. Tel n</w:t>
      </w:r>
      <w:r w:rsidR="00A52ACC">
        <w:rPr>
          <w:rFonts w:ascii="Times" w:hAnsi="Times"/>
          <w:szCs w:val="24"/>
        </w:rPr>
        <w:t>’</w:t>
      </w:r>
      <w:r>
        <w:rPr>
          <w:rFonts w:ascii="Times" w:hAnsi="Times"/>
          <w:szCs w:val="24"/>
        </w:rPr>
        <w:t>a pas été le cas, la Cour ayant décidé de faire « cavalier seul »</w:t>
      </w:r>
      <w:r w:rsidR="0036529B">
        <w:rPr>
          <w:rFonts w:ascii="Times" w:hAnsi="Times"/>
          <w:szCs w:val="24"/>
        </w:rPr>
        <w:t xml:space="preserve"> et de souligner son pouvoir.</w:t>
      </w:r>
    </w:p>
    <w:p w14:paraId="525155ED" w14:textId="77777777" w:rsidR="0036529B" w:rsidRDefault="0036529B" w:rsidP="009B3FC5">
      <w:pPr>
        <w:numPr>
          <w:ilvl w:val="0"/>
          <w:numId w:val="0"/>
        </w:numPr>
        <w:spacing w:line="240" w:lineRule="auto"/>
        <w:rPr>
          <w:rFonts w:ascii="Times" w:hAnsi="Times"/>
          <w:szCs w:val="24"/>
        </w:rPr>
      </w:pPr>
    </w:p>
    <w:p w14:paraId="40A38094" w14:textId="348AD056" w:rsidR="0036529B" w:rsidRDefault="0036529B" w:rsidP="009B3FC5">
      <w:pPr>
        <w:numPr>
          <w:ilvl w:val="0"/>
          <w:numId w:val="0"/>
        </w:numPr>
        <w:spacing w:line="240" w:lineRule="auto"/>
        <w:rPr>
          <w:rFonts w:ascii="Times" w:hAnsi="Times"/>
          <w:szCs w:val="24"/>
        </w:rPr>
      </w:pPr>
      <w:r>
        <w:rPr>
          <w:rFonts w:ascii="Times" w:hAnsi="Times"/>
          <w:szCs w:val="24"/>
        </w:rPr>
        <w:t>S</w:t>
      </w:r>
      <w:r w:rsidR="00A52ACC">
        <w:rPr>
          <w:rFonts w:ascii="Times" w:hAnsi="Times"/>
          <w:szCs w:val="24"/>
        </w:rPr>
        <w:t>’</w:t>
      </w:r>
      <w:r>
        <w:rPr>
          <w:rFonts w:ascii="Times" w:hAnsi="Times"/>
          <w:szCs w:val="24"/>
        </w:rPr>
        <w:t>il est nécessairement audacieux d</w:t>
      </w:r>
      <w:r w:rsidR="00A52ACC">
        <w:rPr>
          <w:rFonts w:ascii="Times" w:hAnsi="Times"/>
          <w:szCs w:val="24"/>
        </w:rPr>
        <w:t>’</w:t>
      </w:r>
      <w:r>
        <w:rPr>
          <w:rFonts w:ascii="Times" w:hAnsi="Times"/>
          <w:szCs w:val="24"/>
        </w:rPr>
        <w:t>affirmer que la Cour a ici fait preuve d</w:t>
      </w:r>
      <w:r w:rsidR="00A52ACC">
        <w:rPr>
          <w:rFonts w:ascii="Times" w:hAnsi="Times"/>
          <w:szCs w:val="24"/>
        </w:rPr>
        <w:t>’</w:t>
      </w:r>
      <w:r>
        <w:rPr>
          <w:rFonts w:ascii="Times" w:hAnsi="Times"/>
          <w:szCs w:val="24"/>
        </w:rPr>
        <w:t>autorité pour affermir sa position institutionnelle au sein de l</w:t>
      </w:r>
      <w:r w:rsidR="00A52ACC">
        <w:rPr>
          <w:rFonts w:ascii="Times" w:hAnsi="Times"/>
          <w:szCs w:val="24"/>
        </w:rPr>
        <w:t>’</w:t>
      </w:r>
      <w:r>
        <w:rPr>
          <w:rFonts w:ascii="Times" w:hAnsi="Times"/>
          <w:szCs w:val="24"/>
        </w:rPr>
        <w:t>Union, ou encore d</w:t>
      </w:r>
      <w:r w:rsidR="00A52ACC">
        <w:rPr>
          <w:rFonts w:ascii="Times" w:hAnsi="Times"/>
          <w:szCs w:val="24"/>
        </w:rPr>
        <w:t>’</w:t>
      </w:r>
      <w:r>
        <w:rPr>
          <w:rFonts w:ascii="Times" w:hAnsi="Times"/>
          <w:szCs w:val="24"/>
        </w:rPr>
        <w:t>analyser cette politique jurisprudentielle comme reflétant une volonté hégémonique du juge européen, il faut concéder que sa solution n</w:t>
      </w:r>
      <w:r w:rsidR="00A52ACC">
        <w:rPr>
          <w:rFonts w:ascii="Times" w:hAnsi="Times"/>
          <w:szCs w:val="24"/>
        </w:rPr>
        <w:t>’</w:t>
      </w:r>
      <w:r>
        <w:rPr>
          <w:rFonts w:ascii="Times" w:hAnsi="Times"/>
          <w:szCs w:val="24"/>
        </w:rPr>
        <w:t xml:space="preserve">était ni la plus évidente sur le fond, ni celle entraînant le moins de conséquences concrètes. </w:t>
      </w:r>
      <w:r w:rsidR="00A81D7C">
        <w:rPr>
          <w:rFonts w:ascii="Times" w:hAnsi="Times"/>
          <w:szCs w:val="24"/>
        </w:rPr>
        <w:t>Le doute subsiste donc quant aux motivations concrètes de la Cour pour prendre cette décision aux externalités nombreuses.</w:t>
      </w:r>
    </w:p>
    <w:p w14:paraId="4D0D30A4" w14:textId="77777777" w:rsidR="003F59D4" w:rsidRDefault="003F59D4" w:rsidP="009B3FC5">
      <w:pPr>
        <w:numPr>
          <w:ilvl w:val="0"/>
          <w:numId w:val="0"/>
        </w:numPr>
        <w:spacing w:line="240" w:lineRule="auto"/>
        <w:jc w:val="left"/>
        <w:rPr>
          <w:rFonts w:ascii="Times" w:hAnsi="Times"/>
          <w:szCs w:val="24"/>
        </w:rPr>
      </w:pPr>
    </w:p>
    <w:p w14:paraId="65137AE4" w14:textId="2F89ACE2" w:rsidR="00710B1B" w:rsidRPr="0036529B" w:rsidRDefault="0036529B" w:rsidP="009B3FC5">
      <w:pPr>
        <w:numPr>
          <w:ilvl w:val="0"/>
          <w:numId w:val="0"/>
        </w:numPr>
        <w:spacing w:line="240" w:lineRule="auto"/>
        <w:jc w:val="left"/>
        <w:rPr>
          <w:rFonts w:ascii="Times" w:hAnsi="Times"/>
          <w:b/>
          <w:bCs/>
          <w:szCs w:val="24"/>
        </w:rPr>
      </w:pPr>
      <w:r w:rsidRPr="0036529B">
        <w:rPr>
          <w:rFonts w:ascii="Times" w:hAnsi="Times"/>
          <w:b/>
          <w:bCs/>
          <w:szCs w:val="24"/>
        </w:rPr>
        <w:t>B</w:t>
      </w:r>
      <w:r>
        <w:rPr>
          <w:rFonts w:ascii="Times" w:hAnsi="Times"/>
          <w:b/>
          <w:bCs/>
          <w:szCs w:val="24"/>
        </w:rPr>
        <w:t xml:space="preserve"> –</w:t>
      </w:r>
      <w:r w:rsidRPr="0036529B">
        <w:rPr>
          <w:rFonts w:ascii="Times" w:hAnsi="Times"/>
          <w:b/>
          <w:bCs/>
          <w:szCs w:val="24"/>
        </w:rPr>
        <w:t xml:space="preserve"> L</w:t>
      </w:r>
      <w:r w:rsidR="00A52ACC">
        <w:rPr>
          <w:rFonts w:ascii="Times" w:hAnsi="Times"/>
          <w:b/>
          <w:bCs/>
          <w:szCs w:val="24"/>
        </w:rPr>
        <w:t>’</w:t>
      </w:r>
      <w:r>
        <w:rPr>
          <w:rFonts w:ascii="Times" w:hAnsi="Times"/>
          <w:b/>
          <w:bCs/>
          <w:szCs w:val="24"/>
        </w:rPr>
        <w:t xml:space="preserve">ÉMERGENCE </w:t>
      </w:r>
      <w:r w:rsidRPr="0036529B">
        <w:rPr>
          <w:rFonts w:ascii="Times" w:hAnsi="Times"/>
          <w:b/>
          <w:bCs/>
          <w:szCs w:val="24"/>
        </w:rPr>
        <w:t>DE NOUVELLES DIFFICULT</w:t>
      </w:r>
      <w:r>
        <w:rPr>
          <w:rFonts w:ascii="Times" w:hAnsi="Times"/>
          <w:b/>
          <w:bCs/>
          <w:szCs w:val="24"/>
        </w:rPr>
        <w:t>É</w:t>
      </w:r>
      <w:r w:rsidRPr="0036529B">
        <w:rPr>
          <w:rFonts w:ascii="Times" w:hAnsi="Times"/>
          <w:b/>
          <w:bCs/>
          <w:szCs w:val="24"/>
        </w:rPr>
        <w:t>S CONTENTIEUSES</w:t>
      </w:r>
    </w:p>
    <w:p w14:paraId="75CFCE6A" w14:textId="1E618471" w:rsidR="003F59D4" w:rsidRDefault="003F59D4" w:rsidP="009B3FC5">
      <w:pPr>
        <w:numPr>
          <w:ilvl w:val="0"/>
          <w:numId w:val="0"/>
        </w:numPr>
        <w:spacing w:line="240" w:lineRule="auto"/>
        <w:jc w:val="left"/>
        <w:rPr>
          <w:rFonts w:ascii="Times" w:hAnsi="Times"/>
          <w:szCs w:val="24"/>
        </w:rPr>
      </w:pPr>
    </w:p>
    <w:p w14:paraId="2D6E53CE" w14:textId="3653EE02" w:rsidR="00A81D7C" w:rsidRPr="002E7FB3" w:rsidRDefault="00A81D7C" w:rsidP="002E7FB3">
      <w:pPr>
        <w:numPr>
          <w:ilvl w:val="0"/>
          <w:numId w:val="0"/>
        </w:numPr>
        <w:spacing w:line="240" w:lineRule="auto"/>
        <w:rPr>
          <w:rFonts w:ascii="Times" w:hAnsi="Times" w:cs="Tahoma"/>
          <w:szCs w:val="24"/>
        </w:rPr>
      </w:pPr>
      <w:r w:rsidRPr="002E7FB3">
        <w:rPr>
          <w:rFonts w:ascii="Times" w:hAnsi="Times" w:cs="Tahoma"/>
          <w:szCs w:val="24"/>
        </w:rPr>
        <w:t xml:space="preserve">Les conséquences de la jurisprudence </w:t>
      </w:r>
      <w:proofErr w:type="spellStart"/>
      <w:r w:rsidRPr="002E7FB3">
        <w:rPr>
          <w:rFonts w:ascii="Times" w:hAnsi="Times" w:cs="Tahoma"/>
          <w:i/>
          <w:iCs/>
          <w:szCs w:val="24"/>
        </w:rPr>
        <w:t>Achmea</w:t>
      </w:r>
      <w:proofErr w:type="spellEnd"/>
      <w:r w:rsidRPr="002E7FB3">
        <w:rPr>
          <w:rFonts w:ascii="Times" w:hAnsi="Times" w:cs="Tahoma"/>
          <w:szCs w:val="24"/>
        </w:rPr>
        <w:t xml:space="preserve"> ont été largement discutées, qu</w:t>
      </w:r>
      <w:r w:rsidR="00A52ACC">
        <w:rPr>
          <w:rFonts w:ascii="Times" w:hAnsi="Times" w:cs="Tahoma"/>
          <w:szCs w:val="24"/>
        </w:rPr>
        <w:t>’</w:t>
      </w:r>
      <w:r w:rsidRPr="002E7FB3">
        <w:rPr>
          <w:rFonts w:ascii="Times" w:hAnsi="Times" w:cs="Tahoma"/>
          <w:szCs w:val="24"/>
        </w:rPr>
        <w:t>il s</w:t>
      </w:r>
      <w:r w:rsidR="00A52ACC">
        <w:rPr>
          <w:rFonts w:ascii="Times" w:hAnsi="Times" w:cs="Tahoma"/>
          <w:szCs w:val="24"/>
        </w:rPr>
        <w:t>’</w:t>
      </w:r>
      <w:r w:rsidRPr="002E7FB3">
        <w:rPr>
          <w:rFonts w:ascii="Times" w:hAnsi="Times" w:cs="Tahoma"/>
          <w:szCs w:val="24"/>
        </w:rPr>
        <w:t xml:space="preserve">agisse des déclinaisons </w:t>
      </w:r>
      <w:proofErr w:type="spellStart"/>
      <w:r w:rsidRPr="002E7FB3">
        <w:rPr>
          <w:rFonts w:ascii="Times" w:hAnsi="Times" w:cs="Tahoma"/>
          <w:i/>
          <w:iCs/>
          <w:szCs w:val="24"/>
        </w:rPr>
        <w:t>Komstroy</w:t>
      </w:r>
      <w:proofErr w:type="spellEnd"/>
      <w:r w:rsidRPr="002E7FB3">
        <w:rPr>
          <w:rStyle w:val="Appelnotedebasdep"/>
          <w:rFonts w:ascii="Times" w:hAnsi="Times" w:cs="Tahoma"/>
          <w:szCs w:val="24"/>
        </w:rPr>
        <w:footnoteReference w:id="32"/>
      </w:r>
      <w:r w:rsidRPr="002E7FB3">
        <w:rPr>
          <w:rFonts w:ascii="Times" w:hAnsi="Times" w:cs="Tahoma"/>
          <w:szCs w:val="24"/>
        </w:rPr>
        <w:t xml:space="preserve"> ou </w:t>
      </w:r>
      <w:r w:rsidRPr="002E7FB3">
        <w:rPr>
          <w:rFonts w:ascii="Times" w:hAnsi="Times" w:cs="Tahoma"/>
          <w:i/>
          <w:iCs/>
          <w:szCs w:val="24"/>
        </w:rPr>
        <w:t>PL Holdings</w:t>
      </w:r>
      <w:r w:rsidR="003556AC" w:rsidRPr="002E7FB3">
        <w:rPr>
          <w:rStyle w:val="Appelnotedebasdep"/>
          <w:rFonts w:ascii="Times" w:hAnsi="Times" w:cs="Tahoma"/>
          <w:szCs w:val="24"/>
        </w:rPr>
        <w:footnoteReference w:id="33"/>
      </w:r>
      <w:r w:rsidRPr="002E7FB3">
        <w:rPr>
          <w:rFonts w:ascii="Times" w:hAnsi="Times" w:cs="Tahoma"/>
          <w:szCs w:val="24"/>
        </w:rPr>
        <w:t xml:space="preserve"> ou des comportements rationnels des investisseurs, incités à transiter par des structures situé</w:t>
      </w:r>
      <w:r w:rsidR="003556AC" w:rsidRPr="002E7FB3">
        <w:rPr>
          <w:rFonts w:ascii="Times" w:hAnsi="Times" w:cs="Tahoma"/>
          <w:szCs w:val="24"/>
        </w:rPr>
        <w:t>e</w:t>
      </w:r>
      <w:r w:rsidRPr="002E7FB3">
        <w:rPr>
          <w:rFonts w:ascii="Times" w:hAnsi="Times" w:cs="Tahoma"/>
          <w:szCs w:val="24"/>
        </w:rPr>
        <w:t>s dans des États signataires hors de l</w:t>
      </w:r>
      <w:r w:rsidR="00A52ACC">
        <w:rPr>
          <w:rFonts w:ascii="Times" w:hAnsi="Times" w:cs="Tahoma"/>
          <w:szCs w:val="24"/>
        </w:rPr>
        <w:t>’</w:t>
      </w:r>
      <w:r w:rsidRPr="002E7FB3">
        <w:rPr>
          <w:rFonts w:ascii="Times" w:hAnsi="Times" w:cs="Tahoma"/>
          <w:szCs w:val="24"/>
        </w:rPr>
        <w:t>Union mais dotés d</w:t>
      </w:r>
      <w:r w:rsidR="00A52ACC">
        <w:rPr>
          <w:rFonts w:ascii="Times" w:hAnsi="Times" w:cs="Tahoma"/>
          <w:szCs w:val="24"/>
        </w:rPr>
        <w:t>’</w:t>
      </w:r>
      <w:r w:rsidRPr="002E7FB3">
        <w:rPr>
          <w:rFonts w:ascii="Times" w:hAnsi="Times" w:cs="Tahoma"/>
          <w:szCs w:val="24"/>
        </w:rPr>
        <w:t>un TBI avec un État membre, s</w:t>
      </w:r>
      <w:r w:rsidR="00A52ACC">
        <w:rPr>
          <w:rFonts w:ascii="Times" w:hAnsi="Times" w:cs="Tahoma"/>
          <w:szCs w:val="24"/>
        </w:rPr>
        <w:t>’</w:t>
      </w:r>
      <w:r w:rsidRPr="002E7FB3">
        <w:rPr>
          <w:rFonts w:ascii="Times" w:hAnsi="Times" w:cs="Tahoma"/>
          <w:szCs w:val="24"/>
        </w:rPr>
        <w:t>ils souhaitent échapper aux juridictions nationales réputées « pro-État » ou « anti-investisseur » de certains États membres.</w:t>
      </w:r>
      <w:r w:rsidR="003556AC" w:rsidRPr="002E7FB3">
        <w:rPr>
          <w:rFonts w:ascii="Times" w:hAnsi="Times" w:cs="Tahoma"/>
          <w:szCs w:val="24"/>
        </w:rPr>
        <w:t xml:space="preserve"> C</w:t>
      </w:r>
      <w:r w:rsidR="00A52ACC">
        <w:rPr>
          <w:rFonts w:ascii="Times" w:hAnsi="Times" w:cs="Tahoma"/>
          <w:szCs w:val="24"/>
        </w:rPr>
        <w:t>’</w:t>
      </w:r>
      <w:r w:rsidR="003556AC" w:rsidRPr="002E7FB3">
        <w:rPr>
          <w:rFonts w:ascii="Times" w:hAnsi="Times" w:cs="Tahoma"/>
          <w:szCs w:val="24"/>
        </w:rPr>
        <w:t>est justement ce dernier point qui constitue la conséquence négative principale de cette jurisprudence.</w:t>
      </w:r>
    </w:p>
    <w:p w14:paraId="489E6D9E" w14:textId="77777777" w:rsidR="003556AC" w:rsidRPr="002E7FB3" w:rsidRDefault="003556AC" w:rsidP="002E7FB3">
      <w:pPr>
        <w:numPr>
          <w:ilvl w:val="0"/>
          <w:numId w:val="0"/>
        </w:numPr>
        <w:spacing w:line="240" w:lineRule="auto"/>
        <w:rPr>
          <w:rFonts w:ascii="Times" w:hAnsi="Times" w:cs="Tahoma"/>
          <w:szCs w:val="24"/>
        </w:rPr>
      </w:pPr>
    </w:p>
    <w:p w14:paraId="5E0C8E91" w14:textId="06C4033E" w:rsidR="003F59D4" w:rsidRPr="002E7FB3" w:rsidRDefault="003556AC" w:rsidP="002E7FB3">
      <w:pPr>
        <w:numPr>
          <w:ilvl w:val="0"/>
          <w:numId w:val="0"/>
        </w:numPr>
        <w:spacing w:line="240" w:lineRule="auto"/>
        <w:rPr>
          <w:rFonts w:ascii="Times" w:hAnsi="Times" w:cs="Tahoma"/>
          <w:szCs w:val="24"/>
        </w:rPr>
      </w:pPr>
      <w:r w:rsidRPr="002E7FB3">
        <w:rPr>
          <w:rFonts w:ascii="Times" w:hAnsi="Times" w:cs="Tahoma"/>
          <w:szCs w:val="24"/>
        </w:rPr>
        <w:t>Le m</w:t>
      </w:r>
      <w:r w:rsidR="003F59D4" w:rsidRPr="002E7FB3">
        <w:rPr>
          <w:rFonts w:ascii="Times" w:hAnsi="Times" w:cs="Tahoma"/>
          <w:szCs w:val="24"/>
        </w:rPr>
        <w:t>ythe de l</w:t>
      </w:r>
      <w:r w:rsidR="00A52ACC">
        <w:rPr>
          <w:rFonts w:ascii="Times" w:hAnsi="Times" w:cs="Tahoma"/>
          <w:szCs w:val="24"/>
        </w:rPr>
        <w:t>’</w:t>
      </w:r>
      <w:r w:rsidR="003F59D4" w:rsidRPr="002E7FB3">
        <w:rPr>
          <w:rFonts w:ascii="Times" w:hAnsi="Times" w:cs="Tahoma"/>
          <w:szCs w:val="24"/>
        </w:rPr>
        <w:t xml:space="preserve">équivalence des garanties </w:t>
      </w:r>
      <w:r w:rsidRPr="002E7FB3">
        <w:rPr>
          <w:rFonts w:ascii="Times" w:hAnsi="Times" w:cs="Tahoma"/>
          <w:szCs w:val="24"/>
        </w:rPr>
        <w:t xml:space="preserve">juridictionnelles </w:t>
      </w:r>
      <w:r w:rsidR="003F59D4" w:rsidRPr="002E7FB3">
        <w:rPr>
          <w:rFonts w:ascii="Times" w:hAnsi="Times" w:cs="Tahoma"/>
          <w:szCs w:val="24"/>
        </w:rPr>
        <w:t xml:space="preserve">dans les </w:t>
      </w:r>
      <w:r w:rsidRPr="002E7FB3">
        <w:rPr>
          <w:rFonts w:ascii="Times" w:hAnsi="Times" w:cs="Tahoma"/>
          <w:szCs w:val="24"/>
        </w:rPr>
        <w:t xml:space="preserve">vingt-sept </w:t>
      </w:r>
      <w:r w:rsidR="003F59D4" w:rsidRPr="002E7FB3">
        <w:rPr>
          <w:rFonts w:ascii="Times" w:hAnsi="Times" w:cs="Tahoma"/>
          <w:szCs w:val="24"/>
        </w:rPr>
        <w:t>États membres</w:t>
      </w:r>
      <w:r w:rsidRPr="002E7FB3">
        <w:rPr>
          <w:rFonts w:ascii="Times" w:hAnsi="Times" w:cs="Tahoma"/>
          <w:szCs w:val="24"/>
        </w:rPr>
        <w:t xml:space="preserve"> de l</w:t>
      </w:r>
      <w:r w:rsidR="00A52ACC">
        <w:rPr>
          <w:rFonts w:ascii="Times" w:hAnsi="Times" w:cs="Tahoma"/>
          <w:szCs w:val="24"/>
        </w:rPr>
        <w:t>’</w:t>
      </w:r>
      <w:r w:rsidRPr="002E7FB3">
        <w:rPr>
          <w:rFonts w:ascii="Times" w:hAnsi="Times" w:cs="Tahoma"/>
          <w:szCs w:val="24"/>
        </w:rPr>
        <w:t>Union ne résiste, on le sait, pas à l</w:t>
      </w:r>
      <w:r w:rsidR="00A52ACC">
        <w:rPr>
          <w:rFonts w:ascii="Times" w:hAnsi="Times" w:cs="Tahoma"/>
          <w:szCs w:val="24"/>
        </w:rPr>
        <w:t>’</w:t>
      </w:r>
      <w:r w:rsidRPr="002E7FB3">
        <w:rPr>
          <w:rFonts w:ascii="Times" w:hAnsi="Times" w:cs="Tahoma"/>
          <w:szCs w:val="24"/>
        </w:rPr>
        <w:t>analyse. Les investisseurs comme les États l</w:t>
      </w:r>
      <w:r w:rsidR="00A52ACC">
        <w:rPr>
          <w:rFonts w:ascii="Times" w:hAnsi="Times" w:cs="Tahoma"/>
          <w:szCs w:val="24"/>
        </w:rPr>
        <w:t>’</w:t>
      </w:r>
      <w:r w:rsidRPr="002E7FB3">
        <w:rPr>
          <w:rFonts w:ascii="Times" w:hAnsi="Times" w:cs="Tahoma"/>
          <w:szCs w:val="24"/>
        </w:rPr>
        <w:t>ont bien compris et il s</w:t>
      </w:r>
      <w:r w:rsidR="00A52ACC">
        <w:rPr>
          <w:rFonts w:ascii="Times" w:hAnsi="Times" w:cs="Tahoma"/>
          <w:szCs w:val="24"/>
        </w:rPr>
        <w:t>’</w:t>
      </w:r>
      <w:r w:rsidRPr="002E7FB3">
        <w:rPr>
          <w:rFonts w:ascii="Times" w:hAnsi="Times" w:cs="Tahoma"/>
          <w:szCs w:val="24"/>
        </w:rPr>
        <w:t xml:space="preserve">agit dorénavant, pour les premiers </w:t>
      </w:r>
      <w:r w:rsidR="00461071" w:rsidRPr="002E7FB3">
        <w:rPr>
          <w:rFonts w:ascii="Times" w:hAnsi="Times" w:cs="Tahoma"/>
          <w:szCs w:val="24"/>
        </w:rPr>
        <w:t xml:space="preserve">éventuellement </w:t>
      </w:r>
      <w:r w:rsidRPr="002E7FB3">
        <w:rPr>
          <w:rFonts w:ascii="Times" w:hAnsi="Times" w:cs="Tahoma"/>
          <w:szCs w:val="24"/>
        </w:rPr>
        <w:t>victimes</w:t>
      </w:r>
      <w:r w:rsidR="00461071" w:rsidRPr="002E7FB3">
        <w:rPr>
          <w:rFonts w:ascii="Times" w:hAnsi="Times" w:cs="Tahoma"/>
          <w:szCs w:val="24"/>
        </w:rPr>
        <w:t xml:space="preserve"> d</w:t>
      </w:r>
      <w:r w:rsidR="00A52ACC">
        <w:rPr>
          <w:rFonts w:ascii="Times" w:hAnsi="Times" w:cs="Tahoma"/>
          <w:szCs w:val="24"/>
        </w:rPr>
        <w:t>’</w:t>
      </w:r>
      <w:r w:rsidR="00461071" w:rsidRPr="002E7FB3">
        <w:rPr>
          <w:rFonts w:ascii="Times" w:hAnsi="Times" w:cs="Tahoma"/>
          <w:szCs w:val="24"/>
        </w:rPr>
        <w:t>expropriation ou de violations de leurs droits par un État membre, d</w:t>
      </w:r>
      <w:r w:rsidR="00A52ACC">
        <w:rPr>
          <w:rFonts w:ascii="Times" w:hAnsi="Times" w:cs="Tahoma"/>
          <w:szCs w:val="24"/>
        </w:rPr>
        <w:t>’</w:t>
      </w:r>
      <w:r w:rsidR="00461071" w:rsidRPr="002E7FB3">
        <w:rPr>
          <w:rFonts w:ascii="Times" w:hAnsi="Times" w:cs="Tahoma"/>
          <w:szCs w:val="24"/>
        </w:rPr>
        <w:t xml:space="preserve">obtenir justice sans pouvoir recourir aux </w:t>
      </w:r>
      <w:r w:rsidR="00461071" w:rsidRPr="002E7FB3">
        <w:rPr>
          <w:rFonts w:ascii="Times" w:hAnsi="Times" w:cs="Tahoma"/>
          <w:szCs w:val="24"/>
        </w:rPr>
        <w:lastRenderedPageBreak/>
        <w:t>tribunaux arbitraux. Des exemples récents invitent à mesurer l</w:t>
      </w:r>
      <w:r w:rsidR="00A52ACC">
        <w:rPr>
          <w:rFonts w:ascii="Times" w:hAnsi="Times" w:cs="Tahoma"/>
          <w:szCs w:val="24"/>
        </w:rPr>
        <w:t>’</w:t>
      </w:r>
      <w:r w:rsidR="00461071" w:rsidRPr="002E7FB3">
        <w:rPr>
          <w:rFonts w:ascii="Times" w:hAnsi="Times" w:cs="Tahoma"/>
          <w:szCs w:val="24"/>
        </w:rPr>
        <w:t>ampleur des difficultés qui restent à surmonter pour éviter les dénis de justice et garantir une certaine célérité des procès.</w:t>
      </w:r>
    </w:p>
    <w:p w14:paraId="23332397" w14:textId="77777777" w:rsidR="00461071" w:rsidRPr="002E7FB3" w:rsidRDefault="00461071" w:rsidP="002E7FB3">
      <w:pPr>
        <w:pStyle w:val="NormalWeb"/>
        <w:numPr>
          <w:ilvl w:val="0"/>
          <w:numId w:val="0"/>
        </w:numPr>
        <w:spacing w:before="0" w:beforeAutospacing="0" w:after="0" w:afterAutospacing="0"/>
        <w:rPr>
          <w:rStyle w:val="break-words"/>
          <w:rFonts w:ascii="Times" w:hAnsi="Times" w:cs="Tahoma"/>
        </w:rPr>
      </w:pPr>
    </w:p>
    <w:p w14:paraId="1008C03A" w14:textId="1DCA35AA" w:rsidR="009B3FC5" w:rsidRPr="002E7FB3" w:rsidRDefault="002E7FB3" w:rsidP="002E7FB3">
      <w:pPr>
        <w:pStyle w:val="NormalWeb"/>
        <w:numPr>
          <w:ilvl w:val="0"/>
          <w:numId w:val="0"/>
        </w:numPr>
        <w:spacing w:before="0" w:beforeAutospacing="0" w:after="0" w:afterAutospacing="0"/>
        <w:rPr>
          <w:rStyle w:val="break-words"/>
          <w:rFonts w:ascii="Times" w:hAnsi="Times" w:cs="Tahoma"/>
        </w:rPr>
      </w:pPr>
      <w:r>
        <w:rPr>
          <w:rStyle w:val="break-words"/>
          <w:rFonts w:ascii="Times" w:hAnsi="Times" w:cs="Tahoma"/>
        </w:rPr>
        <w:t>Le récent arrêt</w:t>
      </w:r>
      <w:r w:rsidR="00461071" w:rsidRPr="002E7FB3">
        <w:rPr>
          <w:rStyle w:val="break-words"/>
          <w:rFonts w:ascii="Times" w:hAnsi="Times" w:cs="Tahoma"/>
        </w:rPr>
        <w:t xml:space="preserve"> de la Cour suprême suédoise dans l</w:t>
      </w:r>
      <w:r w:rsidR="00A52ACC">
        <w:rPr>
          <w:rStyle w:val="break-words"/>
          <w:rFonts w:ascii="Times" w:hAnsi="Times" w:cs="Tahoma"/>
        </w:rPr>
        <w:t>’</w:t>
      </w:r>
      <w:r w:rsidR="00461071" w:rsidRPr="002E7FB3">
        <w:rPr>
          <w:rStyle w:val="break-words"/>
          <w:rFonts w:ascii="Times" w:hAnsi="Times" w:cs="Tahoma"/>
        </w:rPr>
        <w:t xml:space="preserve">affaire </w:t>
      </w:r>
      <w:r w:rsidR="00461071" w:rsidRPr="002E7FB3">
        <w:rPr>
          <w:rStyle w:val="break-words"/>
          <w:rFonts w:ascii="Times" w:hAnsi="Times" w:cs="Tahoma"/>
          <w:i/>
          <w:iCs/>
        </w:rPr>
        <w:t>PL Holdings</w:t>
      </w:r>
      <w:r w:rsidR="009B3FC5" w:rsidRPr="002E7FB3">
        <w:rPr>
          <w:rStyle w:val="break-words"/>
          <w:rFonts w:ascii="Times" w:hAnsi="Times" w:cs="Tahoma"/>
        </w:rPr>
        <w:t xml:space="preserve">, </w:t>
      </w:r>
      <w:r>
        <w:rPr>
          <w:rStyle w:val="break-words"/>
          <w:rFonts w:ascii="Times" w:hAnsi="Times" w:cs="Tahoma"/>
        </w:rPr>
        <w:t>sur lequel on se propose d</w:t>
      </w:r>
      <w:r w:rsidR="00A52ACC">
        <w:rPr>
          <w:rStyle w:val="break-words"/>
          <w:rFonts w:ascii="Times" w:hAnsi="Times" w:cs="Tahoma"/>
        </w:rPr>
        <w:t>’</w:t>
      </w:r>
      <w:r>
        <w:rPr>
          <w:rStyle w:val="break-words"/>
          <w:rFonts w:ascii="Times" w:hAnsi="Times" w:cs="Tahoma"/>
        </w:rPr>
        <w:t xml:space="preserve">achever ce propos, </w:t>
      </w:r>
      <w:r w:rsidR="00461071" w:rsidRPr="002E7FB3">
        <w:rPr>
          <w:rStyle w:val="break-words"/>
          <w:rFonts w:ascii="Times" w:hAnsi="Times" w:cs="Tahoma"/>
        </w:rPr>
        <w:t>en est topique</w:t>
      </w:r>
      <w:r w:rsidR="00461071" w:rsidRPr="002E7FB3">
        <w:rPr>
          <w:rStyle w:val="Appelnotedebasdep"/>
          <w:rFonts w:ascii="Times" w:hAnsi="Times" w:cs="Tahoma"/>
        </w:rPr>
        <w:footnoteReference w:id="34"/>
      </w:r>
      <w:r w:rsidR="009B3FC5" w:rsidRPr="002E7FB3">
        <w:rPr>
          <w:rStyle w:val="break-words"/>
          <w:rFonts w:ascii="Times" w:hAnsi="Times" w:cs="Tahoma"/>
        </w:rPr>
        <w:t>.</w:t>
      </w:r>
      <w:r w:rsidR="00461071" w:rsidRPr="002E7FB3">
        <w:rPr>
          <w:rStyle w:val="break-words"/>
          <w:rFonts w:ascii="Times" w:hAnsi="Times" w:cs="Tahoma"/>
        </w:rPr>
        <w:t xml:space="preserve"> </w:t>
      </w:r>
      <w:r w:rsidR="00461071" w:rsidRPr="002E7FB3">
        <w:rPr>
          <w:rFonts w:ascii="Times" w:hAnsi="Times" w:cs="Tahoma"/>
        </w:rPr>
        <w:t>Une question restait en</w:t>
      </w:r>
      <w:r w:rsidR="009B3FC5" w:rsidRPr="002E7FB3">
        <w:rPr>
          <w:rFonts w:ascii="Times" w:hAnsi="Times" w:cs="Tahoma"/>
        </w:rPr>
        <w:t xml:space="preserve"> effet en</w:t>
      </w:r>
      <w:r w:rsidR="00461071" w:rsidRPr="002E7FB3">
        <w:rPr>
          <w:rFonts w:ascii="Times" w:hAnsi="Times" w:cs="Tahoma"/>
        </w:rPr>
        <w:t xml:space="preserve"> (relatif) suspens </w:t>
      </w:r>
      <w:r w:rsidR="009B3FC5" w:rsidRPr="002E7FB3">
        <w:rPr>
          <w:rFonts w:ascii="Times" w:hAnsi="Times" w:cs="Tahoma"/>
        </w:rPr>
        <w:t>à la suite de l</w:t>
      </w:r>
      <w:r w:rsidR="00A52ACC">
        <w:rPr>
          <w:rFonts w:ascii="Times" w:hAnsi="Times" w:cs="Tahoma"/>
        </w:rPr>
        <w:t>’</w:t>
      </w:r>
      <w:r w:rsidR="009B3FC5" w:rsidRPr="002E7FB3">
        <w:rPr>
          <w:rFonts w:ascii="Times" w:hAnsi="Times" w:cs="Tahoma"/>
        </w:rPr>
        <w:t xml:space="preserve">arrêt de la CJUE dans cette affaire </w:t>
      </w:r>
      <w:r w:rsidR="00461071" w:rsidRPr="002E7FB3">
        <w:rPr>
          <w:rFonts w:ascii="Times" w:hAnsi="Times" w:cs="Tahoma"/>
        </w:rPr>
        <w:t>: celle de savoir si les sentences auparavant rendues dans le cadre d</w:t>
      </w:r>
      <w:r w:rsidR="00A52ACC">
        <w:rPr>
          <w:rFonts w:ascii="Times" w:hAnsi="Times" w:cs="Tahoma"/>
        </w:rPr>
        <w:t>’</w:t>
      </w:r>
      <w:r w:rsidR="00461071" w:rsidRPr="002E7FB3">
        <w:rPr>
          <w:rFonts w:ascii="Times" w:hAnsi="Times" w:cs="Tahoma"/>
        </w:rPr>
        <w:t xml:space="preserve">une convention </w:t>
      </w:r>
      <w:r w:rsidR="009B3FC5" w:rsidRPr="002E7FB3">
        <w:rPr>
          <w:rFonts w:ascii="Times" w:hAnsi="Times" w:cs="Tahoma"/>
        </w:rPr>
        <w:t>d</w:t>
      </w:r>
      <w:r w:rsidR="00A52ACC">
        <w:rPr>
          <w:rFonts w:ascii="Times" w:hAnsi="Times" w:cs="Tahoma"/>
        </w:rPr>
        <w:t>’</w:t>
      </w:r>
      <w:r w:rsidR="009B3FC5" w:rsidRPr="002E7FB3">
        <w:rPr>
          <w:rFonts w:ascii="Times" w:hAnsi="Times" w:cs="Tahoma"/>
        </w:rPr>
        <w:t xml:space="preserve">arbitrage </w:t>
      </w:r>
      <w:r w:rsidR="00461071" w:rsidRPr="002E7FB3">
        <w:rPr>
          <w:rFonts w:ascii="Times" w:hAnsi="Times" w:cs="Tahoma"/>
          <w:i/>
          <w:iCs/>
        </w:rPr>
        <w:t>ad hoc</w:t>
      </w:r>
      <w:r w:rsidR="00461071" w:rsidRPr="002E7FB3">
        <w:rPr>
          <w:rFonts w:ascii="Times" w:hAnsi="Times" w:cs="Tahoma"/>
        </w:rPr>
        <w:t xml:space="preserve"> </w:t>
      </w:r>
      <w:r w:rsidR="009B3FC5" w:rsidRPr="002E7FB3">
        <w:rPr>
          <w:rFonts w:ascii="Times" w:hAnsi="Times" w:cs="Tahoma"/>
        </w:rPr>
        <w:t>– et non d</w:t>
      </w:r>
      <w:r w:rsidR="00A52ACC">
        <w:rPr>
          <w:rFonts w:ascii="Times" w:hAnsi="Times" w:cs="Tahoma"/>
        </w:rPr>
        <w:t>’</w:t>
      </w:r>
      <w:r w:rsidR="009B3FC5" w:rsidRPr="002E7FB3">
        <w:rPr>
          <w:rFonts w:ascii="Times" w:hAnsi="Times" w:cs="Tahoma"/>
        </w:rPr>
        <w:t xml:space="preserve">un TBI – </w:t>
      </w:r>
      <w:r w:rsidR="00461071" w:rsidRPr="002E7FB3">
        <w:rPr>
          <w:rFonts w:ascii="Times" w:hAnsi="Times" w:cs="Tahoma"/>
        </w:rPr>
        <w:t xml:space="preserve">devaient être annulées, par une application rétroactive de la jurisprudence européenne. </w:t>
      </w:r>
      <w:r w:rsidR="009B3FC5" w:rsidRPr="002E7FB3">
        <w:rPr>
          <w:rStyle w:val="break-words"/>
          <w:rFonts w:ascii="Times" w:hAnsi="Times" w:cs="Tahoma"/>
        </w:rPr>
        <w:t xml:space="preserve">La société </w:t>
      </w:r>
      <w:r w:rsidR="009B3FC5" w:rsidRPr="002E7FB3">
        <w:rPr>
          <w:rStyle w:val="break-words"/>
          <w:rFonts w:ascii="Times" w:hAnsi="Times" w:cs="Tahoma"/>
          <w:i/>
          <w:iCs/>
        </w:rPr>
        <w:t>PL Holdings</w:t>
      </w:r>
      <w:r w:rsidR="009B3FC5" w:rsidRPr="002E7FB3">
        <w:rPr>
          <w:rStyle w:val="break-words"/>
          <w:rFonts w:ascii="Times" w:hAnsi="Times" w:cs="Tahoma"/>
        </w:rPr>
        <w:t xml:space="preserve"> soutenait depuis le départ que l</w:t>
      </w:r>
      <w:r w:rsidR="00A52ACC">
        <w:rPr>
          <w:rStyle w:val="break-words"/>
          <w:rFonts w:ascii="Times" w:hAnsi="Times" w:cs="Tahoma"/>
        </w:rPr>
        <w:t>’</w:t>
      </w:r>
      <w:r w:rsidR="009B3FC5" w:rsidRPr="002E7FB3">
        <w:rPr>
          <w:rStyle w:val="break-words"/>
          <w:rFonts w:ascii="Times" w:hAnsi="Times" w:cs="Tahoma"/>
        </w:rPr>
        <w:t xml:space="preserve">arrêt </w:t>
      </w:r>
      <w:proofErr w:type="spellStart"/>
      <w:r w:rsidR="009B3FC5" w:rsidRPr="002E7FB3">
        <w:rPr>
          <w:rStyle w:val="break-words"/>
          <w:rFonts w:ascii="Times" w:hAnsi="Times" w:cs="Tahoma"/>
          <w:i/>
          <w:iCs/>
        </w:rPr>
        <w:t>Achmea</w:t>
      </w:r>
      <w:proofErr w:type="spellEnd"/>
      <w:r w:rsidR="009B3FC5" w:rsidRPr="002E7FB3">
        <w:rPr>
          <w:rStyle w:val="break-words"/>
          <w:rFonts w:ascii="Times" w:hAnsi="Times" w:cs="Tahoma"/>
        </w:rPr>
        <w:t xml:space="preserve"> n</w:t>
      </w:r>
      <w:r w:rsidR="00A52ACC">
        <w:rPr>
          <w:rStyle w:val="break-words"/>
          <w:rFonts w:ascii="Times" w:hAnsi="Times" w:cs="Tahoma"/>
        </w:rPr>
        <w:t>’</w:t>
      </w:r>
      <w:r w:rsidR="009B3FC5" w:rsidRPr="002E7FB3">
        <w:rPr>
          <w:rStyle w:val="break-words"/>
          <w:rFonts w:ascii="Times" w:hAnsi="Times" w:cs="Tahoma"/>
        </w:rPr>
        <w:t>interdisait pas la conclusion d</w:t>
      </w:r>
      <w:r w:rsidR="00A52ACC">
        <w:rPr>
          <w:rStyle w:val="break-words"/>
          <w:rFonts w:ascii="Times" w:hAnsi="Times" w:cs="Tahoma"/>
        </w:rPr>
        <w:t>’</w:t>
      </w:r>
      <w:r w:rsidR="009B3FC5" w:rsidRPr="002E7FB3">
        <w:rPr>
          <w:rStyle w:val="break-words"/>
          <w:rFonts w:ascii="Times" w:hAnsi="Times" w:cs="Tahoma"/>
        </w:rPr>
        <w:t>une nouvelle convention d</w:t>
      </w:r>
      <w:r w:rsidR="00A52ACC">
        <w:rPr>
          <w:rStyle w:val="break-words"/>
          <w:rFonts w:ascii="Times" w:hAnsi="Times" w:cs="Tahoma"/>
        </w:rPr>
        <w:t>’</w:t>
      </w:r>
      <w:r w:rsidR="009B3FC5" w:rsidRPr="002E7FB3">
        <w:rPr>
          <w:rStyle w:val="break-words"/>
          <w:rFonts w:ascii="Times" w:hAnsi="Times" w:cs="Tahoma"/>
        </w:rPr>
        <w:t xml:space="preserve">arbitrage, </w:t>
      </w:r>
      <w:proofErr w:type="gramStart"/>
      <w:r w:rsidR="009B3FC5" w:rsidRPr="002E7FB3">
        <w:rPr>
          <w:rStyle w:val="break-words"/>
          <w:rFonts w:ascii="Times" w:hAnsi="Times" w:cs="Tahoma"/>
        </w:rPr>
        <w:t>hors</w:t>
      </w:r>
      <w:proofErr w:type="gramEnd"/>
      <w:r w:rsidR="009B3FC5" w:rsidRPr="002E7FB3">
        <w:rPr>
          <w:rStyle w:val="break-words"/>
          <w:rFonts w:ascii="Times" w:hAnsi="Times" w:cs="Tahoma"/>
        </w:rPr>
        <w:t xml:space="preserve"> TBI, après le début d</w:t>
      </w:r>
      <w:r w:rsidR="00A52ACC">
        <w:rPr>
          <w:rStyle w:val="break-words"/>
          <w:rFonts w:ascii="Times" w:hAnsi="Times" w:cs="Tahoma"/>
        </w:rPr>
        <w:t>’</w:t>
      </w:r>
      <w:r w:rsidR="009B3FC5" w:rsidRPr="002E7FB3">
        <w:rPr>
          <w:rStyle w:val="break-words"/>
          <w:rFonts w:ascii="Times" w:hAnsi="Times" w:cs="Tahoma"/>
        </w:rPr>
        <w:t>un arbitrage fondé sur un TBI dont la clause d</w:t>
      </w:r>
      <w:r w:rsidR="00A52ACC">
        <w:rPr>
          <w:rStyle w:val="break-words"/>
          <w:rFonts w:ascii="Times" w:hAnsi="Times" w:cs="Tahoma"/>
        </w:rPr>
        <w:t>’</w:t>
      </w:r>
      <w:r w:rsidR="009B3FC5" w:rsidRPr="002E7FB3">
        <w:rPr>
          <w:rStyle w:val="break-words"/>
          <w:rFonts w:ascii="Times" w:hAnsi="Times" w:cs="Tahoma"/>
        </w:rPr>
        <w:t xml:space="preserve">arbitrage aurait été neutralisée du fait de la jurisprudence de la CJUE </w:t>
      </w:r>
      <w:proofErr w:type="spellStart"/>
      <w:r w:rsidR="009B3FC5" w:rsidRPr="002E7FB3">
        <w:rPr>
          <w:rStyle w:val="break-words"/>
          <w:rFonts w:ascii="Times" w:hAnsi="Times" w:cs="Tahoma"/>
          <w:i/>
        </w:rPr>
        <w:t>Achmea</w:t>
      </w:r>
      <w:proofErr w:type="spellEnd"/>
      <w:r w:rsidR="009B3FC5" w:rsidRPr="002E7FB3">
        <w:rPr>
          <w:rStyle w:val="break-words"/>
          <w:rFonts w:ascii="Times" w:hAnsi="Times" w:cs="Tahoma"/>
          <w:i/>
        </w:rPr>
        <w:t xml:space="preserve"> </w:t>
      </w:r>
      <w:r w:rsidR="009B3FC5" w:rsidRPr="002E7FB3">
        <w:rPr>
          <w:rStyle w:val="break-words"/>
          <w:rFonts w:ascii="Times" w:hAnsi="Times" w:cs="Tahoma"/>
          <w:iCs/>
        </w:rPr>
        <w:t>– et ses ramifications ultérieures</w:t>
      </w:r>
      <w:r w:rsidR="009B3FC5" w:rsidRPr="002E7FB3">
        <w:rPr>
          <w:rStyle w:val="break-words"/>
          <w:rFonts w:ascii="Times" w:hAnsi="Times" w:cs="Tahoma"/>
        </w:rPr>
        <w:t>. C</w:t>
      </w:r>
      <w:r w:rsidR="00A52ACC">
        <w:rPr>
          <w:rStyle w:val="break-words"/>
          <w:rFonts w:ascii="Times" w:hAnsi="Times" w:cs="Tahoma"/>
        </w:rPr>
        <w:t>’</w:t>
      </w:r>
      <w:r w:rsidR="009B3FC5" w:rsidRPr="002E7FB3">
        <w:rPr>
          <w:rStyle w:val="break-words"/>
          <w:rFonts w:ascii="Times" w:hAnsi="Times" w:cs="Tahoma"/>
        </w:rPr>
        <w:t>était précisément sur le fondement d</w:t>
      </w:r>
      <w:r w:rsidR="00A52ACC">
        <w:rPr>
          <w:rStyle w:val="break-words"/>
          <w:rFonts w:ascii="Times" w:hAnsi="Times" w:cs="Tahoma"/>
        </w:rPr>
        <w:t>’</w:t>
      </w:r>
      <w:r w:rsidR="009B3FC5" w:rsidRPr="002E7FB3">
        <w:rPr>
          <w:rStyle w:val="break-words"/>
          <w:rFonts w:ascii="Times" w:hAnsi="Times" w:cs="Tahoma"/>
        </w:rPr>
        <w:t>une clause d</w:t>
      </w:r>
      <w:r w:rsidR="00A52ACC">
        <w:rPr>
          <w:rStyle w:val="break-words"/>
          <w:rFonts w:ascii="Times" w:hAnsi="Times" w:cs="Tahoma"/>
        </w:rPr>
        <w:t>’</w:t>
      </w:r>
      <w:r w:rsidR="009B3FC5" w:rsidRPr="002E7FB3">
        <w:rPr>
          <w:rStyle w:val="break-words"/>
          <w:rFonts w:ascii="Times" w:hAnsi="Times" w:cs="Tahoma"/>
        </w:rPr>
        <w:t xml:space="preserve">une convention </w:t>
      </w:r>
      <w:r w:rsidR="009B3FC5" w:rsidRPr="002E7FB3">
        <w:rPr>
          <w:rStyle w:val="break-words"/>
          <w:rFonts w:ascii="Times" w:hAnsi="Times" w:cs="Tahoma"/>
          <w:i/>
          <w:iCs/>
        </w:rPr>
        <w:t>ad hoc</w:t>
      </w:r>
      <w:r w:rsidR="009B3FC5" w:rsidRPr="002E7FB3">
        <w:rPr>
          <w:rStyle w:val="break-words"/>
          <w:rFonts w:ascii="Times" w:hAnsi="Times" w:cs="Tahoma"/>
        </w:rPr>
        <w:t xml:space="preserve"> identique à celle du TBI que la Chambre de commerce de Stockholm avait ainsi rendu deux sentences arbitrales de 2017 contestées par la Pologne. Il découle néanmoins de l</w:t>
      </w:r>
      <w:r w:rsidR="00A52ACC">
        <w:rPr>
          <w:rStyle w:val="break-words"/>
          <w:rFonts w:ascii="Times" w:hAnsi="Times" w:cs="Tahoma"/>
        </w:rPr>
        <w:t>’</w:t>
      </w:r>
      <w:r w:rsidR="009B3FC5" w:rsidRPr="002E7FB3">
        <w:rPr>
          <w:rStyle w:val="break-words"/>
          <w:rFonts w:ascii="Times" w:hAnsi="Times" w:cs="Tahoma"/>
        </w:rPr>
        <w:t xml:space="preserve">arrêt </w:t>
      </w:r>
      <w:r w:rsidR="009B3FC5" w:rsidRPr="002E7FB3">
        <w:rPr>
          <w:rStyle w:val="break-words"/>
          <w:rFonts w:ascii="Times" w:hAnsi="Times" w:cs="Tahoma"/>
          <w:i/>
          <w:iCs/>
        </w:rPr>
        <w:t xml:space="preserve">PL Holdings </w:t>
      </w:r>
      <w:r w:rsidR="009B3FC5" w:rsidRPr="002E7FB3">
        <w:rPr>
          <w:rStyle w:val="break-words"/>
          <w:rFonts w:ascii="Times" w:hAnsi="Times" w:cs="Tahoma"/>
        </w:rPr>
        <w:t>de la CJUE que pour être validée, une sentence doit pouvoir faire l</w:t>
      </w:r>
      <w:r w:rsidR="00A52ACC">
        <w:rPr>
          <w:rStyle w:val="break-words"/>
          <w:rFonts w:ascii="Times" w:hAnsi="Times" w:cs="Tahoma"/>
        </w:rPr>
        <w:t>’</w:t>
      </w:r>
      <w:r w:rsidR="009B3FC5" w:rsidRPr="002E7FB3">
        <w:rPr>
          <w:rStyle w:val="break-words"/>
          <w:rFonts w:ascii="Times" w:hAnsi="Times" w:cs="Tahoma"/>
        </w:rPr>
        <w:t>objet d</w:t>
      </w:r>
      <w:r w:rsidR="00A52ACC">
        <w:rPr>
          <w:rStyle w:val="break-words"/>
          <w:rFonts w:ascii="Times" w:hAnsi="Times" w:cs="Tahoma"/>
        </w:rPr>
        <w:t>’</w:t>
      </w:r>
      <w:r w:rsidR="009B3FC5" w:rsidRPr="002E7FB3">
        <w:rPr>
          <w:rStyle w:val="break-words"/>
          <w:rFonts w:ascii="Times" w:hAnsi="Times" w:cs="Tahoma"/>
        </w:rPr>
        <w:t>un contrôle suffisant de la part des juridictions nationales susceptibles de poser une question préjudicielle à la CJUE – cette capacité étant, à en croire la Cour, le seul moyen de garantir pleinement l</w:t>
      </w:r>
      <w:r w:rsidR="00A52ACC">
        <w:rPr>
          <w:rStyle w:val="break-words"/>
          <w:rFonts w:ascii="Times" w:hAnsi="Times" w:cs="Tahoma"/>
        </w:rPr>
        <w:t>’</w:t>
      </w:r>
      <w:r w:rsidR="009B3FC5" w:rsidRPr="002E7FB3">
        <w:rPr>
          <w:rStyle w:val="break-words"/>
          <w:rFonts w:ascii="Times" w:hAnsi="Times" w:cs="Tahoma"/>
        </w:rPr>
        <w:t>application du droit de l</w:t>
      </w:r>
      <w:r w:rsidR="00A52ACC">
        <w:rPr>
          <w:rStyle w:val="break-words"/>
          <w:rFonts w:ascii="Times" w:hAnsi="Times" w:cs="Tahoma"/>
        </w:rPr>
        <w:t>’</w:t>
      </w:r>
      <w:r w:rsidR="009B3FC5" w:rsidRPr="002E7FB3">
        <w:rPr>
          <w:rStyle w:val="break-words"/>
          <w:rFonts w:ascii="Times" w:hAnsi="Times" w:cs="Tahoma"/>
        </w:rPr>
        <w:t>Union. Une fois placée en tort sur le fond, la société expropriée – d</w:t>
      </w:r>
      <w:r w:rsidR="00A52ACC">
        <w:rPr>
          <w:rStyle w:val="break-words"/>
          <w:rFonts w:ascii="Times" w:hAnsi="Times" w:cs="Tahoma"/>
        </w:rPr>
        <w:t>’</w:t>
      </w:r>
      <w:r w:rsidR="009B3FC5" w:rsidRPr="002E7FB3">
        <w:rPr>
          <w:rStyle w:val="break-words"/>
          <w:rFonts w:ascii="Times" w:hAnsi="Times" w:cs="Tahoma"/>
        </w:rPr>
        <w:t>après les sentences arbitrales de 2017 – soutenait que l</w:t>
      </w:r>
      <w:r w:rsidR="00A52ACC">
        <w:rPr>
          <w:rStyle w:val="break-words"/>
          <w:rFonts w:ascii="Times" w:hAnsi="Times" w:cs="Tahoma"/>
        </w:rPr>
        <w:t>’</w:t>
      </w:r>
      <w:r w:rsidR="009B3FC5" w:rsidRPr="002E7FB3">
        <w:rPr>
          <w:rStyle w:val="break-words"/>
          <w:rFonts w:ascii="Times" w:hAnsi="Times" w:cs="Tahoma"/>
        </w:rPr>
        <w:t>annulation des sentences découlant de l</w:t>
      </w:r>
      <w:r w:rsidR="00A52ACC">
        <w:rPr>
          <w:rStyle w:val="break-words"/>
          <w:rFonts w:ascii="Times" w:hAnsi="Times" w:cs="Tahoma"/>
        </w:rPr>
        <w:t>’</w:t>
      </w:r>
      <w:r w:rsidR="009B3FC5" w:rsidRPr="002E7FB3">
        <w:rPr>
          <w:rStyle w:val="break-words"/>
          <w:rFonts w:ascii="Times" w:hAnsi="Times" w:cs="Tahoma"/>
        </w:rPr>
        <w:t>arrêt de la Cour de Justice serait contraire à une série de textes fondamentaux européens. La société invoquait notamment l</w:t>
      </w:r>
      <w:r w:rsidR="00A52ACC">
        <w:rPr>
          <w:rStyle w:val="break-words"/>
          <w:rFonts w:ascii="Times" w:hAnsi="Times" w:cs="Tahoma"/>
        </w:rPr>
        <w:t>’</w:t>
      </w:r>
      <w:r w:rsidR="009B3FC5" w:rsidRPr="002E7FB3">
        <w:rPr>
          <w:rStyle w:val="break-words"/>
          <w:rFonts w:ascii="Times" w:hAnsi="Times" w:cs="Tahoma"/>
        </w:rPr>
        <w:t>article 19 TU</w:t>
      </w:r>
      <w:r w:rsidR="009B3FC5" w:rsidRPr="002E7FB3">
        <w:rPr>
          <w:rFonts w:ascii="Times" w:hAnsi="Times" w:cs="Tahoma"/>
          <w:color w:val="202122"/>
          <w:shd w:val="clear" w:color="auto" w:fill="FFFFFF"/>
        </w:rPr>
        <w:t>E</w:t>
      </w:r>
      <w:r w:rsidR="009B3FC5" w:rsidRPr="002E7FB3">
        <w:rPr>
          <w:rStyle w:val="Appelnotedebasdep"/>
          <w:rFonts w:ascii="Times" w:hAnsi="Times" w:cs="Tahoma"/>
          <w:color w:val="202122"/>
          <w:shd w:val="clear" w:color="auto" w:fill="FFFFFF"/>
        </w:rPr>
        <w:footnoteReference w:id="35"/>
      </w:r>
      <w:r w:rsidR="009B3FC5" w:rsidRPr="002E7FB3">
        <w:rPr>
          <w:rStyle w:val="break-words"/>
          <w:rFonts w:ascii="Times" w:hAnsi="Times" w:cs="Tahoma"/>
        </w:rPr>
        <w:t>, l</w:t>
      </w:r>
      <w:r w:rsidR="00A52ACC">
        <w:rPr>
          <w:rStyle w:val="break-words"/>
          <w:rFonts w:ascii="Times" w:hAnsi="Times" w:cs="Tahoma"/>
        </w:rPr>
        <w:t>’</w:t>
      </w:r>
      <w:r w:rsidR="009B3FC5" w:rsidRPr="002E7FB3">
        <w:rPr>
          <w:rStyle w:val="break-words"/>
          <w:rFonts w:ascii="Times" w:hAnsi="Times" w:cs="Tahoma"/>
        </w:rPr>
        <w:t>article 47 de la Charte des droits fondamentaux</w:t>
      </w:r>
      <w:r w:rsidR="009B3FC5" w:rsidRPr="002E7FB3">
        <w:rPr>
          <w:rStyle w:val="Appelnotedebasdep"/>
          <w:rFonts w:ascii="Times" w:hAnsi="Times" w:cs="Tahoma"/>
        </w:rPr>
        <w:footnoteReference w:id="36"/>
      </w:r>
      <w:r w:rsidR="009B3FC5" w:rsidRPr="002E7FB3">
        <w:rPr>
          <w:rStyle w:val="break-words"/>
          <w:rFonts w:ascii="Times" w:hAnsi="Times" w:cs="Tahoma"/>
        </w:rPr>
        <w:t>, les articles 6 et 13 de la Convention EDH relatifs au droit au procès équitable et à l</w:t>
      </w:r>
      <w:r w:rsidR="00A52ACC">
        <w:rPr>
          <w:rStyle w:val="break-words"/>
          <w:rFonts w:ascii="Times" w:hAnsi="Times" w:cs="Tahoma"/>
        </w:rPr>
        <w:t>’</w:t>
      </w:r>
      <w:r w:rsidR="009B3FC5" w:rsidRPr="002E7FB3">
        <w:rPr>
          <w:rStyle w:val="break-words"/>
          <w:rFonts w:ascii="Times" w:hAnsi="Times" w:cs="Tahoma"/>
        </w:rPr>
        <w:t>absence de discrimination, ainsi que l</w:t>
      </w:r>
      <w:r w:rsidR="00A52ACC">
        <w:rPr>
          <w:rStyle w:val="break-words"/>
          <w:rFonts w:ascii="Times" w:hAnsi="Times" w:cs="Tahoma"/>
        </w:rPr>
        <w:t>’</w:t>
      </w:r>
      <w:r w:rsidR="009B3FC5" w:rsidRPr="002E7FB3">
        <w:rPr>
          <w:rStyle w:val="break-words"/>
          <w:rFonts w:ascii="Times" w:hAnsi="Times" w:cs="Tahoma"/>
        </w:rPr>
        <w:t>article 1</w:t>
      </w:r>
      <w:r w:rsidR="009B3FC5" w:rsidRPr="002E7FB3">
        <w:rPr>
          <w:rStyle w:val="break-words"/>
          <w:rFonts w:ascii="Times" w:hAnsi="Times" w:cs="Tahoma"/>
          <w:vertAlign w:val="superscript"/>
        </w:rPr>
        <w:t>er</w:t>
      </w:r>
      <w:r w:rsidR="009B3FC5" w:rsidRPr="002E7FB3">
        <w:rPr>
          <w:rStyle w:val="break-words"/>
          <w:rFonts w:ascii="Times" w:hAnsi="Times" w:cs="Tahoma"/>
        </w:rPr>
        <w:t xml:space="preserve"> du 1</w:t>
      </w:r>
      <w:r w:rsidR="009B3FC5" w:rsidRPr="002E7FB3">
        <w:rPr>
          <w:rStyle w:val="break-words"/>
          <w:rFonts w:ascii="Times" w:hAnsi="Times" w:cs="Tahoma"/>
          <w:vertAlign w:val="superscript"/>
        </w:rPr>
        <w:t>er</w:t>
      </w:r>
      <w:r w:rsidR="009B3FC5" w:rsidRPr="002E7FB3">
        <w:rPr>
          <w:rStyle w:val="break-words"/>
          <w:rFonts w:ascii="Times" w:hAnsi="Times" w:cs="Tahoma"/>
        </w:rPr>
        <w:t xml:space="preserve"> Protocole à la Convention sur le droit de propriété. En somme, l</w:t>
      </w:r>
      <w:r w:rsidR="00A52ACC">
        <w:rPr>
          <w:rStyle w:val="break-words"/>
          <w:rFonts w:ascii="Times" w:hAnsi="Times" w:cs="Tahoma"/>
        </w:rPr>
        <w:t>’</w:t>
      </w:r>
      <w:r w:rsidR="009B3FC5" w:rsidRPr="002E7FB3">
        <w:rPr>
          <w:rStyle w:val="break-words"/>
          <w:rFonts w:ascii="Times" w:hAnsi="Times" w:cs="Tahoma"/>
        </w:rPr>
        <w:t>argumentation de la société pour contester l</w:t>
      </w:r>
      <w:r w:rsidR="00A52ACC">
        <w:rPr>
          <w:rStyle w:val="break-words"/>
          <w:rFonts w:ascii="Times" w:hAnsi="Times" w:cs="Tahoma"/>
        </w:rPr>
        <w:t>’</w:t>
      </w:r>
      <w:r w:rsidR="009B3FC5" w:rsidRPr="002E7FB3">
        <w:rPr>
          <w:rStyle w:val="break-words"/>
          <w:rFonts w:ascii="Times" w:hAnsi="Times" w:cs="Tahoma"/>
        </w:rPr>
        <w:t>annulation des sentences reposait sur le fait que dans cette hypothèse, l</w:t>
      </w:r>
      <w:r w:rsidR="00A52ACC">
        <w:rPr>
          <w:rStyle w:val="break-words"/>
          <w:rFonts w:ascii="Times" w:hAnsi="Times" w:cs="Tahoma"/>
        </w:rPr>
        <w:t>’</w:t>
      </w:r>
      <w:r w:rsidR="009B3FC5" w:rsidRPr="002E7FB3">
        <w:rPr>
          <w:rStyle w:val="break-words"/>
          <w:rFonts w:ascii="Times" w:hAnsi="Times" w:cs="Tahoma"/>
        </w:rPr>
        <w:t>expropriation dont elle avait été victime – de manière peu discutable sur le fond – ne pourrait faire l</w:t>
      </w:r>
      <w:r w:rsidR="00A52ACC">
        <w:rPr>
          <w:rStyle w:val="break-words"/>
          <w:rFonts w:ascii="Times" w:hAnsi="Times" w:cs="Tahoma"/>
        </w:rPr>
        <w:t>’</w:t>
      </w:r>
      <w:r w:rsidR="009B3FC5" w:rsidRPr="002E7FB3">
        <w:rPr>
          <w:rStyle w:val="break-words"/>
          <w:rFonts w:ascii="Times" w:hAnsi="Times" w:cs="Tahoma"/>
        </w:rPr>
        <w:t>objet d</w:t>
      </w:r>
      <w:r w:rsidR="00A52ACC">
        <w:rPr>
          <w:rStyle w:val="break-words"/>
          <w:rFonts w:ascii="Times" w:hAnsi="Times" w:cs="Tahoma"/>
        </w:rPr>
        <w:t>’</w:t>
      </w:r>
      <w:r w:rsidR="009B3FC5" w:rsidRPr="002E7FB3">
        <w:rPr>
          <w:rStyle w:val="break-words"/>
          <w:rFonts w:ascii="Times" w:hAnsi="Times" w:cs="Tahoma"/>
        </w:rPr>
        <w:t>aucun recours effectif.</w:t>
      </w:r>
    </w:p>
    <w:p w14:paraId="3D784670" w14:textId="77777777" w:rsidR="009B3FC5" w:rsidRPr="002E7FB3" w:rsidRDefault="009B3FC5" w:rsidP="002E7FB3">
      <w:pPr>
        <w:pStyle w:val="NormalWeb"/>
        <w:numPr>
          <w:ilvl w:val="0"/>
          <w:numId w:val="0"/>
        </w:numPr>
        <w:spacing w:before="0" w:beforeAutospacing="0" w:after="0" w:afterAutospacing="0"/>
        <w:rPr>
          <w:rStyle w:val="break-words"/>
          <w:rFonts w:ascii="Times" w:hAnsi="Times" w:cs="Tahoma"/>
        </w:rPr>
      </w:pPr>
    </w:p>
    <w:p w14:paraId="302B6F2B" w14:textId="61272A5C" w:rsidR="00461071" w:rsidRDefault="009B3FC5" w:rsidP="002E7FB3">
      <w:pPr>
        <w:pStyle w:val="NormalWeb"/>
        <w:numPr>
          <w:ilvl w:val="0"/>
          <w:numId w:val="0"/>
        </w:numPr>
        <w:spacing w:before="0" w:beforeAutospacing="0" w:after="0" w:afterAutospacing="0"/>
        <w:rPr>
          <w:rStyle w:val="break-words"/>
          <w:rFonts w:ascii="Times" w:hAnsi="Times" w:cs="Tahoma"/>
        </w:rPr>
      </w:pPr>
      <w:r w:rsidRPr="002E7FB3">
        <w:rPr>
          <w:rStyle w:val="break-words"/>
          <w:rFonts w:ascii="Times" w:hAnsi="Times" w:cs="Tahoma"/>
        </w:rPr>
        <w:t>La solution à cette difficulté était donnée dans l</w:t>
      </w:r>
      <w:r w:rsidR="00A52ACC">
        <w:rPr>
          <w:rStyle w:val="break-words"/>
          <w:rFonts w:ascii="Times" w:hAnsi="Times" w:cs="Tahoma"/>
        </w:rPr>
        <w:t>’</w:t>
      </w:r>
      <w:r w:rsidRPr="002E7FB3">
        <w:rPr>
          <w:rStyle w:val="break-words"/>
          <w:rFonts w:ascii="Times" w:hAnsi="Times" w:cs="Tahoma"/>
        </w:rPr>
        <w:t xml:space="preserve">arrêt </w:t>
      </w:r>
      <w:r w:rsidRPr="002E7FB3">
        <w:rPr>
          <w:rStyle w:val="break-words"/>
          <w:rFonts w:ascii="Times" w:hAnsi="Times" w:cs="Tahoma"/>
          <w:i/>
          <w:iCs/>
        </w:rPr>
        <w:t>PL Holdings</w:t>
      </w:r>
      <w:r w:rsidRPr="002E7FB3">
        <w:rPr>
          <w:rStyle w:val="break-words"/>
          <w:rFonts w:ascii="Times" w:hAnsi="Times" w:cs="Tahoma"/>
        </w:rPr>
        <w:t xml:space="preserve"> de la CJUE, de sorte que le raisonnement de la Cour suprême suédoise n</w:t>
      </w:r>
      <w:r w:rsidR="00A52ACC">
        <w:rPr>
          <w:rStyle w:val="break-words"/>
          <w:rFonts w:ascii="Times" w:hAnsi="Times" w:cs="Tahoma"/>
        </w:rPr>
        <w:t>’</w:t>
      </w:r>
      <w:r w:rsidRPr="002E7FB3">
        <w:rPr>
          <w:rStyle w:val="break-words"/>
          <w:rFonts w:ascii="Times" w:hAnsi="Times" w:cs="Tahoma"/>
        </w:rPr>
        <w:t>étonne pas. Le juge européen répond en effet à l</w:t>
      </w:r>
      <w:r w:rsidR="00A52ACC">
        <w:rPr>
          <w:rStyle w:val="break-words"/>
          <w:rFonts w:ascii="Times" w:hAnsi="Times" w:cs="Tahoma"/>
        </w:rPr>
        <w:t>’</w:t>
      </w:r>
      <w:r w:rsidRPr="002E7FB3">
        <w:rPr>
          <w:rStyle w:val="break-words"/>
          <w:rFonts w:ascii="Times" w:hAnsi="Times" w:cs="Tahoma"/>
        </w:rPr>
        <w:t>argument de la société en indiquant que « </w:t>
      </w:r>
      <w:r w:rsidRPr="002E7FB3">
        <w:rPr>
          <w:rFonts w:ascii="Times" w:hAnsi="Times" w:cs="Tahoma"/>
        </w:rPr>
        <w:t xml:space="preserve">la protection des droits subjectifs que </w:t>
      </w:r>
      <w:r w:rsidRPr="002E7FB3">
        <w:rPr>
          <w:rFonts w:ascii="Times" w:hAnsi="Times" w:cs="Tahoma"/>
          <w:i/>
          <w:iCs/>
        </w:rPr>
        <w:t>PL Holdings</w:t>
      </w:r>
      <w:r w:rsidRPr="002E7FB3">
        <w:rPr>
          <w:rFonts w:ascii="Times" w:hAnsi="Times" w:cs="Tahoma"/>
        </w:rPr>
        <w:t xml:space="preserve"> tire du droit de l</w:t>
      </w:r>
      <w:r w:rsidR="00A52ACC">
        <w:rPr>
          <w:rFonts w:ascii="Times" w:hAnsi="Times" w:cs="Tahoma"/>
        </w:rPr>
        <w:t>’</w:t>
      </w:r>
      <w:r w:rsidRPr="002E7FB3">
        <w:rPr>
          <w:rFonts w:ascii="Times" w:hAnsi="Times" w:cs="Tahoma"/>
        </w:rPr>
        <w:t>Union doit être assurée dans le cadre du système juridictionnel des États membres, en l</w:t>
      </w:r>
      <w:r w:rsidR="00A52ACC">
        <w:rPr>
          <w:rFonts w:ascii="Times" w:hAnsi="Times" w:cs="Tahoma"/>
        </w:rPr>
        <w:t>’</w:t>
      </w:r>
      <w:r w:rsidRPr="002E7FB3">
        <w:rPr>
          <w:rFonts w:ascii="Times" w:hAnsi="Times" w:cs="Tahoma"/>
        </w:rPr>
        <w:t xml:space="preserve">occurrence, le système juridictionnel polonais. Dès lors, à supposer que soit établie la lacune dans la protection de ces droits dont </w:t>
      </w:r>
      <w:r w:rsidRPr="002E7FB3">
        <w:rPr>
          <w:rFonts w:ascii="Times" w:hAnsi="Times" w:cs="Tahoma"/>
          <w:i/>
          <w:iCs/>
        </w:rPr>
        <w:t>PL Holdings</w:t>
      </w:r>
      <w:r w:rsidRPr="002E7FB3">
        <w:rPr>
          <w:rFonts w:ascii="Times" w:hAnsi="Times" w:cs="Tahoma"/>
        </w:rPr>
        <w:t xml:space="preserve"> allègue l</w:t>
      </w:r>
      <w:r w:rsidR="00A52ACC">
        <w:rPr>
          <w:rFonts w:ascii="Times" w:hAnsi="Times" w:cs="Tahoma"/>
        </w:rPr>
        <w:t>’</w:t>
      </w:r>
      <w:r w:rsidRPr="002E7FB3">
        <w:rPr>
          <w:rFonts w:ascii="Times" w:hAnsi="Times" w:cs="Tahoma"/>
        </w:rPr>
        <w:t>existence, cette lacune devrait être corrigée au sein de ce système, le cas échéant avec la coopération de la Cour dans le cadre de ses compétences, sans qu</w:t>
      </w:r>
      <w:r w:rsidR="00A52ACC">
        <w:rPr>
          <w:rFonts w:ascii="Times" w:hAnsi="Times" w:cs="Tahoma"/>
        </w:rPr>
        <w:t>’</w:t>
      </w:r>
      <w:r w:rsidRPr="002E7FB3">
        <w:rPr>
          <w:rFonts w:ascii="Times" w:hAnsi="Times" w:cs="Tahoma"/>
        </w:rPr>
        <w:t>une telle lacune puisse justifier de tolérer la méconnaissance des dispositions et principes fondamentaux »</w:t>
      </w:r>
      <w:r w:rsidRPr="002E7FB3">
        <w:rPr>
          <w:rStyle w:val="Appelnotedebasdep"/>
          <w:rFonts w:ascii="Times" w:hAnsi="Times" w:cs="Tahoma"/>
        </w:rPr>
        <w:footnoteReference w:id="37"/>
      </w:r>
      <w:r w:rsidRPr="002E7FB3">
        <w:rPr>
          <w:rFonts w:ascii="Times" w:hAnsi="Times" w:cs="Tahoma"/>
        </w:rPr>
        <w:t xml:space="preserve">. </w:t>
      </w:r>
      <w:r w:rsidRPr="002E7FB3">
        <w:rPr>
          <w:rStyle w:val="break-words"/>
          <w:rFonts w:ascii="Times" w:hAnsi="Times" w:cs="Tahoma"/>
        </w:rPr>
        <w:t>Au regard du droit de l</w:t>
      </w:r>
      <w:r w:rsidR="00A52ACC">
        <w:rPr>
          <w:rStyle w:val="break-words"/>
          <w:rFonts w:ascii="Times" w:hAnsi="Times" w:cs="Tahoma"/>
        </w:rPr>
        <w:t>’</w:t>
      </w:r>
      <w:r w:rsidRPr="002E7FB3">
        <w:rPr>
          <w:rStyle w:val="break-words"/>
          <w:rFonts w:ascii="Times" w:hAnsi="Times" w:cs="Tahoma"/>
        </w:rPr>
        <w:t>Union, les sentences étaient donc annulables, et l</w:t>
      </w:r>
      <w:r w:rsidR="00A52ACC">
        <w:rPr>
          <w:rStyle w:val="break-words"/>
          <w:rFonts w:ascii="Times" w:hAnsi="Times" w:cs="Tahoma"/>
        </w:rPr>
        <w:t>’</w:t>
      </w:r>
      <w:r w:rsidRPr="002E7FB3">
        <w:rPr>
          <w:rStyle w:val="break-words"/>
          <w:rFonts w:ascii="Times" w:hAnsi="Times" w:cs="Tahoma"/>
        </w:rPr>
        <w:t>éventuel déni de justice en découlant contestable devant les juridictions polonaises. La Cour suprême suédoise devait cependant trancher une question de rapports de systèmes plus complexe : que faire si l</w:t>
      </w:r>
      <w:r w:rsidR="00A52ACC">
        <w:rPr>
          <w:rStyle w:val="break-words"/>
          <w:rFonts w:ascii="Times" w:hAnsi="Times" w:cs="Tahoma"/>
        </w:rPr>
        <w:t>’</w:t>
      </w:r>
      <w:r w:rsidRPr="002E7FB3">
        <w:rPr>
          <w:rStyle w:val="break-words"/>
          <w:rFonts w:ascii="Times" w:hAnsi="Times" w:cs="Tahoma"/>
        </w:rPr>
        <w:t xml:space="preserve">annulation des sentences, si elle devait être prononcée sur le fondement de la jurisprudence de la CJUE, méconnait les droits </w:t>
      </w:r>
      <w:r w:rsidRPr="002E7FB3">
        <w:rPr>
          <w:rStyle w:val="break-words"/>
          <w:rFonts w:ascii="Times" w:hAnsi="Times" w:cs="Tahoma"/>
        </w:rPr>
        <w:lastRenderedPageBreak/>
        <w:t>garantis non seulement par le droit de l</w:t>
      </w:r>
      <w:r w:rsidR="00A52ACC">
        <w:rPr>
          <w:rStyle w:val="break-words"/>
          <w:rFonts w:ascii="Times" w:hAnsi="Times" w:cs="Tahoma"/>
        </w:rPr>
        <w:t>’</w:t>
      </w:r>
      <w:r w:rsidRPr="002E7FB3">
        <w:rPr>
          <w:rStyle w:val="break-words"/>
          <w:rFonts w:ascii="Times" w:hAnsi="Times" w:cs="Tahoma"/>
        </w:rPr>
        <w:t>Union, mais également par la CEDH</w:t>
      </w:r>
      <w:r w:rsidR="002E7FB3">
        <w:rPr>
          <w:rStyle w:val="Appelnotedebasdep"/>
          <w:rFonts w:ascii="Times" w:hAnsi="Times" w:cs="Tahoma"/>
        </w:rPr>
        <w:footnoteReference w:id="38"/>
      </w:r>
      <w:r w:rsidRPr="002E7FB3">
        <w:rPr>
          <w:rStyle w:val="break-words"/>
          <w:rFonts w:ascii="Times" w:hAnsi="Times" w:cs="Tahoma"/>
        </w:rPr>
        <w:t xml:space="preserve"> ? La problématique </w:t>
      </w:r>
      <w:r w:rsidR="007B0CFA" w:rsidRPr="002E7FB3">
        <w:rPr>
          <w:rStyle w:val="break-words"/>
          <w:rFonts w:ascii="Times" w:hAnsi="Times" w:cs="Tahoma"/>
        </w:rPr>
        <w:t>n</w:t>
      </w:r>
      <w:r w:rsidR="00A52ACC">
        <w:rPr>
          <w:rStyle w:val="break-words"/>
          <w:rFonts w:ascii="Times" w:hAnsi="Times" w:cs="Tahoma"/>
        </w:rPr>
        <w:t>’</w:t>
      </w:r>
      <w:r w:rsidR="007B0CFA" w:rsidRPr="002E7FB3">
        <w:rPr>
          <w:rStyle w:val="break-words"/>
          <w:rFonts w:ascii="Times" w:hAnsi="Times" w:cs="Tahoma"/>
        </w:rPr>
        <w:t>était</w:t>
      </w:r>
      <w:r w:rsidRPr="002E7FB3">
        <w:rPr>
          <w:rStyle w:val="break-words"/>
          <w:rFonts w:ascii="Times" w:hAnsi="Times" w:cs="Tahoma"/>
        </w:rPr>
        <w:t xml:space="preserve"> pas des plus simples, puisque dans les deux cas, la responsabilité de l</w:t>
      </w:r>
      <w:r w:rsidR="00A52ACC">
        <w:rPr>
          <w:rStyle w:val="break-words"/>
          <w:rFonts w:ascii="Times" w:hAnsi="Times" w:cs="Tahoma"/>
        </w:rPr>
        <w:t>’</w:t>
      </w:r>
      <w:r w:rsidRPr="002E7FB3">
        <w:rPr>
          <w:rStyle w:val="break-words"/>
          <w:rFonts w:ascii="Times" w:hAnsi="Times" w:cs="Tahoma"/>
        </w:rPr>
        <w:t xml:space="preserve">État </w:t>
      </w:r>
      <w:r w:rsidR="007B0CFA" w:rsidRPr="002E7FB3">
        <w:rPr>
          <w:rStyle w:val="break-words"/>
          <w:rFonts w:ascii="Times" w:hAnsi="Times" w:cs="Tahoma"/>
        </w:rPr>
        <w:t>pouvait</w:t>
      </w:r>
      <w:r w:rsidRPr="002E7FB3">
        <w:rPr>
          <w:rStyle w:val="break-words"/>
          <w:rFonts w:ascii="Times" w:hAnsi="Times" w:cs="Tahoma"/>
        </w:rPr>
        <w:t xml:space="preserve"> se trouver engagée. En cas d</w:t>
      </w:r>
      <w:r w:rsidR="00A52ACC">
        <w:rPr>
          <w:rStyle w:val="break-words"/>
          <w:rFonts w:ascii="Times" w:hAnsi="Times" w:cs="Tahoma"/>
        </w:rPr>
        <w:t>’</w:t>
      </w:r>
      <w:r w:rsidRPr="002E7FB3">
        <w:rPr>
          <w:rStyle w:val="break-words"/>
          <w:rFonts w:ascii="Times" w:hAnsi="Times" w:cs="Tahoma"/>
        </w:rPr>
        <w:t>annulation, l</w:t>
      </w:r>
      <w:r w:rsidR="00A52ACC">
        <w:rPr>
          <w:rStyle w:val="break-words"/>
          <w:rFonts w:ascii="Times" w:hAnsi="Times" w:cs="Tahoma"/>
        </w:rPr>
        <w:t>’</w:t>
      </w:r>
      <w:r w:rsidRPr="002E7FB3">
        <w:rPr>
          <w:rStyle w:val="break-words"/>
          <w:rFonts w:ascii="Times" w:hAnsi="Times" w:cs="Tahoma"/>
        </w:rPr>
        <w:t>État s</w:t>
      </w:r>
      <w:r w:rsidR="00A52ACC">
        <w:rPr>
          <w:rStyle w:val="break-words"/>
          <w:rFonts w:ascii="Times" w:hAnsi="Times" w:cs="Tahoma"/>
        </w:rPr>
        <w:t>’</w:t>
      </w:r>
      <w:r w:rsidRPr="002E7FB3">
        <w:rPr>
          <w:rStyle w:val="break-words"/>
          <w:rFonts w:ascii="Times" w:hAnsi="Times" w:cs="Tahoma"/>
        </w:rPr>
        <w:t>expos</w:t>
      </w:r>
      <w:r w:rsidR="007B0CFA" w:rsidRPr="002E7FB3">
        <w:rPr>
          <w:rStyle w:val="break-words"/>
          <w:rFonts w:ascii="Times" w:hAnsi="Times" w:cs="Tahoma"/>
        </w:rPr>
        <w:t>ait</w:t>
      </w:r>
      <w:r w:rsidRPr="002E7FB3">
        <w:rPr>
          <w:rStyle w:val="break-words"/>
          <w:rFonts w:ascii="Times" w:hAnsi="Times" w:cs="Tahoma"/>
        </w:rPr>
        <w:t xml:space="preserve"> à l</w:t>
      </w:r>
      <w:r w:rsidR="00A52ACC">
        <w:rPr>
          <w:rStyle w:val="break-words"/>
          <w:rFonts w:ascii="Times" w:hAnsi="Times" w:cs="Tahoma"/>
        </w:rPr>
        <w:t>’</w:t>
      </w:r>
      <w:r w:rsidRPr="002E7FB3">
        <w:rPr>
          <w:rStyle w:val="break-words"/>
          <w:rFonts w:ascii="Times" w:hAnsi="Times" w:cs="Tahoma"/>
        </w:rPr>
        <w:t>engagement de sa responsabilité internationale devant la CEDH. Si la Cour décid</w:t>
      </w:r>
      <w:r w:rsidR="007B0CFA" w:rsidRPr="002E7FB3">
        <w:rPr>
          <w:rStyle w:val="break-words"/>
          <w:rFonts w:ascii="Times" w:hAnsi="Times" w:cs="Tahoma"/>
        </w:rPr>
        <w:t xml:space="preserve">ait </w:t>
      </w:r>
      <w:r w:rsidRPr="002E7FB3">
        <w:rPr>
          <w:rStyle w:val="break-words"/>
          <w:rFonts w:ascii="Times" w:hAnsi="Times" w:cs="Tahoma"/>
        </w:rPr>
        <w:t>de ne pas annuler les sentences, l</w:t>
      </w:r>
      <w:r w:rsidR="00A52ACC">
        <w:rPr>
          <w:rStyle w:val="break-words"/>
          <w:rFonts w:ascii="Times" w:hAnsi="Times" w:cs="Tahoma"/>
        </w:rPr>
        <w:t>’</w:t>
      </w:r>
      <w:r w:rsidRPr="002E7FB3">
        <w:rPr>
          <w:rStyle w:val="break-words"/>
          <w:rFonts w:ascii="Times" w:hAnsi="Times" w:cs="Tahoma"/>
        </w:rPr>
        <w:t>État s</w:t>
      </w:r>
      <w:r w:rsidR="00A52ACC">
        <w:rPr>
          <w:rStyle w:val="break-words"/>
          <w:rFonts w:ascii="Times" w:hAnsi="Times" w:cs="Tahoma"/>
        </w:rPr>
        <w:t>’</w:t>
      </w:r>
      <w:r w:rsidRPr="002E7FB3">
        <w:rPr>
          <w:rStyle w:val="break-words"/>
          <w:rFonts w:ascii="Times" w:hAnsi="Times" w:cs="Tahoma"/>
        </w:rPr>
        <w:t>expos</w:t>
      </w:r>
      <w:r w:rsidR="007B0CFA" w:rsidRPr="002E7FB3">
        <w:rPr>
          <w:rStyle w:val="break-words"/>
          <w:rFonts w:ascii="Times" w:hAnsi="Times" w:cs="Tahoma"/>
        </w:rPr>
        <w:t>ait</w:t>
      </w:r>
      <w:r w:rsidRPr="002E7FB3">
        <w:rPr>
          <w:rStyle w:val="break-words"/>
          <w:rFonts w:ascii="Times" w:hAnsi="Times" w:cs="Tahoma"/>
        </w:rPr>
        <w:t xml:space="preserve"> à l</w:t>
      </w:r>
      <w:r w:rsidR="00A52ACC">
        <w:rPr>
          <w:rStyle w:val="break-words"/>
          <w:rFonts w:ascii="Times" w:hAnsi="Times" w:cs="Tahoma"/>
        </w:rPr>
        <w:t>’</w:t>
      </w:r>
      <w:r w:rsidRPr="002E7FB3">
        <w:rPr>
          <w:rStyle w:val="break-words"/>
          <w:rFonts w:ascii="Times" w:hAnsi="Times" w:cs="Tahoma"/>
        </w:rPr>
        <w:t>engagement de sa responsabilité devant la CJUE. La Cour suprême suédoise a néanmoins, et assez logiquement, contourné le problème en se positionnant principalement dans le champ de l</w:t>
      </w:r>
      <w:r w:rsidR="00A52ACC">
        <w:rPr>
          <w:rStyle w:val="break-words"/>
          <w:rFonts w:ascii="Times" w:hAnsi="Times" w:cs="Tahoma"/>
        </w:rPr>
        <w:t>’</w:t>
      </w:r>
      <w:r w:rsidRPr="002E7FB3">
        <w:rPr>
          <w:rStyle w:val="break-words"/>
          <w:rFonts w:ascii="Times" w:hAnsi="Times" w:cs="Tahoma"/>
        </w:rPr>
        <w:t>ordre juridique de l</w:t>
      </w:r>
      <w:r w:rsidR="00A52ACC">
        <w:rPr>
          <w:rStyle w:val="break-words"/>
          <w:rFonts w:ascii="Times" w:hAnsi="Times" w:cs="Tahoma"/>
        </w:rPr>
        <w:t>’</w:t>
      </w:r>
      <w:r w:rsidRPr="002E7FB3">
        <w:rPr>
          <w:rStyle w:val="break-words"/>
          <w:rFonts w:ascii="Times" w:hAnsi="Times" w:cs="Tahoma"/>
        </w:rPr>
        <w:t xml:space="preserve">Union. </w:t>
      </w:r>
    </w:p>
    <w:p w14:paraId="75B963F3" w14:textId="77777777" w:rsidR="002E7FB3" w:rsidRPr="002E7FB3" w:rsidRDefault="002E7FB3" w:rsidP="002E7FB3">
      <w:pPr>
        <w:pStyle w:val="NormalWeb"/>
        <w:numPr>
          <w:ilvl w:val="0"/>
          <w:numId w:val="0"/>
        </w:numPr>
        <w:spacing w:before="0" w:beforeAutospacing="0" w:after="0" w:afterAutospacing="0"/>
        <w:rPr>
          <w:rStyle w:val="break-words"/>
          <w:rFonts w:ascii="Times" w:hAnsi="Times" w:cs="Tahoma"/>
        </w:rPr>
      </w:pPr>
    </w:p>
    <w:p w14:paraId="25E655D7" w14:textId="3F5D0796" w:rsidR="007B0CFA" w:rsidRDefault="009B3FC5" w:rsidP="002E7FB3">
      <w:pPr>
        <w:pStyle w:val="NormalWeb"/>
        <w:numPr>
          <w:ilvl w:val="0"/>
          <w:numId w:val="0"/>
        </w:numPr>
        <w:spacing w:before="0" w:beforeAutospacing="0" w:after="0" w:afterAutospacing="0"/>
        <w:rPr>
          <w:rStyle w:val="break-words"/>
          <w:rFonts w:ascii="Times" w:hAnsi="Times" w:cs="Tahoma"/>
        </w:rPr>
      </w:pPr>
      <w:r w:rsidRPr="002E7FB3">
        <w:rPr>
          <w:rStyle w:val="break-words"/>
          <w:rFonts w:ascii="Times" w:hAnsi="Times" w:cs="Tahoma"/>
        </w:rPr>
        <w:t xml:space="preserve">Pour résoudre la difficulté posée par ce rapport de systèmes, la Cour suprême </w:t>
      </w:r>
      <w:r w:rsidR="007B0CFA" w:rsidRPr="002E7FB3">
        <w:rPr>
          <w:rStyle w:val="break-words"/>
          <w:rFonts w:ascii="Times" w:hAnsi="Times" w:cs="Tahoma"/>
        </w:rPr>
        <w:t>s</w:t>
      </w:r>
      <w:r w:rsidR="00A52ACC">
        <w:rPr>
          <w:rStyle w:val="break-words"/>
          <w:rFonts w:ascii="Times" w:hAnsi="Times" w:cs="Tahoma"/>
        </w:rPr>
        <w:t>’</w:t>
      </w:r>
      <w:r w:rsidR="007B0CFA" w:rsidRPr="002E7FB3">
        <w:rPr>
          <w:rStyle w:val="break-words"/>
          <w:rFonts w:ascii="Times" w:hAnsi="Times" w:cs="Tahoma"/>
        </w:rPr>
        <w:t>est</w:t>
      </w:r>
      <w:r w:rsidRPr="002E7FB3">
        <w:rPr>
          <w:rStyle w:val="break-words"/>
          <w:rFonts w:ascii="Times" w:hAnsi="Times" w:cs="Tahoma"/>
        </w:rPr>
        <w:t xml:space="preserve"> assez logiquement</w:t>
      </w:r>
      <w:r w:rsidR="007B0CFA" w:rsidRPr="002E7FB3">
        <w:rPr>
          <w:rStyle w:val="break-words"/>
          <w:rFonts w:ascii="Times" w:hAnsi="Times" w:cs="Tahoma"/>
        </w:rPr>
        <w:t xml:space="preserve"> appuyée</w:t>
      </w:r>
      <w:r w:rsidRPr="002E7FB3">
        <w:rPr>
          <w:rStyle w:val="break-words"/>
          <w:rFonts w:ascii="Times" w:hAnsi="Times" w:cs="Tahoma"/>
        </w:rPr>
        <w:t xml:space="preserve"> sur l</w:t>
      </w:r>
      <w:r w:rsidR="00A52ACC">
        <w:rPr>
          <w:rStyle w:val="break-words"/>
          <w:rFonts w:ascii="Times" w:hAnsi="Times" w:cs="Tahoma"/>
        </w:rPr>
        <w:t>’</w:t>
      </w:r>
      <w:r w:rsidRPr="002E7FB3">
        <w:rPr>
          <w:rStyle w:val="break-words"/>
          <w:rFonts w:ascii="Times" w:hAnsi="Times" w:cs="Tahoma"/>
        </w:rPr>
        <w:t xml:space="preserve">arrêt </w:t>
      </w:r>
      <w:proofErr w:type="spellStart"/>
      <w:r w:rsidRPr="002E7FB3">
        <w:rPr>
          <w:rStyle w:val="break-words"/>
          <w:rFonts w:ascii="Times" w:hAnsi="Times" w:cs="Tahoma"/>
          <w:i/>
          <w:iCs/>
        </w:rPr>
        <w:t>Bosphorus</w:t>
      </w:r>
      <w:proofErr w:type="spellEnd"/>
      <w:r w:rsidR="007B0CFA" w:rsidRPr="002E7FB3">
        <w:rPr>
          <w:rStyle w:val="Appelnotedebasdep"/>
          <w:rFonts w:ascii="Times" w:hAnsi="Times" w:cs="Tahoma"/>
        </w:rPr>
        <w:footnoteReference w:id="39"/>
      </w:r>
      <w:r w:rsidRPr="002E7FB3">
        <w:rPr>
          <w:rStyle w:val="break-words"/>
          <w:rFonts w:ascii="Times" w:hAnsi="Times" w:cs="Tahoma"/>
        </w:rPr>
        <w:t>. Dans cet arrêt retentissant, la Cour de Strasbourg avait dégagé l</w:t>
      </w:r>
      <w:r w:rsidR="00A52ACC">
        <w:rPr>
          <w:rStyle w:val="break-words"/>
          <w:rFonts w:ascii="Times" w:hAnsi="Times" w:cs="Tahoma"/>
        </w:rPr>
        <w:t>’</w:t>
      </w:r>
      <w:r w:rsidRPr="002E7FB3">
        <w:rPr>
          <w:rStyle w:val="break-words"/>
          <w:rFonts w:ascii="Times" w:hAnsi="Times" w:cs="Tahoma"/>
        </w:rPr>
        <w:t>idée de « protection équivalente » pour considérer qu</w:t>
      </w:r>
      <w:r w:rsidR="00A52ACC">
        <w:rPr>
          <w:rStyle w:val="break-words"/>
          <w:rFonts w:ascii="Times" w:hAnsi="Times" w:cs="Tahoma"/>
        </w:rPr>
        <w:t>’</w:t>
      </w:r>
      <w:r w:rsidRPr="002E7FB3">
        <w:rPr>
          <w:rStyle w:val="break-words"/>
          <w:rFonts w:ascii="Times" w:hAnsi="Times" w:cs="Tahoma"/>
        </w:rPr>
        <w:t>une mesure étatique prise en exécution d</w:t>
      </w:r>
      <w:r w:rsidR="00A52ACC">
        <w:rPr>
          <w:rStyle w:val="break-words"/>
          <w:rFonts w:ascii="Times" w:hAnsi="Times" w:cs="Tahoma"/>
        </w:rPr>
        <w:t>’</w:t>
      </w:r>
      <w:r w:rsidRPr="002E7FB3">
        <w:rPr>
          <w:rStyle w:val="break-words"/>
          <w:rFonts w:ascii="Times" w:hAnsi="Times" w:cs="Tahoma"/>
        </w:rPr>
        <w:t>obligations internationales – et spécifiquement communautaires – devait « être réputée justifiée dès lors qu</w:t>
      </w:r>
      <w:r w:rsidR="00A52ACC">
        <w:rPr>
          <w:rStyle w:val="break-words"/>
          <w:rFonts w:ascii="Times" w:hAnsi="Times" w:cs="Tahoma"/>
        </w:rPr>
        <w:t>’</w:t>
      </w:r>
      <w:r w:rsidRPr="002E7FB3">
        <w:rPr>
          <w:rStyle w:val="break-words"/>
          <w:rFonts w:ascii="Times" w:hAnsi="Times" w:cs="Tahoma"/>
        </w:rPr>
        <w:t>il est constant que l</w:t>
      </w:r>
      <w:r w:rsidR="00A52ACC">
        <w:rPr>
          <w:rStyle w:val="break-words"/>
          <w:rFonts w:ascii="Times" w:hAnsi="Times" w:cs="Tahoma"/>
        </w:rPr>
        <w:t>’</w:t>
      </w:r>
      <w:r w:rsidRPr="002E7FB3">
        <w:rPr>
          <w:rStyle w:val="break-words"/>
          <w:rFonts w:ascii="Times" w:hAnsi="Times" w:cs="Tahoma"/>
        </w:rPr>
        <w:t>organisation en question accorde aux droits fondamentaux (cette notion recouvrant à la fois les garanties substantielles offertes et les mécanismes censés en contrôler le respect) une protection à tout le moins équivalente à celle assurée par la Convention »</w:t>
      </w:r>
      <w:r w:rsidR="007B0CFA" w:rsidRPr="002E7FB3">
        <w:rPr>
          <w:rStyle w:val="Appelnotedebasdep"/>
          <w:rFonts w:ascii="Times" w:hAnsi="Times" w:cs="Tahoma"/>
        </w:rPr>
        <w:footnoteReference w:id="40"/>
      </w:r>
      <w:r w:rsidRPr="002E7FB3">
        <w:rPr>
          <w:rStyle w:val="break-words"/>
          <w:rFonts w:ascii="Times" w:hAnsi="Times" w:cs="Tahoma"/>
        </w:rPr>
        <w:t xml:space="preserve">. La Cour suprême suédoise, en application directe de cette jurisprudence bien établie, </w:t>
      </w:r>
      <w:r w:rsidR="007B0CFA" w:rsidRPr="002E7FB3">
        <w:rPr>
          <w:rStyle w:val="break-words"/>
          <w:rFonts w:ascii="Times" w:hAnsi="Times" w:cs="Tahoma"/>
        </w:rPr>
        <w:t xml:space="preserve">a </w:t>
      </w:r>
      <w:r w:rsidRPr="002E7FB3">
        <w:rPr>
          <w:rStyle w:val="break-words"/>
          <w:rFonts w:ascii="Times" w:hAnsi="Times" w:cs="Tahoma"/>
        </w:rPr>
        <w:t>dès lors</w:t>
      </w:r>
      <w:r w:rsidR="007B0CFA" w:rsidRPr="002E7FB3">
        <w:rPr>
          <w:rStyle w:val="break-words"/>
          <w:rFonts w:ascii="Times" w:hAnsi="Times" w:cs="Tahoma"/>
        </w:rPr>
        <w:t xml:space="preserve"> jugé</w:t>
      </w:r>
      <w:r w:rsidRPr="002E7FB3">
        <w:rPr>
          <w:rStyle w:val="break-words"/>
          <w:rFonts w:ascii="Times" w:hAnsi="Times" w:cs="Tahoma"/>
        </w:rPr>
        <w:t xml:space="preserve"> qu</w:t>
      </w:r>
      <w:r w:rsidR="00A52ACC">
        <w:rPr>
          <w:rStyle w:val="break-words"/>
          <w:rFonts w:ascii="Times" w:hAnsi="Times" w:cs="Tahoma"/>
        </w:rPr>
        <w:t>’</w:t>
      </w:r>
      <w:r w:rsidRPr="002E7FB3">
        <w:rPr>
          <w:rStyle w:val="break-words"/>
          <w:rFonts w:ascii="Times" w:hAnsi="Times" w:cs="Tahoma"/>
        </w:rPr>
        <w:t xml:space="preserve">une juridiction nationale ne </w:t>
      </w:r>
      <w:r w:rsidR="007B0CFA" w:rsidRPr="002E7FB3">
        <w:rPr>
          <w:rStyle w:val="break-words"/>
          <w:rFonts w:ascii="Times" w:hAnsi="Times" w:cs="Tahoma"/>
        </w:rPr>
        <w:t>pouvait</w:t>
      </w:r>
      <w:r w:rsidRPr="002E7FB3">
        <w:rPr>
          <w:rStyle w:val="break-words"/>
          <w:rFonts w:ascii="Times" w:hAnsi="Times" w:cs="Tahoma"/>
        </w:rPr>
        <w:t xml:space="preserve"> s</w:t>
      </w:r>
      <w:r w:rsidR="00A52ACC">
        <w:rPr>
          <w:rStyle w:val="break-words"/>
          <w:rFonts w:ascii="Times" w:hAnsi="Times" w:cs="Tahoma"/>
        </w:rPr>
        <w:t>’</w:t>
      </w:r>
      <w:r w:rsidRPr="002E7FB3">
        <w:rPr>
          <w:rStyle w:val="break-words"/>
          <w:rFonts w:ascii="Times" w:hAnsi="Times" w:cs="Tahoma"/>
        </w:rPr>
        <w:t>écarter de l</w:t>
      </w:r>
      <w:r w:rsidR="00A52ACC">
        <w:rPr>
          <w:rStyle w:val="break-words"/>
          <w:rFonts w:ascii="Times" w:hAnsi="Times" w:cs="Tahoma"/>
        </w:rPr>
        <w:t>’</w:t>
      </w:r>
      <w:r w:rsidRPr="002E7FB3">
        <w:rPr>
          <w:rStyle w:val="break-words"/>
          <w:rFonts w:ascii="Times" w:hAnsi="Times" w:cs="Tahoma"/>
        </w:rPr>
        <w:t>interprétation d</w:t>
      </w:r>
      <w:r w:rsidR="00A52ACC">
        <w:rPr>
          <w:rStyle w:val="break-words"/>
          <w:rFonts w:ascii="Times" w:hAnsi="Times" w:cs="Tahoma"/>
        </w:rPr>
        <w:t>’</w:t>
      </w:r>
      <w:r w:rsidRPr="002E7FB3">
        <w:rPr>
          <w:rStyle w:val="break-words"/>
          <w:rFonts w:ascii="Times" w:hAnsi="Times" w:cs="Tahoma"/>
        </w:rPr>
        <w:t>une disposition de l</w:t>
      </w:r>
      <w:r w:rsidR="00A52ACC">
        <w:rPr>
          <w:rStyle w:val="break-words"/>
          <w:rFonts w:ascii="Times" w:hAnsi="Times" w:cs="Tahoma"/>
        </w:rPr>
        <w:t>’</w:t>
      </w:r>
      <w:r w:rsidRPr="002E7FB3">
        <w:rPr>
          <w:rStyle w:val="break-words"/>
          <w:rFonts w:ascii="Times" w:hAnsi="Times" w:cs="Tahoma"/>
        </w:rPr>
        <w:t>Union par la CJUE que si son application dans le cas d</w:t>
      </w:r>
      <w:r w:rsidR="00A52ACC">
        <w:rPr>
          <w:rStyle w:val="break-words"/>
          <w:rFonts w:ascii="Times" w:hAnsi="Times" w:cs="Tahoma"/>
        </w:rPr>
        <w:t>’</w:t>
      </w:r>
      <w:r w:rsidRPr="002E7FB3">
        <w:rPr>
          <w:rStyle w:val="break-words"/>
          <w:rFonts w:ascii="Times" w:hAnsi="Times" w:cs="Tahoma"/>
        </w:rPr>
        <w:t>espèce constitu</w:t>
      </w:r>
      <w:r w:rsidR="007B0CFA" w:rsidRPr="002E7FB3">
        <w:rPr>
          <w:rStyle w:val="break-words"/>
          <w:rFonts w:ascii="Times" w:hAnsi="Times" w:cs="Tahoma"/>
        </w:rPr>
        <w:t>ait</w:t>
      </w:r>
      <w:r w:rsidRPr="002E7FB3">
        <w:rPr>
          <w:rStyle w:val="break-words"/>
          <w:rFonts w:ascii="Times" w:hAnsi="Times" w:cs="Tahoma"/>
        </w:rPr>
        <w:t xml:space="preserve"> une violation grave et non équivoque des droits d</w:t>
      </w:r>
      <w:r w:rsidR="00A52ACC">
        <w:rPr>
          <w:rStyle w:val="break-words"/>
          <w:rFonts w:ascii="Times" w:hAnsi="Times" w:cs="Tahoma"/>
        </w:rPr>
        <w:t>’</w:t>
      </w:r>
      <w:r w:rsidRPr="002E7FB3">
        <w:rPr>
          <w:rStyle w:val="break-words"/>
          <w:rFonts w:ascii="Times" w:hAnsi="Times" w:cs="Tahoma"/>
        </w:rPr>
        <w:t>un individu au regard de la CEDH. Elle consid</w:t>
      </w:r>
      <w:r w:rsidR="007B0CFA" w:rsidRPr="002E7FB3">
        <w:rPr>
          <w:rStyle w:val="break-words"/>
          <w:rFonts w:ascii="Times" w:hAnsi="Times" w:cs="Tahoma"/>
        </w:rPr>
        <w:t>é</w:t>
      </w:r>
      <w:r w:rsidRPr="002E7FB3">
        <w:rPr>
          <w:rStyle w:val="break-words"/>
          <w:rFonts w:ascii="Times" w:hAnsi="Times" w:cs="Tahoma"/>
        </w:rPr>
        <w:t>r</w:t>
      </w:r>
      <w:r w:rsidR="007B0CFA" w:rsidRPr="002E7FB3">
        <w:rPr>
          <w:rStyle w:val="break-words"/>
          <w:rFonts w:ascii="Times" w:hAnsi="Times" w:cs="Tahoma"/>
        </w:rPr>
        <w:t>a</w:t>
      </w:r>
      <w:r w:rsidRPr="002E7FB3">
        <w:rPr>
          <w:rStyle w:val="break-words"/>
          <w:rFonts w:ascii="Times" w:hAnsi="Times" w:cs="Tahoma"/>
        </w:rPr>
        <w:t>, avec la CJUE, que le droit de l</w:t>
      </w:r>
      <w:r w:rsidR="00A52ACC">
        <w:rPr>
          <w:rStyle w:val="break-words"/>
          <w:rFonts w:ascii="Times" w:hAnsi="Times" w:cs="Tahoma"/>
        </w:rPr>
        <w:t>’</w:t>
      </w:r>
      <w:r w:rsidRPr="002E7FB3">
        <w:rPr>
          <w:rStyle w:val="break-words"/>
          <w:rFonts w:ascii="Times" w:hAnsi="Times" w:cs="Tahoma"/>
        </w:rPr>
        <w:t>Union a</w:t>
      </w:r>
      <w:r w:rsidR="007B0CFA" w:rsidRPr="002E7FB3">
        <w:rPr>
          <w:rStyle w:val="break-words"/>
          <w:rFonts w:ascii="Times" w:hAnsi="Times" w:cs="Tahoma"/>
        </w:rPr>
        <w:t xml:space="preserve"> globalement</w:t>
      </w:r>
      <w:r w:rsidRPr="002E7FB3">
        <w:rPr>
          <w:rStyle w:val="break-words"/>
          <w:rFonts w:ascii="Times" w:hAnsi="Times" w:cs="Tahoma"/>
        </w:rPr>
        <w:t xml:space="preserve"> renforcé les droits des investisseurs et, dans l</w:t>
      </w:r>
      <w:r w:rsidR="00A52ACC">
        <w:rPr>
          <w:rStyle w:val="break-words"/>
          <w:rFonts w:ascii="Times" w:hAnsi="Times" w:cs="Tahoma"/>
        </w:rPr>
        <w:t>’</w:t>
      </w:r>
      <w:r w:rsidRPr="002E7FB3">
        <w:rPr>
          <w:rStyle w:val="break-words"/>
          <w:rFonts w:ascii="Times" w:hAnsi="Times" w:cs="Tahoma"/>
        </w:rPr>
        <w:t xml:space="preserve">ensemble, que </w:t>
      </w:r>
      <w:r w:rsidR="007B0CFA" w:rsidRPr="002E7FB3">
        <w:rPr>
          <w:rStyle w:val="break-words"/>
          <w:rFonts w:ascii="Times" w:hAnsi="Times" w:cs="Tahoma"/>
        </w:rPr>
        <w:t>c</w:t>
      </w:r>
      <w:r w:rsidR="00A52ACC">
        <w:rPr>
          <w:rStyle w:val="break-words"/>
          <w:rFonts w:ascii="Times" w:hAnsi="Times" w:cs="Tahoma"/>
        </w:rPr>
        <w:t>’</w:t>
      </w:r>
      <w:r w:rsidR="007B0CFA" w:rsidRPr="002E7FB3">
        <w:rPr>
          <w:rStyle w:val="break-words"/>
          <w:rFonts w:ascii="Times" w:hAnsi="Times" w:cs="Tahoma"/>
        </w:rPr>
        <w:t>était</w:t>
      </w:r>
      <w:r w:rsidRPr="002E7FB3">
        <w:rPr>
          <w:rStyle w:val="break-words"/>
          <w:rFonts w:ascii="Times" w:hAnsi="Times" w:cs="Tahoma"/>
        </w:rPr>
        <w:t xml:space="preserve"> à la Pologne qu</w:t>
      </w:r>
      <w:r w:rsidR="00A52ACC">
        <w:rPr>
          <w:rStyle w:val="break-words"/>
          <w:rFonts w:ascii="Times" w:hAnsi="Times" w:cs="Tahoma"/>
        </w:rPr>
        <w:t>’</w:t>
      </w:r>
      <w:r w:rsidRPr="002E7FB3">
        <w:rPr>
          <w:rStyle w:val="break-words"/>
          <w:rFonts w:ascii="Times" w:hAnsi="Times" w:cs="Tahoma"/>
        </w:rPr>
        <w:t>il incomb</w:t>
      </w:r>
      <w:r w:rsidR="007B0CFA" w:rsidRPr="002E7FB3">
        <w:rPr>
          <w:rStyle w:val="break-words"/>
          <w:rFonts w:ascii="Times" w:hAnsi="Times" w:cs="Tahoma"/>
        </w:rPr>
        <w:t>ait</w:t>
      </w:r>
      <w:r w:rsidRPr="002E7FB3">
        <w:rPr>
          <w:rStyle w:val="break-words"/>
          <w:rFonts w:ascii="Times" w:hAnsi="Times" w:cs="Tahoma"/>
        </w:rPr>
        <w:t xml:space="preserve"> de respecter ses obligations en matière de procès équitable. </w:t>
      </w:r>
      <w:r w:rsidR="007B0CFA" w:rsidRPr="002E7FB3">
        <w:rPr>
          <w:rStyle w:val="break-words"/>
          <w:rFonts w:ascii="Times" w:hAnsi="Times" w:cs="Tahoma"/>
        </w:rPr>
        <w:t>La</w:t>
      </w:r>
      <w:r w:rsidRPr="002E7FB3">
        <w:rPr>
          <w:rStyle w:val="break-words"/>
          <w:rFonts w:ascii="Times" w:hAnsi="Times" w:cs="Tahoma"/>
        </w:rPr>
        <w:t xml:space="preserve"> Cour suédoise </w:t>
      </w:r>
      <w:r w:rsidR="007B0CFA" w:rsidRPr="002E7FB3">
        <w:rPr>
          <w:rStyle w:val="break-words"/>
          <w:rFonts w:ascii="Times" w:hAnsi="Times" w:cs="Tahoma"/>
        </w:rPr>
        <w:t>a donc annulé</w:t>
      </w:r>
      <w:r w:rsidRPr="002E7FB3">
        <w:rPr>
          <w:rStyle w:val="break-words"/>
          <w:rFonts w:ascii="Times" w:hAnsi="Times" w:cs="Tahoma"/>
        </w:rPr>
        <w:t xml:space="preserve"> les sentences visées sur le fondement de l</w:t>
      </w:r>
      <w:r w:rsidR="00A52ACC">
        <w:rPr>
          <w:rStyle w:val="break-words"/>
          <w:rFonts w:ascii="Times" w:hAnsi="Times" w:cs="Tahoma"/>
        </w:rPr>
        <w:t>’</w:t>
      </w:r>
      <w:r w:rsidRPr="002E7FB3">
        <w:rPr>
          <w:rStyle w:val="break-words"/>
          <w:rFonts w:ascii="Times" w:hAnsi="Times" w:cs="Tahoma"/>
        </w:rPr>
        <w:t>ordre public procédural, qui prévoit qu</w:t>
      </w:r>
      <w:r w:rsidR="00A52ACC">
        <w:rPr>
          <w:rStyle w:val="break-words"/>
          <w:rFonts w:ascii="Times" w:hAnsi="Times" w:cs="Tahoma"/>
        </w:rPr>
        <w:t>’</w:t>
      </w:r>
      <w:r w:rsidRPr="002E7FB3">
        <w:rPr>
          <w:rStyle w:val="break-words"/>
          <w:rFonts w:ascii="Times" w:hAnsi="Times" w:cs="Tahoma"/>
        </w:rPr>
        <w:t>une sentence ne peut être reconnue ou exécutée, au regard du droit interne suédois, si la manière dont elle a été rendue est manifestement incompatible avec les principes du système juridique suédois. L</w:t>
      </w:r>
      <w:r w:rsidR="00A52ACC">
        <w:rPr>
          <w:rStyle w:val="break-words"/>
          <w:rFonts w:ascii="Times" w:hAnsi="Times" w:cs="Tahoma"/>
        </w:rPr>
        <w:t>’</w:t>
      </w:r>
      <w:r w:rsidRPr="002E7FB3">
        <w:rPr>
          <w:rStyle w:val="break-words"/>
          <w:rFonts w:ascii="Times" w:hAnsi="Times" w:cs="Tahoma"/>
        </w:rPr>
        <w:t>ordre juridique de l</w:t>
      </w:r>
      <w:r w:rsidR="00A52ACC">
        <w:rPr>
          <w:rStyle w:val="break-words"/>
          <w:rFonts w:ascii="Times" w:hAnsi="Times" w:cs="Tahoma"/>
        </w:rPr>
        <w:t>’</w:t>
      </w:r>
      <w:r w:rsidRPr="002E7FB3">
        <w:rPr>
          <w:rStyle w:val="break-words"/>
          <w:rFonts w:ascii="Times" w:hAnsi="Times" w:cs="Tahoma"/>
        </w:rPr>
        <w:t>Union étant intégré à l</w:t>
      </w:r>
      <w:r w:rsidR="00A52ACC">
        <w:rPr>
          <w:rStyle w:val="break-words"/>
          <w:rFonts w:ascii="Times" w:hAnsi="Times" w:cs="Tahoma"/>
        </w:rPr>
        <w:t>’</w:t>
      </w:r>
      <w:r w:rsidRPr="002E7FB3">
        <w:rPr>
          <w:rStyle w:val="break-words"/>
          <w:rFonts w:ascii="Times" w:hAnsi="Times" w:cs="Tahoma"/>
        </w:rPr>
        <w:t>ordre juridique suédois, la Cour n</w:t>
      </w:r>
      <w:r w:rsidR="00A52ACC">
        <w:rPr>
          <w:rStyle w:val="break-words"/>
          <w:rFonts w:ascii="Times" w:hAnsi="Times" w:cs="Tahoma"/>
        </w:rPr>
        <w:t>’</w:t>
      </w:r>
      <w:r w:rsidRPr="002E7FB3">
        <w:rPr>
          <w:rStyle w:val="break-words"/>
          <w:rFonts w:ascii="Times" w:hAnsi="Times" w:cs="Tahoma"/>
        </w:rPr>
        <w:t xml:space="preserve">a </w:t>
      </w:r>
      <w:r w:rsidR="007B0CFA" w:rsidRPr="002E7FB3">
        <w:rPr>
          <w:rStyle w:val="break-words"/>
          <w:rFonts w:ascii="Times" w:hAnsi="Times" w:cs="Tahoma"/>
        </w:rPr>
        <w:t xml:space="preserve">eu </w:t>
      </w:r>
      <w:r w:rsidRPr="002E7FB3">
        <w:rPr>
          <w:rStyle w:val="break-words"/>
          <w:rFonts w:ascii="Times" w:hAnsi="Times" w:cs="Tahoma"/>
        </w:rPr>
        <w:t>aucun mal à considérer que la jurisprudence de la CJUE en la matière rel</w:t>
      </w:r>
      <w:r w:rsidR="007B0CFA" w:rsidRPr="002E7FB3">
        <w:rPr>
          <w:rStyle w:val="break-words"/>
          <w:rFonts w:ascii="Times" w:hAnsi="Times" w:cs="Tahoma"/>
        </w:rPr>
        <w:t>e</w:t>
      </w:r>
      <w:r w:rsidRPr="002E7FB3">
        <w:rPr>
          <w:rStyle w:val="break-words"/>
          <w:rFonts w:ascii="Times" w:hAnsi="Times" w:cs="Tahoma"/>
        </w:rPr>
        <w:t>v</w:t>
      </w:r>
      <w:r w:rsidR="007B0CFA" w:rsidRPr="002E7FB3">
        <w:rPr>
          <w:rStyle w:val="break-words"/>
          <w:rFonts w:ascii="Times" w:hAnsi="Times" w:cs="Tahoma"/>
        </w:rPr>
        <w:t>ait</w:t>
      </w:r>
      <w:r w:rsidRPr="002E7FB3">
        <w:rPr>
          <w:rStyle w:val="break-words"/>
          <w:rFonts w:ascii="Times" w:hAnsi="Times" w:cs="Tahoma"/>
        </w:rPr>
        <w:t xml:space="preserve"> des principes juridiques fondamentaux de nature procédurale, et par conséquent que les principes procéduraux du droit suédois </w:t>
      </w:r>
      <w:r w:rsidR="007B0CFA" w:rsidRPr="002E7FB3">
        <w:rPr>
          <w:rStyle w:val="break-words"/>
          <w:rFonts w:ascii="Times" w:hAnsi="Times" w:cs="Tahoma"/>
        </w:rPr>
        <w:t>avaient</w:t>
      </w:r>
      <w:r w:rsidRPr="002E7FB3">
        <w:rPr>
          <w:rStyle w:val="break-words"/>
          <w:rFonts w:ascii="Times" w:hAnsi="Times" w:cs="Tahoma"/>
        </w:rPr>
        <w:t xml:space="preserve"> été violés par les sentences contestées – et l</w:t>
      </w:r>
      <w:r w:rsidR="00A52ACC">
        <w:rPr>
          <w:rStyle w:val="break-words"/>
          <w:rFonts w:ascii="Times" w:hAnsi="Times" w:cs="Tahoma"/>
        </w:rPr>
        <w:t>’</w:t>
      </w:r>
      <w:r w:rsidR="007B0CFA" w:rsidRPr="002E7FB3">
        <w:rPr>
          <w:rStyle w:val="break-words"/>
          <w:rFonts w:ascii="Times" w:hAnsi="Times" w:cs="Tahoma"/>
        </w:rPr>
        <w:t xml:space="preserve">auraient été </w:t>
      </w:r>
      <w:r w:rsidRPr="002E7FB3">
        <w:rPr>
          <w:rStyle w:val="break-words"/>
          <w:rFonts w:ascii="Times" w:hAnsi="Times" w:cs="Tahoma"/>
        </w:rPr>
        <w:t xml:space="preserve">par leur maintien. Les deux sentences </w:t>
      </w:r>
      <w:r w:rsidR="007B0CFA" w:rsidRPr="002E7FB3">
        <w:rPr>
          <w:rStyle w:val="break-words"/>
          <w:rFonts w:ascii="Times" w:hAnsi="Times" w:cs="Tahoma"/>
        </w:rPr>
        <w:t>ont</w:t>
      </w:r>
      <w:r w:rsidRPr="002E7FB3">
        <w:rPr>
          <w:rStyle w:val="break-words"/>
          <w:rFonts w:ascii="Times" w:hAnsi="Times" w:cs="Tahoma"/>
        </w:rPr>
        <w:t xml:space="preserve"> donc </w:t>
      </w:r>
      <w:r w:rsidR="007B0CFA" w:rsidRPr="002E7FB3">
        <w:rPr>
          <w:rStyle w:val="break-words"/>
          <w:rFonts w:ascii="Times" w:hAnsi="Times" w:cs="Tahoma"/>
        </w:rPr>
        <w:t xml:space="preserve">été </w:t>
      </w:r>
      <w:r w:rsidRPr="002E7FB3">
        <w:rPr>
          <w:rStyle w:val="break-words"/>
          <w:rFonts w:ascii="Times" w:hAnsi="Times" w:cs="Tahoma"/>
        </w:rPr>
        <w:t>déclarées nulles, leur maintien étant manifes</w:t>
      </w:r>
      <w:r w:rsidR="007B0CFA" w:rsidRPr="002E7FB3">
        <w:rPr>
          <w:rStyle w:val="break-words"/>
          <w:rFonts w:ascii="Times" w:hAnsi="Times" w:cs="Tahoma"/>
        </w:rPr>
        <w:t>t</w:t>
      </w:r>
      <w:r w:rsidRPr="002E7FB3">
        <w:rPr>
          <w:rStyle w:val="break-words"/>
          <w:rFonts w:ascii="Times" w:hAnsi="Times" w:cs="Tahoma"/>
        </w:rPr>
        <w:t>ement incompatible avec l</w:t>
      </w:r>
      <w:r w:rsidR="00A52ACC">
        <w:rPr>
          <w:rStyle w:val="break-words"/>
          <w:rFonts w:ascii="Times" w:hAnsi="Times" w:cs="Tahoma"/>
        </w:rPr>
        <w:t>’</w:t>
      </w:r>
      <w:r w:rsidRPr="002E7FB3">
        <w:rPr>
          <w:rStyle w:val="break-words"/>
          <w:rFonts w:ascii="Times" w:hAnsi="Times" w:cs="Tahoma"/>
        </w:rPr>
        <w:t>ordre public suédois</w:t>
      </w:r>
      <w:r w:rsidR="007B0CFA" w:rsidRPr="002E7FB3">
        <w:rPr>
          <w:rStyle w:val="break-words"/>
          <w:rFonts w:ascii="Times" w:hAnsi="Times" w:cs="Tahoma"/>
        </w:rPr>
        <w:t>.</w:t>
      </w:r>
    </w:p>
    <w:p w14:paraId="798053EE" w14:textId="77777777" w:rsidR="002E7FB3" w:rsidRPr="002E7FB3" w:rsidRDefault="002E7FB3" w:rsidP="002E7FB3">
      <w:pPr>
        <w:pStyle w:val="NormalWeb"/>
        <w:numPr>
          <w:ilvl w:val="0"/>
          <w:numId w:val="0"/>
        </w:numPr>
        <w:spacing w:before="0" w:beforeAutospacing="0" w:after="0" w:afterAutospacing="0"/>
        <w:rPr>
          <w:rStyle w:val="break-words"/>
          <w:rFonts w:ascii="Times" w:hAnsi="Times" w:cs="Tahoma"/>
        </w:rPr>
      </w:pPr>
    </w:p>
    <w:p w14:paraId="18B31C3E" w14:textId="50BFBB24" w:rsidR="007B0CFA" w:rsidRPr="002E7FB3" w:rsidRDefault="007B0CFA" w:rsidP="002E7FB3">
      <w:pPr>
        <w:pStyle w:val="NormalWeb"/>
        <w:numPr>
          <w:ilvl w:val="0"/>
          <w:numId w:val="0"/>
        </w:numPr>
        <w:spacing w:before="0" w:beforeAutospacing="0" w:after="0" w:afterAutospacing="0"/>
        <w:rPr>
          <w:rStyle w:val="break-words"/>
          <w:rFonts w:ascii="Times" w:hAnsi="Times" w:cs="Tahoma"/>
        </w:rPr>
      </w:pPr>
      <w:r w:rsidRPr="002E7FB3">
        <w:rPr>
          <w:rStyle w:val="break-words"/>
          <w:rFonts w:ascii="Times" w:hAnsi="Times" w:cs="Tahoma"/>
        </w:rPr>
        <w:t>À lire ce raisonnement, on peut s</w:t>
      </w:r>
      <w:r w:rsidR="00A52ACC">
        <w:rPr>
          <w:rStyle w:val="break-words"/>
          <w:rFonts w:ascii="Times" w:hAnsi="Times" w:cs="Tahoma"/>
        </w:rPr>
        <w:t>’</w:t>
      </w:r>
      <w:r w:rsidRPr="002E7FB3">
        <w:rPr>
          <w:rStyle w:val="break-words"/>
          <w:rFonts w:ascii="Times" w:hAnsi="Times" w:cs="Tahoma"/>
        </w:rPr>
        <w:t>interroger sur les deux options ouvertes mais écartées par la Cour. La première est celle d</w:t>
      </w:r>
      <w:r w:rsidR="00A52ACC">
        <w:rPr>
          <w:rStyle w:val="break-words"/>
          <w:rFonts w:ascii="Times" w:hAnsi="Times" w:cs="Tahoma"/>
        </w:rPr>
        <w:t>’</w:t>
      </w:r>
      <w:r w:rsidRPr="002E7FB3">
        <w:rPr>
          <w:rStyle w:val="break-words"/>
          <w:rFonts w:ascii="Times" w:hAnsi="Times" w:cs="Tahoma"/>
        </w:rPr>
        <w:t>une nouvelle question préjudicielle à la Cour de justice de l</w:t>
      </w:r>
      <w:r w:rsidR="00A52ACC">
        <w:rPr>
          <w:rStyle w:val="break-words"/>
          <w:rFonts w:ascii="Times" w:hAnsi="Times" w:cs="Tahoma"/>
        </w:rPr>
        <w:t>’</w:t>
      </w:r>
      <w:r w:rsidRPr="002E7FB3">
        <w:rPr>
          <w:rStyle w:val="break-words"/>
          <w:rFonts w:ascii="Times" w:hAnsi="Times" w:cs="Tahoma"/>
        </w:rPr>
        <w:t>Union, cette fois-ci sur le fondement de l</w:t>
      </w:r>
      <w:r w:rsidR="00A52ACC">
        <w:rPr>
          <w:rStyle w:val="break-words"/>
          <w:rFonts w:ascii="Times" w:hAnsi="Times" w:cs="Tahoma"/>
        </w:rPr>
        <w:t>’</w:t>
      </w:r>
      <w:r w:rsidRPr="002E7FB3">
        <w:rPr>
          <w:rStyle w:val="break-words"/>
          <w:rFonts w:ascii="Times" w:hAnsi="Times" w:cs="Tahoma"/>
        </w:rPr>
        <w:t>article 6§3 TUE</w:t>
      </w:r>
      <w:r w:rsidRPr="002E7FB3">
        <w:rPr>
          <w:rStyle w:val="Appelnotedebasdep"/>
          <w:rFonts w:ascii="Times" w:hAnsi="Times" w:cs="Tahoma"/>
        </w:rPr>
        <w:footnoteReference w:id="41"/>
      </w:r>
      <w:r w:rsidRPr="002E7FB3">
        <w:rPr>
          <w:rStyle w:val="break-words"/>
          <w:rFonts w:ascii="Times" w:hAnsi="Times" w:cs="Tahoma"/>
        </w:rPr>
        <w:t xml:space="preserve"> et de la Charte des droits fondamentaux. La société </w:t>
      </w:r>
      <w:r w:rsidRPr="002E7FB3">
        <w:rPr>
          <w:rStyle w:val="break-words"/>
          <w:rFonts w:ascii="Times" w:hAnsi="Times" w:cs="Tahoma"/>
          <w:i/>
          <w:iCs/>
        </w:rPr>
        <w:t>PL Holdings</w:t>
      </w:r>
      <w:r w:rsidRPr="002E7FB3">
        <w:rPr>
          <w:rStyle w:val="break-words"/>
          <w:rFonts w:ascii="Times" w:hAnsi="Times" w:cs="Tahoma"/>
        </w:rPr>
        <w:t xml:space="preserve"> n</w:t>
      </w:r>
      <w:r w:rsidR="00A52ACC">
        <w:rPr>
          <w:rStyle w:val="break-words"/>
          <w:rFonts w:ascii="Times" w:hAnsi="Times" w:cs="Tahoma"/>
        </w:rPr>
        <w:t>’</w:t>
      </w:r>
      <w:r w:rsidRPr="002E7FB3">
        <w:rPr>
          <w:rStyle w:val="break-words"/>
          <w:rFonts w:ascii="Times" w:hAnsi="Times" w:cs="Tahoma"/>
        </w:rPr>
        <w:t>avait en effet pas manqué de relever que l</w:t>
      </w:r>
      <w:r w:rsidR="00A52ACC">
        <w:rPr>
          <w:rStyle w:val="break-words"/>
          <w:rFonts w:ascii="Times" w:hAnsi="Times" w:cs="Tahoma"/>
        </w:rPr>
        <w:t>’</w:t>
      </w:r>
      <w:r w:rsidRPr="002E7FB3">
        <w:rPr>
          <w:rStyle w:val="break-words"/>
          <w:rFonts w:ascii="Times" w:hAnsi="Times" w:cs="Tahoma"/>
        </w:rPr>
        <w:t>application de la décision préjudicielle de la CJUE serait contraire au droit primaire de l</w:t>
      </w:r>
      <w:r w:rsidR="00A52ACC">
        <w:rPr>
          <w:rStyle w:val="break-words"/>
          <w:rFonts w:ascii="Times" w:hAnsi="Times" w:cs="Tahoma"/>
        </w:rPr>
        <w:t>’</w:t>
      </w:r>
      <w:r w:rsidRPr="002E7FB3">
        <w:rPr>
          <w:rStyle w:val="break-words"/>
          <w:rFonts w:ascii="Times" w:hAnsi="Times" w:cs="Tahoma"/>
        </w:rPr>
        <w:t>Union, réclamant par la même un nouveau renvoi préjudiciel que la Cour suédoise a écarté d</w:t>
      </w:r>
      <w:r w:rsidR="00A52ACC">
        <w:rPr>
          <w:rStyle w:val="break-words"/>
          <w:rFonts w:ascii="Times" w:hAnsi="Times" w:cs="Tahoma"/>
        </w:rPr>
        <w:t>’</w:t>
      </w:r>
      <w:r w:rsidRPr="002E7FB3">
        <w:rPr>
          <w:rStyle w:val="break-words"/>
          <w:rFonts w:ascii="Times" w:hAnsi="Times" w:cs="Tahoma"/>
        </w:rPr>
        <w:t>un revers de la main. Pour cette dernière, aucune question nouvelle n</w:t>
      </w:r>
      <w:r w:rsidR="00A52ACC">
        <w:rPr>
          <w:rStyle w:val="break-words"/>
          <w:rFonts w:ascii="Times" w:hAnsi="Times" w:cs="Tahoma"/>
        </w:rPr>
        <w:t>’</w:t>
      </w:r>
      <w:r w:rsidRPr="002E7FB3">
        <w:rPr>
          <w:rStyle w:val="break-words"/>
          <w:rFonts w:ascii="Times" w:hAnsi="Times" w:cs="Tahoma"/>
        </w:rPr>
        <w:t>était invoquée, et on peine, à la lecture de l</w:t>
      </w:r>
      <w:r w:rsidR="00A52ACC">
        <w:rPr>
          <w:rStyle w:val="break-words"/>
          <w:rFonts w:ascii="Times" w:hAnsi="Times" w:cs="Tahoma"/>
        </w:rPr>
        <w:t>’</w:t>
      </w:r>
      <w:r w:rsidRPr="002E7FB3">
        <w:rPr>
          <w:rStyle w:val="break-words"/>
          <w:rFonts w:ascii="Times" w:hAnsi="Times" w:cs="Tahoma"/>
        </w:rPr>
        <w:t xml:space="preserve">arrêt </w:t>
      </w:r>
      <w:r w:rsidRPr="002E7FB3">
        <w:rPr>
          <w:rStyle w:val="break-words"/>
          <w:rFonts w:ascii="Times" w:hAnsi="Times" w:cs="Tahoma"/>
          <w:i/>
          <w:iCs/>
        </w:rPr>
        <w:t xml:space="preserve">Pl Holdings </w:t>
      </w:r>
      <w:r w:rsidRPr="002E7FB3">
        <w:rPr>
          <w:rStyle w:val="break-words"/>
          <w:rFonts w:ascii="Times" w:hAnsi="Times" w:cs="Tahoma"/>
        </w:rPr>
        <w:t>d</w:t>
      </w:r>
      <w:r w:rsidR="00A52ACC">
        <w:rPr>
          <w:rStyle w:val="break-words"/>
          <w:rFonts w:ascii="Times" w:hAnsi="Times" w:cs="Tahoma"/>
        </w:rPr>
        <w:t>’</w:t>
      </w:r>
      <w:r w:rsidRPr="002E7FB3">
        <w:rPr>
          <w:rStyle w:val="break-words"/>
          <w:rFonts w:ascii="Times" w:hAnsi="Times" w:cs="Tahoma"/>
        </w:rPr>
        <w:t>octobre 2021, à concevoir comment la Cour de Justice pourrait s</w:t>
      </w:r>
      <w:r w:rsidR="00A52ACC">
        <w:rPr>
          <w:rStyle w:val="break-words"/>
          <w:rFonts w:ascii="Times" w:hAnsi="Times" w:cs="Tahoma"/>
        </w:rPr>
        <w:t>’</w:t>
      </w:r>
      <w:r w:rsidRPr="002E7FB3">
        <w:rPr>
          <w:rStyle w:val="break-words"/>
          <w:rFonts w:ascii="Times" w:hAnsi="Times" w:cs="Tahoma"/>
        </w:rPr>
        <w:t>écarter de sa jurisprudence. La seconde porte entrouverte dans cette affaire était celle du recours à la Cour européenne des droits de l</w:t>
      </w:r>
      <w:r w:rsidR="00A52ACC">
        <w:rPr>
          <w:rStyle w:val="break-words"/>
          <w:rFonts w:ascii="Times" w:hAnsi="Times" w:cs="Tahoma"/>
        </w:rPr>
        <w:t>’</w:t>
      </w:r>
      <w:r w:rsidRPr="002E7FB3">
        <w:rPr>
          <w:rStyle w:val="break-words"/>
          <w:rFonts w:ascii="Times" w:hAnsi="Times" w:cs="Tahoma"/>
        </w:rPr>
        <w:t xml:space="preserve">homme. </w:t>
      </w:r>
    </w:p>
    <w:p w14:paraId="39A67833" w14:textId="50AEB090" w:rsidR="007B0CFA" w:rsidRPr="002E7FB3" w:rsidRDefault="007B0CFA" w:rsidP="002E7FB3">
      <w:pPr>
        <w:pStyle w:val="NormalWeb"/>
        <w:numPr>
          <w:ilvl w:val="0"/>
          <w:numId w:val="0"/>
        </w:numPr>
        <w:spacing w:before="0" w:beforeAutospacing="0" w:after="0" w:afterAutospacing="0"/>
        <w:rPr>
          <w:rStyle w:val="break-words"/>
          <w:rFonts w:ascii="Times" w:hAnsi="Times" w:cs="Tahoma"/>
        </w:rPr>
      </w:pPr>
      <w:r w:rsidRPr="002E7FB3">
        <w:rPr>
          <w:rStyle w:val="break-words"/>
          <w:rFonts w:ascii="Times" w:hAnsi="Times" w:cs="Tahoma"/>
        </w:rPr>
        <w:lastRenderedPageBreak/>
        <w:t>Il s</w:t>
      </w:r>
      <w:r w:rsidR="00A52ACC">
        <w:rPr>
          <w:rStyle w:val="break-words"/>
          <w:rFonts w:ascii="Times" w:hAnsi="Times" w:cs="Tahoma"/>
        </w:rPr>
        <w:t>’</w:t>
      </w:r>
      <w:r w:rsidRPr="002E7FB3">
        <w:rPr>
          <w:rStyle w:val="break-words"/>
          <w:rFonts w:ascii="Times" w:hAnsi="Times" w:cs="Tahoma"/>
        </w:rPr>
        <w:t>agit là d</w:t>
      </w:r>
      <w:r w:rsidR="00A52ACC">
        <w:rPr>
          <w:rStyle w:val="break-words"/>
          <w:rFonts w:ascii="Times" w:hAnsi="Times" w:cs="Tahoma"/>
        </w:rPr>
        <w:t>’</w:t>
      </w:r>
      <w:r w:rsidRPr="002E7FB3">
        <w:rPr>
          <w:rStyle w:val="break-words"/>
          <w:rFonts w:ascii="Times" w:hAnsi="Times" w:cs="Tahoma"/>
        </w:rPr>
        <w:t>une « niche » restreinte, même si la possibilité que la CEDH soit saisie d</w:t>
      </w:r>
      <w:r w:rsidR="00A52ACC">
        <w:rPr>
          <w:rStyle w:val="break-words"/>
          <w:rFonts w:ascii="Times" w:hAnsi="Times" w:cs="Tahoma"/>
        </w:rPr>
        <w:t>’</w:t>
      </w:r>
      <w:r w:rsidRPr="002E7FB3">
        <w:rPr>
          <w:rStyle w:val="break-words"/>
          <w:rFonts w:ascii="Times" w:hAnsi="Times" w:cs="Tahoma"/>
        </w:rPr>
        <w:t>une telle question existe théoriquement. On peut en effet imaginer qu</w:t>
      </w:r>
      <w:r w:rsidR="00A52ACC">
        <w:rPr>
          <w:rStyle w:val="break-words"/>
          <w:rFonts w:ascii="Times" w:hAnsi="Times" w:cs="Tahoma"/>
        </w:rPr>
        <w:t>’</w:t>
      </w:r>
      <w:r w:rsidRPr="002E7FB3">
        <w:rPr>
          <w:rStyle w:val="break-words"/>
          <w:rFonts w:ascii="Times" w:hAnsi="Times" w:cs="Tahoma"/>
        </w:rPr>
        <w:t>une juridiction nationale d</w:t>
      </w:r>
      <w:r w:rsidR="00A52ACC">
        <w:rPr>
          <w:rStyle w:val="break-words"/>
          <w:rFonts w:ascii="Times" w:hAnsi="Times" w:cs="Tahoma"/>
        </w:rPr>
        <w:t>’</w:t>
      </w:r>
      <w:r w:rsidRPr="002E7FB3">
        <w:rPr>
          <w:rStyle w:val="break-words"/>
          <w:rFonts w:ascii="Times" w:hAnsi="Times" w:cs="Tahoma"/>
        </w:rPr>
        <w:t>un État membre de l</w:t>
      </w:r>
      <w:r w:rsidR="00A52ACC">
        <w:rPr>
          <w:rStyle w:val="break-words"/>
          <w:rFonts w:ascii="Times" w:hAnsi="Times" w:cs="Tahoma"/>
        </w:rPr>
        <w:t>’</w:t>
      </w:r>
      <w:r w:rsidRPr="002E7FB3">
        <w:rPr>
          <w:rStyle w:val="break-words"/>
          <w:rFonts w:ascii="Times" w:hAnsi="Times" w:cs="Tahoma"/>
        </w:rPr>
        <w:t>Union, plus ouverte à la CEDH que d</w:t>
      </w:r>
      <w:r w:rsidR="00A52ACC">
        <w:rPr>
          <w:rStyle w:val="break-words"/>
          <w:rFonts w:ascii="Times" w:hAnsi="Times" w:cs="Tahoma"/>
        </w:rPr>
        <w:t>’</w:t>
      </w:r>
      <w:r w:rsidRPr="002E7FB3">
        <w:rPr>
          <w:rStyle w:val="break-words"/>
          <w:rFonts w:ascii="Times" w:hAnsi="Times" w:cs="Tahoma"/>
        </w:rPr>
        <w:t>autres, décide qu</w:t>
      </w:r>
      <w:r w:rsidR="00A52ACC">
        <w:rPr>
          <w:rStyle w:val="break-words"/>
          <w:rFonts w:ascii="Times" w:hAnsi="Times" w:cs="Tahoma"/>
        </w:rPr>
        <w:t>’</w:t>
      </w:r>
      <w:r w:rsidRPr="002E7FB3">
        <w:rPr>
          <w:rStyle w:val="break-words"/>
          <w:rFonts w:ascii="Times" w:hAnsi="Times" w:cs="Tahoma"/>
        </w:rPr>
        <w:t>il y a matière à réflexion et s</w:t>
      </w:r>
      <w:r w:rsidR="00A52ACC">
        <w:rPr>
          <w:rStyle w:val="break-words"/>
          <w:rFonts w:ascii="Times" w:hAnsi="Times" w:cs="Tahoma"/>
        </w:rPr>
        <w:t>’</w:t>
      </w:r>
      <w:r w:rsidRPr="002E7FB3">
        <w:rPr>
          <w:rStyle w:val="break-words"/>
          <w:rFonts w:ascii="Times" w:hAnsi="Times" w:cs="Tahoma"/>
        </w:rPr>
        <w:t xml:space="preserve">écarte de la jurisprudence </w:t>
      </w:r>
      <w:proofErr w:type="spellStart"/>
      <w:r w:rsidRPr="002E7FB3">
        <w:rPr>
          <w:rStyle w:val="break-words"/>
          <w:rFonts w:ascii="Times" w:hAnsi="Times" w:cs="Tahoma"/>
          <w:i/>
          <w:iCs/>
        </w:rPr>
        <w:t>Bosphorus</w:t>
      </w:r>
      <w:proofErr w:type="spellEnd"/>
      <w:r w:rsidRPr="002E7FB3">
        <w:rPr>
          <w:rStyle w:val="break-words"/>
          <w:rFonts w:ascii="Times" w:hAnsi="Times" w:cs="Tahoma"/>
        </w:rPr>
        <w:t xml:space="preserve">. Deux possibilités seraient alors ouvertes. La première serait de poser de nouveau la même question à la CJUE, sous le double angle de la jurisprudence </w:t>
      </w:r>
      <w:proofErr w:type="spellStart"/>
      <w:r w:rsidRPr="002E7FB3">
        <w:rPr>
          <w:rStyle w:val="break-words"/>
          <w:rFonts w:ascii="Times" w:hAnsi="Times" w:cs="Tahoma"/>
          <w:i/>
          <w:iCs/>
        </w:rPr>
        <w:t>Bosphorus</w:t>
      </w:r>
      <w:proofErr w:type="spellEnd"/>
      <w:r w:rsidRPr="002E7FB3">
        <w:rPr>
          <w:rStyle w:val="break-words"/>
          <w:rFonts w:ascii="Times" w:hAnsi="Times" w:cs="Tahoma"/>
        </w:rPr>
        <w:t xml:space="preserve"> et du droit primaire, puisque les droits garantis par la CEDH en relèvent. La seconde résiderait dans la nouvelle possibilité de demander un avis consultatif à la CEDH. Avec l</w:t>
      </w:r>
      <w:r w:rsidR="00A52ACC">
        <w:rPr>
          <w:rStyle w:val="break-words"/>
          <w:rFonts w:ascii="Times" w:hAnsi="Times" w:cs="Tahoma"/>
        </w:rPr>
        <w:t>’</w:t>
      </w:r>
      <w:r w:rsidRPr="002E7FB3">
        <w:rPr>
          <w:rStyle w:val="break-words"/>
          <w:rFonts w:ascii="Times" w:hAnsi="Times" w:cs="Tahoma"/>
        </w:rPr>
        <w:t>entrée en vigueur, le 1</w:t>
      </w:r>
      <w:r w:rsidRPr="002E7FB3">
        <w:rPr>
          <w:rStyle w:val="break-words"/>
          <w:rFonts w:ascii="Times" w:hAnsi="Times" w:cs="Tahoma"/>
          <w:vertAlign w:val="superscript"/>
        </w:rPr>
        <w:t>er</w:t>
      </w:r>
      <w:r w:rsidRPr="002E7FB3">
        <w:rPr>
          <w:rStyle w:val="break-words"/>
          <w:rFonts w:ascii="Times" w:hAnsi="Times" w:cs="Tahoma"/>
        </w:rPr>
        <w:t xml:space="preserve"> août 2018, du</w:t>
      </w:r>
      <w:r w:rsidRPr="002E7FB3">
        <w:rPr>
          <w:rStyle w:val="break-words"/>
          <w:rFonts w:ascii="Times" w:hAnsi="Times" w:cs="Tahoma"/>
          <w:i/>
          <w:iCs/>
        </w:rPr>
        <w:t xml:space="preserve"> </w:t>
      </w:r>
      <w:r w:rsidRPr="002E7FB3">
        <w:rPr>
          <w:rStyle w:val="break-words"/>
          <w:rFonts w:ascii="Times" w:hAnsi="Times" w:cs="Tahoma"/>
        </w:rPr>
        <w:t>Protocole n° 16 à la Convention EDH, les « plus hautes juridictions » des États l</w:t>
      </w:r>
      <w:r w:rsidR="00A52ACC">
        <w:rPr>
          <w:rStyle w:val="break-words"/>
          <w:rFonts w:ascii="Times" w:hAnsi="Times" w:cs="Tahoma"/>
        </w:rPr>
        <w:t>’</w:t>
      </w:r>
      <w:r w:rsidRPr="002E7FB3">
        <w:rPr>
          <w:rStyle w:val="break-words"/>
          <w:rFonts w:ascii="Times" w:hAnsi="Times" w:cs="Tahoma"/>
        </w:rPr>
        <w:t>ayant ratifié (Albanie, Andorre, Arménie, Belgique, Bosnie-Herzégovine, Estonie, Finlande, France, Géorgie, Grèce, Lituanie, Luxembourg, Pays-Bas, Roumanie, Saint-Marin, Slovaquie, Slovénie, Ukraine) peuvent en effet adresser à la CEDH des demandes d</w:t>
      </w:r>
      <w:r w:rsidR="00A52ACC">
        <w:rPr>
          <w:rStyle w:val="break-words"/>
          <w:rFonts w:ascii="Times" w:hAnsi="Times" w:cs="Tahoma"/>
        </w:rPr>
        <w:t>’</w:t>
      </w:r>
      <w:r w:rsidRPr="002E7FB3">
        <w:rPr>
          <w:rStyle w:val="break-words"/>
          <w:rFonts w:ascii="Times" w:hAnsi="Times" w:cs="Tahoma"/>
        </w:rPr>
        <w:t>avis consultatifs sur des questions de principe relatives à l</w:t>
      </w:r>
      <w:r w:rsidR="00A52ACC">
        <w:rPr>
          <w:rStyle w:val="break-words"/>
          <w:rFonts w:ascii="Times" w:hAnsi="Times" w:cs="Tahoma"/>
        </w:rPr>
        <w:t>’</w:t>
      </w:r>
      <w:r w:rsidRPr="002E7FB3">
        <w:rPr>
          <w:rStyle w:val="break-words"/>
          <w:rFonts w:ascii="Times" w:hAnsi="Times" w:cs="Tahoma"/>
        </w:rPr>
        <w:t>interprétation ou à l</w:t>
      </w:r>
      <w:r w:rsidR="00A52ACC">
        <w:rPr>
          <w:rStyle w:val="break-words"/>
          <w:rFonts w:ascii="Times" w:hAnsi="Times" w:cs="Tahoma"/>
        </w:rPr>
        <w:t>’</w:t>
      </w:r>
      <w:r w:rsidRPr="002E7FB3">
        <w:rPr>
          <w:rStyle w:val="break-words"/>
          <w:rFonts w:ascii="Times" w:hAnsi="Times" w:cs="Tahoma"/>
        </w:rPr>
        <w:t>application des droits et libertés définis par la Convention ou ses protocole. Une juridiction nationale pourrait dès lors utiliser cette possibilité et, potentiellement, semer la zizanie au sein de l</w:t>
      </w:r>
      <w:r w:rsidR="00A52ACC">
        <w:rPr>
          <w:rStyle w:val="break-words"/>
          <w:rFonts w:ascii="Times" w:hAnsi="Times" w:cs="Tahoma"/>
        </w:rPr>
        <w:t>’</w:t>
      </w:r>
      <w:r w:rsidRPr="002E7FB3">
        <w:rPr>
          <w:rStyle w:val="break-words"/>
          <w:rFonts w:ascii="Times" w:hAnsi="Times" w:cs="Tahoma"/>
        </w:rPr>
        <w:t>ordre que tente d</w:t>
      </w:r>
      <w:r w:rsidR="00A52ACC">
        <w:rPr>
          <w:rStyle w:val="break-words"/>
          <w:rFonts w:ascii="Times" w:hAnsi="Times" w:cs="Tahoma"/>
        </w:rPr>
        <w:t>’</w:t>
      </w:r>
      <w:r w:rsidRPr="002E7FB3">
        <w:rPr>
          <w:rStyle w:val="break-words"/>
          <w:rFonts w:ascii="Times" w:hAnsi="Times" w:cs="Tahoma"/>
        </w:rPr>
        <w:t>établir la CJUE sur la question de la protection des investissements intra-union.</w:t>
      </w:r>
    </w:p>
    <w:p w14:paraId="425E0CB3" w14:textId="77777777" w:rsidR="007B0CFA" w:rsidRPr="002E7FB3" w:rsidRDefault="007B0CFA" w:rsidP="002E7FB3">
      <w:pPr>
        <w:pStyle w:val="NormalWeb"/>
        <w:numPr>
          <w:ilvl w:val="0"/>
          <w:numId w:val="0"/>
        </w:numPr>
        <w:spacing w:before="0" w:beforeAutospacing="0" w:after="0" w:afterAutospacing="0"/>
        <w:rPr>
          <w:rStyle w:val="break-words"/>
          <w:rFonts w:ascii="Times" w:hAnsi="Times" w:cs="Tahoma"/>
        </w:rPr>
      </w:pPr>
    </w:p>
    <w:p w14:paraId="5182B147" w14:textId="6983EB85" w:rsidR="007B0CFA" w:rsidRPr="002E7FB3" w:rsidRDefault="007B0CFA" w:rsidP="002E7FB3">
      <w:pPr>
        <w:pStyle w:val="NormalWeb"/>
        <w:numPr>
          <w:ilvl w:val="0"/>
          <w:numId w:val="0"/>
        </w:numPr>
        <w:spacing w:before="0" w:beforeAutospacing="0" w:after="0" w:afterAutospacing="0"/>
        <w:rPr>
          <w:rStyle w:val="break-words"/>
          <w:rFonts w:ascii="Times" w:hAnsi="Times" w:cs="Tahoma"/>
        </w:rPr>
      </w:pPr>
      <w:r w:rsidRPr="002E7FB3">
        <w:rPr>
          <w:rStyle w:val="break-words"/>
          <w:rFonts w:ascii="Times" w:hAnsi="Times" w:cs="Tahoma"/>
        </w:rPr>
        <w:t>Il est évidement difficile de prédire ce que la CEDH, saisie d</w:t>
      </w:r>
      <w:r w:rsidR="00A52ACC">
        <w:rPr>
          <w:rStyle w:val="break-words"/>
          <w:rFonts w:ascii="Times" w:hAnsi="Times" w:cs="Tahoma"/>
        </w:rPr>
        <w:t>’</w:t>
      </w:r>
      <w:r w:rsidRPr="002E7FB3">
        <w:rPr>
          <w:rStyle w:val="break-words"/>
          <w:rFonts w:ascii="Times" w:hAnsi="Times" w:cs="Tahoma"/>
        </w:rPr>
        <w:t>une telle demande d</w:t>
      </w:r>
      <w:r w:rsidR="00A52ACC">
        <w:rPr>
          <w:rStyle w:val="break-words"/>
          <w:rFonts w:ascii="Times" w:hAnsi="Times" w:cs="Tahoma"/>
        </w:rPr>
        <w:t>’</w:t>
      </w:r>
      <w:r w:rsidRPr="002E7FB3">
        <w:rPr>
          <w:rStyle w:val="break-words"/>
          <w:rFonts w:ascii="Times" w:hAnsi="Times" w:cs="Tahoma"/>
        </w:rPr>
        <w:t>avis, pourrait décider, d</w:t>
      </w:r>
      <w:r w:rsidR="00A52ACC">
        <w:rPr>
          <w:rStyle w:val="break-words"/>
          <w:rFonts w:ascii="Times" w:hAnsi="Times" w:cs="Tahoma"/>
        </w:rPr>
        <w:t>’</w:t>
      </w:r>
      <w:r w:rsidRPr="002E7FB3">
        <w:rPr>
          <w:rStyle w:val="break-words"/>
          <w:rFonts w:ascii="Times" w:hAnsi="Times" w:cs="Tahoma"/>
        </w:rPr>
        <w:t>autant que l</w:t>
      </w:r>
      <w:r w:rsidR="00A52ACC">
        <w:rPr>
          <w:rStyle w:val="break-words"/>
          <w:rFonts w:ascii="Times" w:hAnsi="Times" w:cs="Tahoma"/>
        </w:rPr>
        <w:t>’</w:t>
      </w:r>
      <w:r w:rsidRPr="002E7FB3">
        <w:rPr>
          <w:rStyle w:val="break-words"/>
          <w:rFonts w:ascii="Times" w:hAnsi="Times" w:cs="Tahoma"/>
        </w:rPr>
        <w:t>hypothèse est pour l</w:t>
      </w:r>
      <w:r w:rsidR="00A52ACC">
        <w:rPr>
          <w:rStyle w:val="break-words"/>
          <w:rFonts w:ascii="Times" w:hAnsi="Times" w:cs="Tahoma"/>
        </w:rPr>
        <w:t>’</w:t>
      </w:r>
      <w:r w:rsidRPr="002E7FB3">
        <w:rPr>
          <w:rStyle w:val="break-words"/>
          <w:rFonts w:ascii="Times" w:hAnsi="Times" w:cs="Tahoma"/>
        </w:rPr>
        <w:t>instant peu plausible. La Suède n</w:t>
      </w:r>
      <w:r w:rsidR="00A52ACC">
        <w:rPr>
          <w:rStyle w:val="break-words"/>
          <w:rFonts w:ascii="Times" w:hAnsi="Times" w:cs="Tahoma"/>
        </w:rPr>
        <w:t>’</w:t>
      </w:r>
      <w:r w:rsidRPr="002E7FB3">
        <w:rPr>
          <w:rStyle w:val="break-words"/>
          <w:rFonts w:ascii="Times" w:hAnsi="Times" w:cs="Tahoma"/>
        </w:rPr>
        <w:t>a pas ratifié le Protocole 16 ; une demande d</w:t>
      </w:r>
      <w:r w:rsidR="00A52ACC">
        <w:rPr>
          <w:rStyle w:val="break-words"/>
          <w:rFonts w:ascii="Times" w:hAnsi="Times" w:cs="Tahoma"/>
        </w:rPr>
        <w:t>’</w:t>
      </w:r>
      <w:r w:rsidRPr="002E7FB3">
        <w:rPr>
          <w:rStyle w:val="break-words"/>
          <w:rFonts w:ascii="Times" w:hAnsi="Times" w:cs="Tahoma"/>
        </w:rPr>
        <w:t>avis pourrait toutefois émerger de la Cour de cassation française qui n</w:t>
      </w:r>
      <w:r w:rsidR="00A52ACC">
        <w:rPr>
          <w:rStyle w:val="break-words"/>
          <w:rFonts w:ascii="Times" w:hAnsi="Times" w:cs="Tahoma"/>
        </w:rPr>
        <w:t>’</w:t>
      </w:r>
      <w:r w:rsidRPr="002E7FB3">
        <w:rPr>
          <w:rStyle w:val="break-words"/>
          <w:rFonts w:ascii="Times" w:hAnsi="Times" w:cs="Tahoma"/>
        </w:rPr>
        <w:t>est pas hostile par principe à cette procédure ou d</w:t>
      </w:r>
      <w:r w:rsidR="00A52ACC">
        <w:rPr>
          <w:rStyle w:val="break-words"/>
          <w:rFonts w:ascii="Times" w:hAnsi="Times" w:cs="Tahoma"/>
        </w:rPr>
        <w:t>’</w:t>
      </w:r>
      <w:r w:rsidRPr="002E7FB3">
        <w:rPr>
          <w:rStyle w:val="break-words"/>
          <w:rFonts w:ascii="Times" w:hAnsi="Times" w:cs="Tahoma"/>
        </w:rPr>
        <w:t xml:space="preserve">une autre juridiction européenne habituée des différends relatifs aux investissements. En appliquant </w:t>
      </w:r>
      <w:r w:rsidRPr="002E7FB3">
        <w:rPr>
          <w:rStyle w:val="break-words"/>
          <w:rFonts w:ascii="Times" w:hAnsi="Times" w:cs="Tahoma"/>
          <w:i/>
          <w:iCs/>
        </w:rPr>
        <w:t>mutatis mutandis</w:t>
      </w:r>
      <w:r w:rsidRPr="002E7FB3">
        <w:rPr>
          <w:rStyle w:val="break-words"/>
          <w:rFonts w:ascii="Times" w:hAnsi="Times" w:cs="Tahoma"/>
        </w:rPr>
        <w:t xml:space="preserve"> le raisonnement qu</w:t>
      </w:r>
      <w:r w:rsidR="00A52ACC">
        <w:rPr>
          <w:rStyle w:val="break-words"/>
          <w:rFonts w:ascii="Times" w:hAnsi="Times" w:cs="Tahoma"/>
        </w:rPr>
        <w:t>’</w:t>
      </w:r>
      <w:r w:rsidRPr="002E7FB3">
        <w:rPr>
          <w:rStyle w:val="break-words"/>
          <w:rFonts w:ascii="Times" w:hAnsi="Times" w:cs="Tahoma"/>
        </w:rPr>
        <w:t xml:space="preserve">elle a tenu dans les affaires </w:t>
      </w:r>
      <w:r w:rsidRPr="002E7FB3">
        <w:rPr>
          <w:rStyle w:val="break-words"/>
          <w:rFonts w:ascii="Times" w:hAnsi="Times" w:cs="Tahoma"/>
          <w:i/>
          <w:iCs/>
        </w:rPr>
        <w:t>Nada c. Suisse</w:t>
      </w:r>
      <w:r w:rsidR="00AB72FE" w:rsidRPr="002E7FB3">
        <w:rPr>
          <w:rStyle w:val="Appelnotedebasdep"/>
          <w:rFonts w:ascii="Times" w:hAnsi="Times" w:cs="Tahoma"/>
        </w:rPr>
        <w:footnoteReference w:id="42"/>
      </w:r>
      <w:r w:rsidRPr="002E7FB3">
        <w:rPr>
          <w:rStyle w:val="break-words"/>
          <w:rFonts w:ascii="Times" w:hAnsi="Times" w:cs="Tahoma"/>
        </w:rPr>
        <w:t xml:space="preserve"> ou </w:t>
      </w:r>
      <w:r w:rsidRPr="002E7FB3">
        <w:rPr>
          <w:rStyle w:val="break-words"/>
          <w:rFonts w:ascii="Times" w:hAnsi="Times" w:cs="Tahoma"/>
          <w:i/>
          <w:iCs/>
        </w:rPr>
        <w:t>Al-</w:t>
      </w:r>
      <w:proofErr w:type="spellStart"/>
      <w:r w:rsidRPr="002E7FB3">
        <w:rPr>
          <w:rStyle w:val="break-words"/>
          <w:rFonts w:ascii="Times" w:hAnsi="Times" w:cs="Tahoma"/>
          <w:i/>
          <w:iCs/>
        </w:rPr>
        <w:t>Dulimi</w:t>
      </w:r>
      <w:proofErr w:type="spellEnd"/>
      <w:r w:rsidRPr="002E7FB3">
        <w:rPr>
          <w:rStyle w:val="break-words"/>
          <w:rFonts w:ascii="Times" w:hAnsi="Times" w:cs="Tahoma"/>
          <w:i/>
          <w:iCs/>
        </w:rPr>
        <w:t xml:space="preserve"> c. Suisse</w:t>
      </w:r>
      <w:r w:rsidR="00AB72FE" w:rsidRPr="002E7FB3">
        <w:rPr>
          <w:rStyle w:val="Appelnotedebasdep"/>
          <w:rFonts w:ascii="Times" w:hAnsi="Times" w:cs="Tahoma"/>
          <w:i/>
          <w:iCs/>
        </w:rPr>
        <w:footnoteReference w:id="43"/>
      </w:r>
      <w:r w:rsidRPr="002E7FB3">
        <w:rPr>
          <w:rStyle w:val="break-words"/>
          <w:rFonts w:ascii="Times" w:hAnsi="Times" w:cs="Tahoma"/>
        </w:rPr>
        <w:t xml:space="preserve"> – au contentieux – elle pourrait considérer que tant que la protection offerte par le système national ne satisfait pas aux exigences du procès équitable tel que garanti par la Convention, l</w:t>
      </w:r>
      <w:r w:rsidR="00A52ACC">
        <w:rPr>
          <w:rStyle w:val="break-words"/>
          <w:rFonts w:ascii="Times" w:hAnsi="Times" w:cs="Tahoma"/>
        </w:rPr>
        <w:t>’</w:t>
      </w:r>
      <w:r w:rsidRPr="002E7FB3">
        <w:rPr>
          <w:rStyle w:val="break-words"/>
          <w:rFonts w:ascii="Times" w:hAnsi="Times" w:cs="Tahoma"/>
        </w:rPr>
        <w:t>État qui a à connaître de l</w:t>
      </w:r>
      <w:r w:rsidR="00A52ACC">
        <w:rPr>
          <w:rStyle w:val="break-words"/>
          <w:rFonts w:ascii="Times" w:hAnsi="Times" w:cs="Tahoma"/>
        </w:rPr>
        <w:t>’</w:t>
      </w:r>
      <w:r w:rsidRPr="002E7FB3">
        <w:rPr>
          <w:rStyle w:val="break-words"/>
          <w:rFonts w:ascii="Times" w:hAnsi="Times" w:cs="Tahoma"/>
        </w:rPr>
        <w:t xml:space="preserve">annulation de la sentence sur le fondement de la jurisprudence de la CJUE doit lui-même mettre en œuvre un mécanisme permettant la protection de ces droits. Une telle prise de position demeure peu </w:t>
      </w:r>
      <w:r w:rsidR="002E7FB3" w:rsidRPr="002E7FB3">
        <w:rPr>
          <w:rStyle w:val="break-words"/>
          <w:rFonts w:ascii="Times" w:hAnsi="Times" w:cs="Tahoma"/>
        </w:rPr>
        <w:t>probable, au moins politiquement : l</w:t>
      </w:r>
      <w:r w:rsidR="00A52ACC">
        <w:rPr>
          <w:rStyle w:val="break-words"/>
          <w:rFonts w:ascii="Times" w:hAnsi="Times" w:cs="Tahoma"/>
        </w:rPr>
        <w:t>’</w:t>
      </w:r>
      <w:r w:rsidRPr="002E7FB3">
        <w:rPr>
          <w:rStyle w:val="break-words"/>
          <w:rFonts w:ascii="Times" w:hAnsi="Times" w:cs="Tahoma"/>
        </w:rPr>
        <w:t>avis viserait en effet directement le système juridique d</w:t>
      </w:r>
      <w:r w:rsidR="00A52ACC">
        <w:rPr>
          <w:rStyle w:val="break-words"/>
          <w:rFonts w:ascii="Times" w:hAnsi="Times" w:cs="Tahoma"/>
        </w:rPr>
        <w:t>’</w:t>
      </w:r>
      <w:r w:rsidRPr="002E7FB3">
        <w:rPr>
          <w:rStyle w:val="break-words"/>
          <w:rFonts w:ascii="Times" w:hAnsi="Times" w:cs="Tahoma"/>
        </w:rPr>
        <w:t>un État membre de l</w:t>
      </w:r>
      <w:r w:rsidR="00A52ACC">
        <w:rPr>
          <w:rStyle w:val="break-words"/>
          <w:rFonts w:ascii="Times" w:hAnsi="Times" w:cs="Tahoma"/>
        </w:rPr>
        <w:t>’</w:t>
      </w:r>
      <w:r w:rsidRPr="002E7FB3">
        <w:rPr>
          <w:rStyle w:val="break-words"/>
          <w:rFonts w:ascii="Times" w:hAnsi="Times" w:cs="Tahoma"/>
        </w:rPr>
        <w:t xml:space="preserve">Union, et </w:t>
      </w:r>
      <w:r w:rsidRPr="002E7FB3">
        <w:rPr>
          <w:rStyle w:val="break-words"/>
          <w:rFonts w:ascii="Times" w:hAnsi="Times" w:cs="Tahoma"/>
          <w:i/>
          <w:iCs/>
        </w:rPr>
        <w:t>a fortiori</w:t>
      </w:r>
      <w:r w:rsidRPr="002E7FB3">
        <w:rPr>
          <w:rStyle w:val="break-words"/>
          <w:rFonts w:ascii="Times" w:hAnsi="Times" w:cs="Tahoma"/>
        </w:rPr>
        <w:t xml:space="preserve"> du Conseil de l</w:t>
      </w:r>
      <w:r w:rsidR="00A52ACC">
        <w:rPr>
          <w:rStyle w:val="break-words"/>
          <w:rFonts w:ascii="Times" w:hAnsi="Times" w:cs="Tahoma"/>
        </w:rPr>
        <w:t>’</w:t>
      </w:r>
      <w:r w:rsidRPr="002E7FB3">
        <w:rPr>
          <w:rStyle w:val="break-words"/>
          <w:rFonts w:ascii="Times" w:hAnsi="Times" w:cs="Tahoma"/>
        </w:rPr>
        <w:t>Europe. Il paraît délicat – pour ne pas dire impensable – que la Cour juge, par un avis consultatif, qu</w:t>
      </w:r>
      <w:r w:rsidR="00A52ACC">
        <w:rPr>
          <w:rStyle w:val="break-words"/>
          <w:rFonts w:ascii="Times" w:hAnsi="Times" w:cs="Tahoma"/>
        </w:rPr>
        <w:t>’</w:t>
      </w:r>
      <w:r w:rsidRPr="002E7FB3">
        <w:rPr>
          <w:rStyle w:val="break-words"/>
          <w:rFonts w:ascii="Times" w:hAnsi="Times" w:cs="Tahoma"/>
        </w:rPr>
        <w:t>un système juridictionnel membre ne satisfait pas aux exigences de la Convention du fait de l</w:t>
      </w:r>
      <w:r w:rsidR="00A52ACC">
        <w:rPr>
          <w:rStyle w:val="break-words"/>
          <w:rFonts w:ascii="Times" w:hAnsi="Times" w:cs="Tahoma"/>
        </w:rPr>
        <w:t>’</w:t>
      </w:r>
      <w:r w:rsidRPr="002E7FB3">
        <w:rPr>
          <w:rStyle w:val="break-words"/>
          <w:rFonts w:ascii="Times" w:hAnsi="Times" w:cs="Tahoma"/>
        </w:rPr>
        <w:t>application du droit de l</w:t>
      </w:r>
      <w:r w:rsidR="00A52ACC">
        <w:rPr>
          <w:rStyle w:val="break-words"/>
          <w:rFonts w:ascii="Times" w:hAnsi="Times" w:cs="Tahoma"/>
        </w:rPr>
        <w:t>’</w:t>
      </w:r>
      <w:r w:rsidRPr="002E7FB3">
        <w:rPr>
          <w:rStyle w:val="break-words"/>
          <w:rFonts w:ascii="Times" w:hAnsi="Times" w:cs="Tahoma"/>
        </w:rPr>
        <w:t xml:space="preserve">Union. Par ailleurs, les deux jurisprudences susmentionnées demeurent restreintes </w:t>
      </w:r>
      <w:proofErr w:type="spellStart"/>
      <w:r w:rsidRPr="002E7FB3">
        <w:rPr>
          <w:rStyle w:val="break-words"/>
          <w:rFonts w:ascii="Times" w:hAnsi="Times" w:cs="Tahoma"/>
          <w:i/>
          <w:iCs/>
        </w:rPr>
        <w:t>ratione</w:t>
      </w:r>
      <w:proofErr w:type="spellEnd"/>
      <w:r w:rsidRPr="002E7FB3">
        <w:rPr>
          <w:rStyle w:val="break-words"/>
          <w:rFonts w:ascii="Times" w:hAnsi="Times" w:cs="Tahoma"/>
          <w:i/>
          <w:iCs/>
        </w:rPr>
        <w:t xml:space="preserve"> materiae</w:t>
      </w:r>
      <w:r w:rsidRPr="002E7FB3">
        <w:rPr>
          <w:rStyle w:val="break-words"/>
          <w:rFonts w:ascii="Times" w:hAnsi="Times" w:cs="Tahoma"/>
        </w:rPr>
        <w:t xml:space="preserve"> et il est probable que la Cour s</w:t>
      </w:r>
      <w:r w:rsidR="00A52ACC">
        <w:rPr>
          <w:rStyle w:val="break-words"/>
          <w:rFonts w:ascii="Times" w:hAnsi="Times" w:cs="Tahoma"/>
        </w:rPr>
        <w:t>’</w:t>
      </w:r>
      <w:r w:rsidRPr="002E7FB3">
        <w:rPr>
          <w:rStyle w:val="break-words"/>
          <w:rFonts w:ascii="Times" w:hAnsi="Times" w:cs="Tahoma"/>
        </w:rPr>
        <w:t>efforce d</w:t>
      </w:r>
      <w:r w:rsidR="00A52ACC">
        <w:rPr>
          <w:rStyle w:val="break-words"/>
          <w:rFonts w:ascii="Times" w:hAnsi="Times" w:cs="Tahoma"/>
        </w:rPr>
        <w:t>’</w:t>
      </w:r>
      <w:r w:rsidRPr="002E7FB3">
        <w:rPr>
          <w:rStyle w:val="break-words"/>
          <w:rFonts w:ascii="Times" w:hAnsi="Times" w:cs="Tahoma"/>
        </w:rPr>
        <w:t>interpréter l</w:t>
      </w:r>
      <w:r w:rsidR="00A52ACC">
        <w:rPr>
          <w:rStyle w:val="break-words"/>
          <w:rFonts w:ascii="Times" w:hAnsi="Times" w:cs="Tahoma"/>
        </w:rPr>
        <w:t>’</w:t>
      </w:r>
      <w:r w:rsidRPr="002E7FB3">
        <w:rPr>
          <w:rStyle w:val="break-words"/>
          <w:rFonts w:ascii="Times" w:hAnsi="Times" w:cs="Tahoma"/>
        </w:rPr>
        <w:t>article 6 et la jurisprudence de la CJUE « de manière à coordonner leurs effets, tout en évitant de les opposer entre eux »</w:t>
      </w:r>
      <w:r w:rsidR="002E7FB3" w:rsidRPr="002E7FB3">
        <w:rPr>
          <w:rStyle w:val="Appelnotedebasdep"/>
          <w:rFonts w:ascii="Times" w:hAnsi="Times" w:cs="Tahoma"/>
        </w:rPr>
        <w:footnoteReference w:id="44"/>
      </w:r>
      <w:r w:rsidR="002E7FB3" w:rsidRPr="002E7FB3">
        <w:rPr>
          <w:rStyle w:val="break-words"/>
          <w:rFonts w:ascii="Times" w:hAnsi="Times" w:cs="Tahoma"/>
        </w:rPr>
        <w:t xml:space="preserve">. </w:t>
      </w:r>
      <w:r w:rsidRPr="002E7FB3">
        <w:rPr>
          <w:rStyle w:val="break-words"/>
          <w:rFonts w:ascii="Times" w:hAnsi="Times" w:cs="Tahoma"/>
        </w:rPr>
        <w:t>On relève</w:t>
      </w:r>
      <w:r w:rsidR="002E7FB3" w:rsidRPr="002E7FB3">
        <w:rPr>
          <w:rStyle w:val="break-words"/>
          <w:rFonts w:ascii="Times" w:hAnsi="Times" w:cs="Tahoma"/>
        </w:rPr>
        <w:t>ra</w:t>
      </w:r>
      <w:r w:rsidRPr="002E7FB3">
        <w:rPr>
          <w:rStyle w:val="break-words"/>
          <w:rFonts w:ascii="Times" w:hAnsi="Times" w:cs="Tahoma"/>
        </w:rPr>
        <w:t xml:space="preserve"> d</w:t>
      </w:r>
      <w:r w:rsidR="00A52ACC">
        <w:rPr>
          <w:rStyle w:val="break-words"/>
          <w:rFonts w:ascii="Times" w:hAnsi="Times" w:cs="Tahoma"/>
        </w:rPr>
        <w:t>’</w:t>
      </w:r>
      <w:r w:rsidRPr="002E7FB3">
        <w:rPr>
          <w:rStyle w:val="break-words"/>
          <w:rFonts w:ascii="Times" w:hAnsi="Times" w:cs="Tahoma"/>
        </w:rPr>
        <w:t>ailleurs que dans l</w:t>
      </w:r>
      <w:r w:rsidR="00A52ACC">
        <w:rPr>
          <w:rStyle w:val="break-words"/>
          <w:rFonts w:ascii="Times" w:hAnsi="Times" w:cs="Tahoma"/>
        </w:rPr>
        <w:t>’</w:t>
      </w:r>
      <w:r w:rsidRPr="002E7FB3">
        <w:rPr>
          <w:rStyle w:val="break-words"/>
          <w:rFonts w:ascii="Times" w:hAnsi="Times" w:cs="Tahoma"/>
        </w:rPr>
        <w:t xml:space="preserve">affaire </w:t>
      </w:r>
      <w:r w:rsidRPr="002E7FB3">
        <w:rPr>
          <w:rStyle w:val="break-words"/>
          <w:rFonts w:ascii="Times" w:hAnsi="Times" w:cs="Tahoma"/>
          <w:i/>
          <w:iCs/>
        </w:rPr>
        <w:t>Al-</w:t>
      </w:r>
      <w:proofErr w:type="spellStart"/>
      <w:r w:rsidRPr="002E7FB3">
        <w:rPr>
          <w:rStyle w:val="break-words"/>
          <w:rFonts w:ascii="Times" w:hAnsi="Times" w:cs="Tahoma"/>
          <w:i/>
          <w:iCs/>
        </w:rPr>
        <w:t>Dulimi</w:t>
      </w:r>
      <w:proofErr w:type="spellEnd"/>
      <w:r w:rsidRPr="002E7FB3">
        <w:rPr>
          <w:rStyle w:val="break-words"/>
          <w:rFonts w:ascii="Times" w:hAnsi="Times" w:cs="Tahoma"/>
        </w:rPr>
        <w:t>, le standard est placé assez bas : ce n</w:t>
      </w:r>
      <w:r w:rsidR="00A52ACC">
        <w:rPr>
          <w:rStyle w:val="break-words"/>
          <w:rFonts w:ascii="Times" w:hAnsi="Times" w:cs="Tahoma"/>
        </w:rPr>
        <w:t>’</w:t>
      </w:r>
      <w:r w:rsidRPr="002E7FB3">
        <w:rPr>
          <w:rStyle w:val="break-words"/>
          <w:rFonts w:ascii="Times" w:hAnsi="Times" w:cs="Tahoma"/>
        </w:rPr>
        <w:t>est que parce que les requérants n</w:t>
      </w:r>
      <w:r w:rsidR="00A52ACC">
        <w:rPr>
          <w:rStyle w:val="break-words"/>
          <w:rFonts w:ascii="Times" w:hAnsi="Times" w:cs="Tahoma"/>
        </w:rPr>
        <w:t>’</w:t>
      </w:r>
      <w:r w:rsidRPr="002E7FB3">
        <w:rPr>
          <w:rStyle w:val="break-words"/>
          <w:rFonts w:ascii="Times" w:hAnsi="Times" w:cs="Tahoma"/>
        </w:rPr>
        <w:t>ont même pas disposé « au moins d</w:t>
      </w:r>
      <w:r w:rsidR="00A52ACC">
        <w:rPr>
          <w:rStyle w:val="break-words"/>
          <w:rFonts w:ascii="Times" w:hAnsi="Times" w:cs="Tahoma"/>
        </w:rPr>
        <w:t>’</w:t>
      </w:r>
      <w:r w:rsidRPr="002E7FB3">
        <w:rPr>
          <w:rStyle w:val="break-words"/>
          <w:rFonts w:ascii="Times" w:hAnsi="Times" w:cs="Tahoma"/>
        </w:rPr>
        <w:t>une possibilité réelle de présenter et de faire examiner au fond, par un tribunal, des éléments de preuve adéquats »</w:t>
      </w:r>
      <w:r w:rsidR="002E7FB3" w:rsidRPr="002E7FB3">
        <w:rPr>
          <w:rStyle w:val="Appelnotedebasdep"/>
          <w:rFonts w:ascii="Times" w:hAnsi="Times" w:cs="Tahoma"/>
        </w:rPr>
        <w:footnoteReference w:id="45"/>
      </w:r>
      <w:r w:rsidR="002E7FB3" w:rsidRPr="002E7FB3">
        <w:rPr>
          <w:rStyle w:val="break-words"/>
          <w:rFonts w:ascii="Times" w:hAnsi="Times" w:cs="Tahoma"/>
        </w:rPr>
        <w:t xml:space="preserve"> </w:t>
      </w:r>
      <w:r w:rsidRPr="002E7FB3">
        <w:rPr>
          <w:rStyle w:val="break-words"/>
          <w:rFonts w:ascii="Times" w:hAnsi="Times" w:cs="Tahoma"/>
        </w:rPr>
        <w:t>qu</w:t>
      </w:r>
      <w:r w:rsidR="00A52ACC">
        <w:rPr>
          <w:rStyle w:val="break-words"/>
          <w:rFonts w:ascii="Times" w:hAnsi="Times" w:cs="Tahoma"/>
        </w:rPr>
        <w:t>’</w:t>
      </w:r>
      <w:r w:rsidRPr="002E7FB3">
        <w:rPr>
          <w:rStyle w:val="break-words"/>
          <w:rFonts w:ascii="Times" w:hAnsi="Times" w:cs="Tahoma"/>
        </w:rPr>
        <w:t>une violation de l</w:t>
      </w:r>
      <w:r w:rsidR="00A52ACC">
        <w:rPr>
          <w:rStyle w:val="break-words"/>
          <w:rFonts w:ascii="Times" w:hAnsi="Times" w:cs="Tahoma"/>
        </w:rPr>
        <w:t>’</w:t>
      </w:r>
      <w:r w:rsidRPr="002E7FB3">
        <w:rPr>
          <w:rStyle w:val="break-words"/>
          <w:rFonts w:ascii="Times" w:hAnsi="Times" w:cs="Tahoma"/>
        </w:rPr>
        <w:t>article 6 de la Convention a été reconnue. Cette situation paraît, objectivement, difficilement transposable au sein d</w:t>
      </w:r>
      <w:r w:rsidR="00A52ACC">
        <w:rPr>
          <w:rStyle w:val="break-words"/>
          <w:rFonts w:ascii="Times" w:hAnsi="Times" w:cs="Tahoma"/>
        </w:rPr>
        <w:t>’</w:t>
      </w:r>
      <w:r w:rsidRPr="002E7FB3">
        <w:rPr>
          <w:rStyle w:val="break-words"/>
          <w:rFonts w:ascii="Times" w:hAnsi="Times" w:cs="Tahoma"/>
        </w:rPr>
        <w:t>un État membre de l</w:t>
      </w:r>
      <w:r w:rsidR="00A52ACC">
        <w:rPr>
          <w:rStyle w:val="break-words"/>
          <w:rFonts w:ascii="Times" w:hAnsi="Times" w:cs="Tahoma"/>
        </w:rPr>
        <w:t>’</w:t>
      </w:r>
      <w:r w:rsidRPr="002E7FB3">
        <w:rPr>
          <w:rStyle w:val="break-words"/>
          <w:rFonts w:ascii="Times" w:hAnsi="Times" w:cs="Tahoma"/>
        </w:rPr>
        <w:t xml:space="preserve">Union. </w:t>
      </w:r>
    </w:p>
    <w:p w14:paraId="64CFAF40" w14:textId="77777777" w:rsidR="002E7FB3" w:rsidRPr="002E7FB3" w:rsidRDefault="002E7FB3" w:rsidP="002E7FB3">
      <w:pPr>
        <w:pStyle w:val="NormalWeb"/>
        <w:numPr>
          <w:ilvl w:val="0"/>
          <w:numId w:val="0"/>
        </w:numPr>
        <w:spacing w:before="0" w:beforeAutospacing="0" w:after="0" w:afterAutospacing="0"/>
        <w:rPr>
          <w:rStyle w:val="break-words"/>
          <w:rFonts w:ascii="Times" w:hAnsi="Times" w:cs="Tahoma"/>
        </w:rPr>
      </w:pPr>
    </w:p>
    <w:p w14:paraId="5F353EB2" w14:textId="7FDE430C" w:rsidR="007B0CFA" w:rsidRDefault="002E7FB3" w:rsidP="002E7FB3">
      <w:pPr>
        <w:pStyle w:val="NormalWeb"/>
        <w:numPr>
          <w:ilvl w:val="0"/>
          <w:numId w:val="0"/>
        </w:numPr>
        <w:spacing w:before="0" w:beforeAutospacing="0" w:after="0" w:afterAutospacing="0"/>
        <w:rPr>
          <w:rStyle w:val="break-words"/>
          <w:rFonts w:ascii="Times" w:hAnsi="Times" w:cs="Tahoma"/>
        </w:rPr>
      </w:pPr>
      <w:r w:rsidRPr="002E7FB3">
        <w:rPr>
          <w:rStyle w:val="break-words"/>
          <w:rFonts w:ascii="Times" w:hAnsi="Times" w:cs="Tahoma"/>
        </w:rPr>
        <w:t>Il est</w:t>
      </w:r>
      <w:r w:rsidR="00E102D8">
        <w:rPr>
          <w:rStyle w:val="break-words"/>
          <w:rFonts w:ascii="Times" w:hAnsi="Times" w:cs="Tahoma"/>
        </w:rPr>
        <w:t xml:space="preserve"> en tout état de cause</w:t>
      </w:r>
      <w:r w:rsidRPr="002E7FB3">
        <w:rPr>
          <w:rStyle w:val="break-words"/>
          <w:rFonts w:ascii="Times" w:hAnsi="Times" w:cs="Tahoma"/>
        </w:rPr>
        <w:t xml:space="preserve"> douteux que l</w:t>
      </w:r>
      <w:r w:rsidR="00A52ACC">
        <w:rPr>
          <w:rStyle w:val="break-words"/>
          <w:rFonts w:ascii="Times" w:hAnsi="Times" w:cs="Tahoma"/>
        </w:rPr>
        <w:t>’</w:t>
      </w:r>
      <w:r w:rsidRPr="002E7FB3">
        <w:rPr>
          <w:rStyle w:val="break-words"/>
          <w:rFonts w:ascii="Times" w:hAnsi="Times" w:cs="Tahoma"/>
        </w:rPr>
        <w:t>investisseur en reste à ce qui s</w:t>
      </w:r>
      <w:r w:rsidR="00A52ACC">
        <w:rPr>
          <w:rStyle w:val="break-words"/>
          <w:rFonts w:ascii="Times" w:hAnsi="Times" w:cs="Tahoma"/>
        </w:rPr>
        <w:t>’</w:t>
      </w:r>
      <w:r w:rsidRPr="002E7FB3">
        <w:rPr>
          <w:rStyle w:val="break-words"/>
          <w:rFonts w:ascii="Times" w:hAnsi="Times" w:cs="Tahoma"/>
        </w:rPr>
        <w:t>apparente manifestement à un déni de justice...du fait de l</w:t>
      </w:r>
      <w:r w:rsidR="00A52ACC">
        <w:rPr>
          <w:rStyle w:val="break-words"/>
          <w:rFonts w:ascii="Times" w:hAnsi="Times" w:cs="Tahoma"/>
        </w:rPr>
        <w:t>’</w:t>
      </w:r>
      <w:r w:rsidRPr="002E7FB3">
        <w:rPr>
          <w:rStyle w:val="break-words"/>
          <w:rFonts w:ascii="Times" w:hAnsi="Times" w:cs="Tahoma"/>
        </w:rPr>
        <w:t>application du droit de l</w:t>
      </w:r>
      <w:r w:rsidR="00A52ACC">
        <w:rPr>
          <w:rStyle w:val="break-words"/>
          <w:rFonts w:ascii="Times" w:hAnsi="Times" w:cs="Tahoma"/>
        </w:rPr>
        <w:t>’</w:t>
      </w:r>
      <w:r w:rsidRPr="002E7FB3">
        <w:rPr>
          <w:rStyle w:val="break-words"/>
          <w:rFonts w:ascii="Times" w:hAnsi="Times" w:cs="Tahoma"/>
        </w:rPr>
        <w:t>Union. Il y a donc tout lieu de penser que PL Holdings tenter</w:t>
      </w:r>
      <w:r w:rsidR="00E102D8">
        <w:rPr>
          <w:rStyle w:val="break-words"/>
          <w:rFonts w:ascii="Times" w:hAnsi="Times" w:cs="Tahoma"/>
        </w:rPr>
        <w:t>a</w:t>
      </w:r>
      <w:r w:rsidRPr="002E7FB3">
        <w:rPr>
          <w:rStyle w:val="break-words"/>
          <w:rFonts w:ascii="Times" w:hAnsi="Times" w:cs="Tahoma"/>
        </w:rPr>
        <w:t xml:space="preserve"> d</w:t>
      </w:r>
      <w:r w:rsidR="00A52ACC">
        <w:rPr>
          <w:rStyle w:val="break-words"/>
          <w:rFonts w:ascii="Times" w:hAnsi="Times" w:cs="Tahoma"/>
        </w:rPr>
        <w:t>’</w:t>
      </w:r>
      <w:r w:rsidRPr="002E7FB3">
        <w:rPr>
          <w:rStyle w:val="break-words"/>
          <w:rFonts w:ascii="Times" w:hAnsi="Times" w:cs="Tahoma"/>
        </w:rPr>
        <w:t>obtenir réparation devant les juridictions polonaises – puisque la jurisprudence de la CJUE n</w:t>
      </w:r>
      <w:r w:rsidR="00A52ACC">
        <w:rPr>
          <w:rStyle w:val="break-words"/>
          <w:rFonts w:ascii="Times" w:hAnsi="Times" w:cs="Tahoma"/>
        </w:rPr>
        <w:t>’</w:t>
      </w:r>
      <w:r w:rsidRPr="002E7FB3">
        <w:rPr>
          <w:rStyle w:val="break-words"/>
          <w:rFonts w:ascii="Times" w:hAnsi="Times" w:cs="Tahoma"/>
        </w:rPr>
        <w:t>ouvre pas d</w:t>
      </w:r>
      <w:r w:rsidR="00A52ACC">
        <w:rPr>
          <w:rStyle w:val="break-words"/>
          <w:rFonts w:ascii="Times" w:hAnsi="Times" w:cs="Tahoma"/>
        </w:rPr>
        <w:t>’</w:t>
      </w:r>
      <w:r w:rsidRPr="002E7FB3">
        <w:rPr>
          <w:rStyle w:val="break-words"/>
          <w:rFonts w:ascii="Times" w:hAnsi="Times" w:cs="Tahoma"/>
        </w:rPr>
        <w:t>autres possibilités à ce stade. Il faut relever ici le caractère ironique de la situation : c</w:t>
      </w:r>
      <w:r w:rsidR="00A52ACC">
        <w:rPr>
          <w:rStyle w:val="break-words"/>
          <w:rFonts w:ascii="Times" w:hAnsi="Times" w:cs="Tahoma"/>
        </w:rPr>
        <w:t>’</w:t>
      </w:r>
      <w:r w:rsidRPr="002E7FB3">
        <w:rPr>
          <w:rStyle w:val="break-words"/>
          <w:rFonts w:ascii="Times" w:hAnsi="Times" w:cs="Tahoma"/>
        </w:rPr>
        <w:t xml:space="preserve">est précisément pour éviter les juridictions nationales </w:t>
      </w:r>
      <w:r w:rsidRPr="002E7FB3">
        <w:rPr>
          <w:rStyle w:val="break-words"/>
          <w:rFonts w:ascii="Times" w:hAnsi="Times" w:cs="Tahoma"/>
        </w:rPr>
        <w:lastRenderedPageBreak/>
        <w:t xml:space="preserve">suspectées de trop peu protéger les investisseurs étrangers que ces derniers font </w:t>
      </w:r>
      <w:r w:rsidR="00E102D8">
        <w:rPr>
          <w:rStyle w:val="break-words"/>
          <w:rFonts w:ascii="Times" w:hAnsi="Times" w:cs="Tahoma"/>
        </w:rPr>
        <w:t xml:space="preserve">habituellement </w:t>
      </w:r>
      <w:r w:rsidRPr="002E7FB3">
        <w:rPr>
          <w:rStyle w:val="break-words"/>
          <w:rFonts w:ascii="Times" w:hAnsi="Times" w:cs="Tahoma"/>
        </w:rPr>
        <w:t>appel à l</w:t>
      </w:r>
      <w:r w:rsidR="00A52ACC">
        <w:rPr>
          <w:rStyle w:val="break-words"/>
          <w:rFonts w:ascii="Times" w:hAnsi="Times" w:cs="Tahoma"/>
        </w:rPr>
        <w:t>’</w:t>
      </w:r>
      <w:r w:rsidRPr="002E7FB3">
        <w:rPr>
          <w:rStyle w:val="break-words"/>
          <w:rFonts w:ascii="Times" w:hAnsi="Times" w:cs="Tahoma"/>
        </w:rPr>
        <w:t>arbitrage d</w:t>
      </w:r>
      <w:r w:rsidR="00A52ACC">
        <w:rPr>
          <w:rStyle w:val="break-words"/>
          <w:rFonts w:ascii="Times" w:hAnsi="Times" w:cs="Tahoma"/>
        </w:rPr>
        <w:t>’</w:t>
      </w:r>
      <w:r w:rsidRPr="002E7FB3">
        <w:rPr>
          <w:rStyle w:val="break-words"/>
          <w:rFonts w:ascii="Times" w:hAnsi="Times" w:cs="Tahoma"/>
        </w:rPr>
        <w:t>investissements, le cas échéant hébergées par des institutions reconnues comme l</w:t>
      </w:r>
      <w:r w:rsidR="00A52ACC">
        <w:rPr>
          <w:rStyle w:val="break-words"/>
          <w:rFonts w:ascii="Times" w:hAnsi="Times" w:cs="Tahoma"/>
        </w:rPr>
        <w:t>’</w:t>
      </w:r>
      <w:r w:rsidRPr="002E7FB3">
        <w:rPr>
          <w:rStyle w:val="break-words"/>
          <w:rFonts w:ascii="Times" w:hAnsi="Times" w:cs="Tahoma"/>
        </w:rPr>
        <w:t>Institut d</w:t>
      </w:r>
      <w:r w:rsidR="00A52ACC">
        <w:rPr>
          <w:rStyle w:val="break-words"/>
          <w:rFonts w:ascii="Times" w:hAnsi="Times" w:cs="Tahoma"/>
        </w:rPr>
        <w:t>’</w:t>
      </w:r>
      <w:r w:rsidRPr="002E7FB3">
        <w:rPr>
          <w:rStyle w:val="break-words"/>
          <w:rFonts w:ascii="Times" w:hAnsi="Times" w:cs="Tahoma"/>
        </w:rPr>
        <w:t>arbitrage de Chambre de commerce de Stockholm. Si, comme il est possible de le présumer, la société demandeuse n</w:t>
      </w:r>
      <w:r w:rsidR="00A52ACC">
        <w:rPr>
          <w:rStyle w:val="break-words"/>
          <w:rFonts w:ascii="Times" w:hAnsi="Times" w:cs="Tahoma"/>
        </w:rPr>
        <w:t>’</w:t>
      </w:r>
      <w:r w:rsidRPr="002E7FB3">
        <w:rPr>
          <w:rStyle w:val="break-words"/>
          <w:rFonts w:ascii="Times" w:hAnsi="Times" w:cs="Tahoma"/>
        </w:rPr>
        <w:t>obtient pas totalement réparation pour l</w:t>
      </w:r>
      <w:r w:rsidR="00A52ACC">
        <w:rPr>
          <w:rStyle w:val="break-words"/>
          <w:rFonts w:ascii="Times" w:hAnsi="Times" w:cs="Tahoma"/>
        </w:rPr>
        <w:t>’</w:t>
      </w:r>
      <w:r w:rsidRPr="002E7FB3">
        <w:rPr>
          <w:rStyle w:val="break-words"/>
          <w:rFonts w:ascii="Times" w:hAnsi="Times" w:cs="Tahoma"/>
        </w:rPr>
        <w:t>expropriation dont elle a été victime devant les juridictions polonaises, elle devra alors se tourner vers les voies de recours qui lui restent. Celles-ci sont peu nombreuses, et résident essentiellement…dans la CEDH.</w:t>
      </w:r>
      <w:r w:rsidR="00E102D8">
        <w:rPr>
          <w:rStyle w:val="break-words"/>
          <w:rFonts w:ascii="Times" w:hAnsi="Times" w:cs="Tahoma"/>
        </w:rPr>
        <w:t xml:space="preserve"> En effet, l</w:t>
      </w:r>
      <w:r w:rsidRPr="002E7FB3">
        <w:rPr>
          <w:rStyle w:val="break-words"/>
          <w:rFonts w:ascii="Times" w:hAnsi="Times" w:cs="Tahoma"/>
        </w:rPr>
        <w:t>a Cour de Strasbourg pourrait être saisie par un investisseur déçu et placé en position de déni de justice. Mais là encore, il n</w:t>
      </w:r>
      <w:r w:rsidR="00A52ACC">
        <w:rPr>
          <w:rStyle w:val="break-words"/>
          <w:rFonts w:ascii="Times" w:hAnsi="Times" w:cs="Tahoma"/>
        </w:rPr>
        <w:t>’</w:t>
      </w:r>
      <w:r w:rsidRPr="002E7FB3">
        <w:rPr>
          <w:rStyle w:val="break-words"/>
          <w:rFonts w:ascii="Times" w:hAnsi="Times" w:cs="Tahoma"/>
        </w:rPr>
        <w:t>est pas certain que la CEDH se positionne à l</w:t>
      </w:r>
      <w:r w:rsidR="00A52ACC">
        <w:rPr>
          <w:rStyle w:val="break-words"/>
          <w:rFonts w:ascii="Times" w:hAnsi="Times" w:cs="Tahoma"/>
        </w:rPr>
        <w:t>’</w:t>
      </w:r>
      <w:r w:rsidRPr="002E7FB3">
        <w:rPr>
          <w:rStyle w:val="break-words"/>
          <w:rFonts w:ascii="Times" w:hAnsi="Times" w:cs="Tahoma"/>
        </w:rPr>
        <w:t>encontre de la jurisprudence de la Cour de justice pour condamner un État dont les juridictions, saisies en application du droit de l</w:t>
      </w:r>
      <w:r w:rsidR="00A52ACC">
        <w:rPr>
          <w:rStyle w:val="break-words"/>
          <w:rFonts w:ascii="Times" w:hAnsi="Times" w:cs="Tahoma"/>
        </w:rPr>
        <w:t>’</w:t>
      </w:r>
      <w:r w:rsidRPr="002E7FB3">
        <w:rPr>
          <w:rStyle w:val="break-words"/>
          <w:rFonts w:ascii="Times" w:hAnsi="Times" w:cs="Tahoma"/>
        </w:rPr>
        <w:t xml:space="preserve">Union, ne proposeraient pas un niveau de garantie des droits </w:t>
      </w:r>
      <w:proofErr w:type="gramStart"/>
      <w:r w:rsidRPr="002E7FB3">
        <w:rPr>
          <w:rStyle w:val="break-words"/>
          <w:rFonts w:ascii="Times" w:hAnsi="Times" w:cs="Tahoma"/>
        </w:rPr>
        <w:t>des investisseurs jugé</w:t>
      </w:r>
      <w:proofErr w:type="gramEnd"/>
      <w:r w:rsidRPr="002E7FB3">
        <w:rPr>
          <w:rStyle w:val="break-words"/>
          <w:rFonts w:ascii="Times" w:hAnsi="Times" w:cs="Tahoma"/>
        </w:rPr>
        <w:t xml:space="preserve"> satisfaisant.</w:t>
      </w:r>
    </w:p>
    <w:p w14:paraId="5DD71FAC" w14:textId="6B669D58" w:rsidR="00E102D8" w:rsidRDefault="00E102D8" w:rsidP="002E7FB3">
      <w:pPr>
        <w:pStyle w:val="NormalWeb"/>
        <w:numPr>
          <w:ilvl w:val="0"/>
          <w:numId w:val="0"/>
        </w:numPr>
        <w:spacing w:before="0" w:beforeAutospacing="0" w:after="0" w:afterAutospacing="0"/>
        <w:rPr>
          <w:rStyle w:val="break-words"/>
          <w:rFonts w:ascii="Times" w:hAnsi="Times" w:cs="Tahoma"/>
        </w:rPr>
      </w:pPr>
    </w:p>
    <w:p w14:paraId="29B48A85" w14:textId="1ED04135" w:rsidR="003F59D4" w:rsidRPr="002E7FB3" w:rsidRDefault="00E102D8" w:rsidP="00E102D8">
      <w:pPr>
        <w:pStyle w:val="NormalWeb"/>
        <w:numPr>
          <w:ilvl w:val="0"/>
          <w:numId w:val="0"/>
        </w:numPr>
        <w:spacing w:before="0" w:beforeAutospacing="0" w:after="0" w:afterAutospacing="0"/>
        <w:rPr>
          <w:rFonts w:ascii="Times" w:hAnsi="Times" w:cs="Tahoma"/>
        </w:rPr>
      </w:pPr>
      <w:r>
        <w:rPr>
          <w:rStyle w:val="break-words"/>
          <w:rFonts w:ascii="Times" w:hAnsi="Times" w:cs="Tahoma"/>
        </w:rPr>
        <w:t>Il est, toutefois, difficile de prédire l</w:t>
      </w:r>
      <w:r w:rsidR="00A52ACC">
        <w:rPr>
          <w:rStyle w:val="break-words"/>
          <w:rFonts w:ascii="Times" w:hAnsi="Times" w:cs="Tahoma"/>
        </w:rPr>
        <w:t>’</w:t>
      </w:r>
      <w:r>
        <w:rPr>
          <w:rStyle w:val="break-words"/>
          <w:rFonts w:ascii="Times" w:hAnsi="Times" w:cs="Tahoma"/>
        </w:rPr>
        <w:t>avenir contentieux et l</w:t>
      </w:r>
      <w:r w:rsidR="00A52ACC">
        <w:rPr>
          <w:rStyle w:val="break-words"/>
          <w:rFonts w:ascii="Times" w:hAnsi="Times" w:cs="Tahoma"/>
        </w:rPr>
        <w:t>’</w:t>
      </w:r>
      <w:r>
        <w:rPr>
          <w:rStyle w:val="break-words"/>
          <w:rFonts w:ascii="Times" w:hAnsi="Times" w:cs="Tahoma"/>
        </w:rPr>
        <w:t>existence-même de l</w:t>
      </w:r>
      <w:r w:rsidR="00A52ACC">
        <w:rPr>
          <w:rStyle w:val="break-words"/>
          <w:rFonts w:ascii="Times" w:hAnsi="Times" w:cs="Tahoma"/>
        </w:rPr>
        <w:t>’</w:t>
      </w:r>
      <w:r>
        <w:rPr>
          <w:rStyle w:val="break-words"/>
          <w:rFonts w:ascii="Times" w:hAnsi="Times" w:cs="Tahoma"/>
        </w:rPr>
        <w:t xml:space="preserve">arrêt </w:t>
      </w:r>
      <w:proofErr w:type="spellStart"/>
      <w:r>
        <w:rPr>
          <w:rStyle w:val="break-words"/>
          <w:rFonts w:ascii="Times" w:hAnsi="Times" w:cs="Tahoma"/>
          <w:i/>
          <w:iCs/>
        </w:rPr>
        <w:t>Achmea</w:t>
      </w:r>
      <w:proofErr w:type="spellEnd"/>
      <w:r>
        <w:rPr>
          <w:rStyle w:val="break-words"/>
          <w:rFonts w:ascii="Times" w:hAnsi="Times" w:cs="Tahoma"/>
        </w:rPr>
        <w:t xml:space="preserve"> montre que les lignes peuvent bouger, de manière occasionnellement imprévisible. </w:t>
      </w:r>
      <w:r w:rsidR="003556AC" w:rsidRPr="002E7FB3">
        <w:rPr>
          <w:rFonts w:ascii="Times" w:hAnsi="Times" w:cs="Tahoma"/>
        </w:rPr>
        <w:t>D</w:t>
      </w:r>
      <w:r w:rsidR="00A52ACC">
        <w:rPr>
          <w:rFonts w:ascii="Times" w:hAnsi="Times" w:cs="Tahoma"/>
        </w:rPr>
        <w:t>’</w:t>
      </w:r>
      <w:r w:rsidR="003556AC" w:rsidRPr="002E7FB3">
        <w:rPr>
          <w:rFonts w:ascii="Times" w:hAnsi="Times" w:cs="Tahoma"/>
        </w:rPr>
        <w:t>autres questions d</w:t>
      </w:r>
      <w:r w:rsidR="00A52ACC">
        <w:rPr>
          <w:rFonts w:ascii="Times" w:hAnsi="Times" w:cs="Tahoma"/>
        </w:rPr>
        <w:t>’</w:t>
      </w:r>
      <w:r w:rsidR="003556AC" w:rsidRPr="002E7FB3">
        <w:rPr>
          <w:rFonts w:ascii="Times" w:hAnsi="Times" w:cs="Tahoma"/>
        </w:rPr>
        <w:t xml:space="preserve">articulations contentieuses se poseront </w:t>
      </w:r>
      <w:r>
        <w:rPr>
          <w:rFonts w:ascii="Times" w:hAnsi="Times" w:cs="Tahoma"/>
        </w:rPr>
        <w:t xml:space="preserve">très certainement </w:t>
      </w:r>
      <w:r w:rsidR="003556AC" w:rsidRPr="002E7FB3">
        <w:rPr>
          <w:rFonts w:ascii="Times" w:hAnsi="Times" w:cs="Tahoma"/>
        </w:rPr>
        <w:t>à l</w:t>
      </w:r>
      <w:r w:rsidR="00A52ACC">
        <w:rPr>
          <w:rFonts w:ascii="Times" w:hAnsi="Times" w:cs="Tahoma"/>
        </w:rPr>
        <w:t>’</w:t>
      </w:r>
      <w:r w:rsidR="003556AC" w:rsidRPr="002E7FB3">
        <w:rPr>
          <w:rFonts w:ascii="Times" w:hAnsi="Times" w:cs="Tahoma"/>
        </w:rPr>
        <w:t>avenir</w:t>
      </w:r>
      <w:r>
        <w:rPr>
          <w:rFonts w:ascii="Times" w:hAnsi="Times" w:cs="Tahoma"/>
        </w:rPr>
        <w:t xml:space="preserve"> ; </w:t>
      </w:r>
      <w:r w:rsidR="003556AC" w:rsidRPr="002E7FB3">
        <w:rPr>
          <w:rFonts w:ascii="Times" w:hAnsi="Times" w:cs="Tahoma"/>
        </w:rPr>
        <w:t>les négociations en vue d</w:t>
      </w:r>
      <w:r w:rsidR="00A52ACC">
        <w:rPr>
          <w:rFonts w:ascii="Times" w:hAnsi="Times" w:cs="Tahoma"/>
        </w:rPr>
        <w:t>’</w:t>
      </w:r>
      <w:r w:rsidR="003556AC" w:rsidRPr="002E7FB3">
        <w:rPr>
          <w:rFonts w:ascii="Times" w:hAnsi="Times" w:cs="Tahoma"/>
        </w:rPr>
        <w:t>une future Cour mondiale d</w:t>
      </w:r>
      <w:r w:rsidR="00A52ACC">
        <w:rPr>
          <w:rFonts w:ascii="Times" w:hAnsi="Times" w:cs="Tahoma"/>
        </w:rPr>
        <w:t>’</w:t>
      </w:r>
      <w:r w:rsidR="003556AC" w:rsidRPr="002E7FB3">
        <w:rPr>
          <w:rFonts w:ascii="Times" w:hAnsi="Times" w:cs="Tahoma"/>
        </w:rPr>
        <w:t>investissements</w:t>
      </w:r>
      <w:r w:rsidR="003556AC" w:rsidRPr="002E7FB3">
        <w:rPr>
          <w:rStyle w:val="Appelnotedebasdep"/>
          <w:rFonts w:ascii="Times" w:hAnsi="Times" w:cs="Tahoma"/>
        </w:rPr>
        <w:footnoteReference w:id="46"/>
      </w:r>
      <w:r>
        <w:rPr>
          <w:rFonts w:ascii="Times" w:hAnsi="Times" w:cs="Tahoma"/>
        </w:rPr>
        <w:t>, notamment,</w:t>
      </w:r>
      <w:r w:rsidR="003556AC" w:rsidRPr="002E7FB3">
        <w:rPr>
          <w:rFonts w:ascii="Times" w:hAnsi="Times" w:cs="Tahoma"/>
        </w:rPr>
        <w:t xml:space="preserve"> ne sont pas sans soulever des interrogations quant à ses relations avec la CJUE comme avec la CEDH. </w:t>
      </w:r>
      <w:r>
        <w:rPr>
          <w:rFonts w:ascii="Times" w:hAnsi="Times" w:cs="Tahoma"/>
        </w:rPr>
        <w:t xml:space="preserve">Cinq ans après </w:t>
      </w:r>
      <w:proofErr w:type="spellStart"/>
      <w:r>
        <w:rPr>
          <w:rFonts w:ascii="Times" w:hAnsi="Times" w:cs="Tahoma"/>
          <w:i/>
          <w:iCs/>
        </w:rPr>
        <w:t>Achmea</w:t>
      </w:r>
      <w:proofErr w:type="spellEnd"/>
      <w:r>
        <w:rPr>
          <w:rFonts w:ascii="Times" w:hAnsi="Times" w:cs="Tahoma"/>
        </w:rPr>
        <w:t>, le bilan est donc toujours en cours d</w:t>
      </w:r>
      <w:r w:rsidR="00A52ACC">
        <w:rPr>
          <w:rFonts w:ascii="Times" w:hAnsi="Times" w:cs="Tahoma"/>
        </w:rPr>
        <w:t>’</w:t>
      </w:r>
      <w:r>
        <w:rPr>
          <w:rFonts w:ascii="Times" w:hAnsi="Times" w:cs="Tahoma"/>
        </w:rPr>
        <w:t>élaboration : la</w:t>
      </w:r>
      <w:r w:rsidR="003556AC" w:rsidRPr="002E7FB3">
        <w:rPr>
          <w:rFonts w:ascii="Times" w:hAnsi="Times" w:cs="Tahoma"/>
        </w:rPr>
        <w:t xml:space="preserve"> seule certitude</w:t>
      </w:r>
      <w:r w:rsidR="00461071" w:rsidRPr="002E7FB3">
        <w:rPr>
          <w:rFonts w:ascii="Times" w:hAnsi="Times" w:cs="Tahoma"/>
        </w:rPr>
        <w:t xml:space="preserve"> </w:t>
      </w:r>
      <w:r w:rsidR="003556AC" w:rsidRPr="002E7FB3">
        <w:rPr>
          <w:rFonts w:ascii="Times" w:hAnsi="Times" w:cs="Tahoma"/>
        </w:rPr>
        <w:t>demeure</w:t>
      </w:r>
      <w:r>
        <w:rPr>
          <w:rFonts w:ascii="Times" w:hAnsi="Times" w:cs="Tahoma"/>
        </w:rPr>
        <w:t xml:space="preserve"> </w:t>
      </w:r>
      <w:r w:rsidR="003556AC" w:rsidRPr="002E7FB3">
        <w:rPr>
          <w:rFonts w:ascii="Times" w:hAnsi="Times" w:cs="Tahoma"/>
        </w:rPr>
        <w:t>que le droit européen des investissements a de beaux jours devant lui.</w:t>
      </w:r>
    </w:p>
    <w:p w14:paraId="7016A1D3" w14:textId="77777777" w:rsidR="0036719B" w:rsidRPr="002E7FB3" w:rsidRDefault="0036719B" w:rsidP="002E7FB3">
      <w:pPr>
        <w:numPr>
          <w:ilvl w:val="0"/>
          <w:numId w:val="0"/>
        </w:numPr>
        <w:spacing w:line="240" w:lineRule="auto"/>
        <w:jc w:val="left"/>
        <w:rPr>
          <w:rFonts w:ascii="Times" w:hAnsi="Times" w:cs="Tahoma"/>
          <w:szCs w:val="24"/>
        </w:rPr>
      </w:pPr>
    </w:p>
    <w:p w14:paraId="62A4CFA6" w14:textId="77777777" w:rsidR="0079649C" w:rsidRPr="002E7FB3" w:rsidRDefault="00192114" w:rsidP="002E7FB3">
      <w:pPr>
        <w:numPr>
          <w:ilvl w:val="0"/>
          <w:numId w:val="0"/>
        </w:numPr>
        <w:spacing w:line="240" w:lineRule="auto"/>
        <w:rPr>
          <w:rFonts w:ascii="Times" w:eastAsia="Times New Roman" w:hAnsi="Times" w:cs="Tahoma"/>
          <w:szCs w:val="24"/>
          <w:lang w:eastAsia="fr-FR"/>
        </w:rPr>
      </w:pPr>
      <w:r w:rsidRPr="002E7FB3">
        <w:rPr>
          <w:rFonts w:ascii="Times" w:eastAsia="Times New Roman" w:hAnsi="Times" w:cs="Tahoma"/>
          <w:szCs w:val="24"/>
          <w:lang w:eastAsia="fr-FR"/>
        </w:rPr>
        <w:t xml:space="preserve"> </w:t>
      </w:r>
    </w:p>
    <w:sectPr w:rsidR="0079649C" w:rsidRPr="002E7FB3" w:rsidSect="009E315C">
      <w:headerReference w:type="default" r:id="rId8"/>
      <w:type w:val="oddPag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2364A" w14:textId="77777777" w:rsidR="00F87016" w:rsidRDefault="00F87016" w:rsidP="00570C10">
      <w:pPr>
        <w:spacing w:line="240" w:lineRule="auto"/>
      </w:pPr>
      <w:r>
        <w:separator/>
      </w:r>
    </w:p>
  </w:endnote>
  <w:endnote w:type="continuationSeparator" w:id="0">
    <w:p w14:paraId="4E06A251" w14:textId="77777777" w:rsidR="00F87016" w:rsidRDefault="00F87016" w:rsidP="00570C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sig w:usb0="E0000AFF" w:usb1="500078FF" w:usb2="00000021" w:usb3="00000000" w:csb0="000001BF" w:csb1="00000000"/>
  </w:font>
  <w:font w:name="Droid Sans Fallback">
    <w:panose1 w:val="020B0604020202020204"/>
    <w:charset w:val="00"/>
    <w:family w:val="auto"/>
    <w:pitch w:val="variable"/>
  </w:font>
  <w:font w:name="FreeSans">
    <w:altName w:val="Calibri"/>
    <w:panose1 w:val="020B0604020202020204"/>
    <w:charset w:val="00"/>
    <w:family w:val="roman"/>
    <w:notTrueType/>
    <w:pitch w:val="default"/>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Calibri (Corps)">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2867F" w14:textId="77777777" w:rsidR="00F87016" w:rsidRDefault="00F87016" w:rsidP="00F5032B">
      <w:pPr>
        <w:numPr>
          <w:ilvl w:val="0"/>
          <w:numId w:val="0"/>
        </w:numPr>
        <w:spacing w:line="240" w:lineRule="auto"/>
      </w:pPr>
      <w:r>
        <w:separator/>
      </w:r>
    </w:p>
  </w:footnote>
  <w:footnote w:type="continuationSeparator" w:id="0">
    <w:p w14:paraId="45A7D5FD" w14:textId="77777777" w:rsidR="00F87016" w:rsidRDefault="00F87016" w:rsidP="00570C10">
      <w:pPr>
        <w:spacing w:line="240" w:lineRule="auto"/>
      </w:pPr>
      <w:r>
        <w:continuationSeparator/>
      </w:r>
    </w:p>
  </w:footnote>
  <w:footnote w:id="1">
    <w:p w14:paraId="58B8F596" w14:textId="5E2C1F93" w:rsidR="0079649C" w:rsidRPr="00BE1489" w:rsidRDefault="0079649C" w:rsidP="0079649C">
      <w:pPr>
        <w:pStyle w:val="Notedebasdepage"/>
      </w:pPr>
      <w:r w:rsidRPr="00BE1489">
        <w:rPr>
          <w:rStyle w:val="Appelnotedebasdep"/>
        </w:rPr>
        <w:footnoteRef/>
      </w:r>
      <w:r w:rsidRPr="00BE1489">
        <w:t xml:space="preserve"> Maître de conférences en droit public à l</w:t>
      </w:r>
      <w:r w:rsidR="00A52ACC">
        <w:t>’</w:t>
      </w:r>
      <w:r w:rsidRPr="00BE1489">
        <w:t>Université de Bourgogne, CREDIMI (EA 7532)</w:t>
      </w:r>
      <w:r>
        <w:t>,</w:t>
      </w:r>
      <w:r w:rsidRPr="00BE1489">
        <w:t xml:space="preserve"> CEDIN (EA 382)</w:t>
      </w:r>
      <w:r>
        <w:t xml:space="preserve"> et CMH (EA 4232). </w:t>
      </w:r>
    </w:p>
  </w:footnote>
  <w:footnote w:id="2">
    <w:p w14:paraId="07FABE93" w14:textId="7D29548A" w:rsidR="00561EF6" w:rsidRDefault="00561EF6">
      <w:pPr>
        <w:pStyle w:val="Notedebasdepage"/>
      </w:pPr>
      <w:r>
        <w:rPr>
          <w:rStyle w:val="Appelnotedebasdep"/>
        </w:rPr>
        <w:footnoteRef/>
      </w:r>
      <w:r w:rsidR="00AB40DC">
        <w:t> </w:t>
      </w:r>
      <w:r>
        <w:fldChar w:fldCharType="begin"/>
      </w:r>
      <w:r w:rsidR="00F44D87">
        <w:instrText xml:space="preserve"> ADDIN ZOTERO_ITEM CSL_CITATION {"citationID":"mcOS89vm","properties":{"formattedCitation":"CJUE, Gde Ch., 6 mars 2018, Slowakische Republik contre Achmea BV,, Affaire C-284/16, ECLI:EU:C:2018:158., {\\i{}Achmea}.","plainCitation":"CJUE, Gde Ch., 6 mars 2018, Slowakische Republik contre Achmea BV,, Affaire C-284/16, ECLI:EU:C:2018:158., Achmea.","dontUpdate":true,"noteIndex":2},"citationItems":[{"id":3664,"uris":["http://zotero.org/users/10892933/items/UX5MS4DX"],"itemData":{"id":3664,"type":"legal_case","authority":"CJUE, Gde Ch., 6 mars 2018, Slowakische Republik contre Achmea BV, Affaire C-284/16, ECLI:EU:C:2018:158.","title":"CJUE, Gde Ch., 6 mars 2018, Slowakische Republik contre Achmea BV, Affaire C-284/16, ECLI:EU:C:2018:158.","title-short":"Achmea","URL":"https://curia.europa.eu/juris/document/document.jsf;jsessionid=0DF000F450EBC4D745971FBB03AE2930?text=&amp;docid=199968&amp;pageIndex=0&amp;doclang=fr&amp;mode=req&amp;dir=&amp;occ=first&amp;part=1&amp;cid=4339966"}}],"schema":"https://github.com/citation-style-language/schema/raw/master/csl-citation.json"} </w:instrText>
      </w:r>
      <w:r>
        <w:fldChar w:fldCharType="separate"/>
      </w:r>
      <w:r w:rsidR="00AB40DC" w:rsidRPr="00AB40DC">
        <w:rPr>
          <w:rFonts w:cs="Times New Roman"/>
        </w:rPr>
        <w:t>CJUE, Gde Ch., 6 mars 2018,</w:t>
      </w:r>
      <w:r w:rsidR="00AB40DC" w:rsidRPr="00AB40DC">
        <w:rPr>
          <w:rFonts w:cs="Times New Roman"/>
          <w:i/>
          <w:iCs/>
        </w:rPr>
        <w:t xml:space="preserve"> </w:t>
      </w:r>
      <w:proofErr w:type="spellStart"/>
      <w:r w:rsidR="00AB40DC" w:rsidRPr="00AB40DC">
        <w:rPr>
          <w:rFonts w:cs="Times New Roman"/>
          <w:i/>
          <w:iCs/>
        </w:rPr>
        <w:t>Slowakische</w:t>
      </w:r>
      <w:proofErr w:type="spellEnd"/>
      <w:r w:rsidR="00AB40DC" w:rsidRPr="00AB40DC">
        <w:rPr>
          <w:rFonts w:cs="Times New Roman"/>
          <w:i/>
          <w:iCs/>
        </w:rPr>
        <w:t xml:space="preserve"> </w:t>
      </w:r>
      <w:proofErr w:type="spellStart"/>
      <w:r w:rsidR="00AB40DC" w:rsidRPr="00AB40DC">
        <w:rPr>
          <w:rFonts w:cs="Times New Roman"/>
          <w:i/>
          <w:iCs/>
        </w:rPr>
        <w:t>Republik</w:t>
      </w:r>
      <w:proofErr w:type="spellEnd"/>
      <w:r w:rsidR="00AB40DC" w:rsidRPr="00AB40DC">
        <w:rPr>
          <w:rFonts w:cs="Times New Roman"/>
          <w:i/>
          <w:iCs/>
        </w:rPr>
        <w:t xml:space="preserve"> contre </w:t>
      </w:r>
      <w:proofErr w:type="spellStart"/>
      <w:r w:rsidR="00AB40DC" w:rsidRPr="00AB40DC">
        <w:rPr>
          <w:rFonts w:cs="Times New Roman"/>
          <w:i/>
          <w:iCs/>
        </w:rPr>
        <w:t>Achmea</w:t>
      </w:r>
      <w:proofErr w:type="spellEnd"/>
      <w:r w:rsidR="00AB40DC" w:rsidRPr="00AB40DC">
        <w:rPr>
          <w:rFonts w:cs="Times New Roman"/>
          <w:i/>
          <w:iCs/>
        </w:rPr>
        <w:t xml:space="preserve"> BV</w:t>
      </w:r>
      <w:r w:rsidR="00AB40DC">
        <w:rPr>
          <w:rFonts w:cs="Times New Roman"/>
        </w:rPr>
        <w:t>,</w:t>
      </w:r>
      <w:r w:rsidR="00AB40DC" w:rsidRPr="00AB40DC">
        <w:rPr>
          <w:rFonts w:cs="Times New Roman"/>
        </w:rPr>
        <w:t xml:space="preserve"> Affaire C-284/16, </w:t>
      </w:r>
      <w:proofErr w:type="gramStart"/>
      <w:r w:rsidR="00AB40DC" w:rsidRPr="00AB40DC">
        <w:rPr>
          <w:rFonts w:cs="Times New Roman"/>
        </w:rPr>
        <w:t>ECLI:</w:t>
      </w:r>
      <w:proofErr w:type="gramEnd"/>
      <w:r w:rsidR="00AB40DC" w:rsidRPr="00AB40DC">
        <w:rPr>
          <w:rFonts w:cs="Times New Roman"/>
        </w:rPr>
        <w:t>EU:C:2018:158.</w:t>
      </w:r>
      <w:r>
        <w:fldChar w:fldCharType="end"/>
      </w:r>
    </w:p>
  </w:footnote>
  <w:footnote w:id="3">
    <w:p w14:paraId="7C27C14A" w14:textId="49056C51" w:rsidR="00561EF6" w:rsidRDefault="00561EF6">
      <w:pPr>
        <w:pStyle w:val="Notedebasdepage"/>
      </w:pPr>
      <w:r>
        <w:rPr>
          <w:rStyle w:val="Appelnotedebasdep"/>
        </w:rPr>
        <w:footnoteRef/>
      </w:r>
      <w:r>
        <w:t xml:space="preserve"> Pour un aperçu historique, voir par exemple les propos de A. DE </w:t>
      </w:r>
      <w:r>
        <w:fldChar w:fldCharType="begin"/>
      </w:r>
      <w:r>
        <w:instrText xml:space="preserve"> ADDIN ZOTERO_ITEM CSL_CITATION {"citationID":"s7js3EnS","properties":{"formattedCitation":"NANTEUIL Arnaud de, {\\i{}Droit international de l\\uc0\\u8217{}investissement}, \\uc0\\u201{}ditions A. Pedone, 2020.","plainCitation":"NANTEUIL Arnaud de, Droit international de l’investissement, Éditions A. Pedone, 2020.","noteIndex":2},"citationItems":[{"id":3663,"uris":["http://zotero.org/users/10892933/items/MRMUVDX5"],"itemData":{"id":3663,"type":"book","abstract":"Ce manuel, le seul en langue française entend présenter le droit international de l'investissement de manière globale et synthétique. Abordant la question des sources (internes et internationales), des acteurs (l'investisseur et l'État), du contentieux arbitral (dans ses aspects institutionnels et procéduraux) des règles substantielles de protection (traitement juste et équitable, protection contre l'expropriation, etc.) ainsi que celle de l'articulation entre le droit de l'investissement et d'autres disciplines (droits de l'homme, droit de l'environnement, droit de l'Union européenne) il se veut simple et accessible. Relativement bref pour demeurer abordable, ce livre s'adresse donc en priorité aux étudiants et jeunes chercheurs que la matière serait susceptible d'intéresser, mais aussi aux praticiens – de plus en plus nombreux – confrontés à la discipline dans le cadre de leur activité","call-number":"346.092","collection-title":"EI","edition":"3e éd","event-place":"Paris","ISBN":"978-2-233-00937-1","language":"fre","number-of-pages":"564","publisher":"Éditions A. Pedone","publisher-place":"Paris","source":"BnF ISBN","title":"Droit international de l'investissement","author":[{"family":"Nanteuil","given":"Arnaud","dropping-particle":"de"}],"issued":{"date-parts":[["2020"]]}}}],"schema":"https://github.com/citation-style-language/schema/raw/master/csl-citation.json"} </w:instrText>
      </w:r>
      <w:r>
        <w:fldChar w:fldCharType="separate"/>
      </w:r>
      <w:r w:rsidRPr="00561EF6">
        <w:rPr>
          <w:rFonts w:cs="Times New Roman"/>
        </w:rPr>
        <w:t>NANTEUIL</w:t>
      </w:r>
      <w:r>
        <w:rPr>
          <w:rFonts w:cs="Times New Roman"/>
        </w:rPr>
        <w:t>,</w:t>
      </w:r>
      <w:r w:rsidRPr="00561EF6">
        <w:rPr>
          <w:rFonts w:cs="Times New Roman"/>
        </w:rPr>
        <w:t xml:space="preserve"> </w:t>
      </w:r>
      <w:r w:rsidRPr="00561EF6">
        <w:rPr>
          <w:rFonts w:cs="Times New Roman"/>
          <w:i/>
          <w:iCs/>
        </w:rPr>
        <w:t>Droit international de l</w:t>
      </w:r>
      <w:r w:rsidR="00A52ACC">
        <w:rPr>
          <w:rFonts w:cs="Times New Roman"/>
          <w:i/>
          <w:iCs/>
        </w:rPr>
        <w:t>’</w:t>
      </w:r>
      <w:r w:rsidRPr="00561EF6">
        <w:rPr>
          <w:rFonts w:cs="Times New Roman"/>
          <w:i/>
          <w:iCs/>
        </w:rPr>
        <w:t>investissement</w:t>
      </w:r>
      <w:r w:rsidRPr="00561EF6">
        <w:rPr>
          <w:rFonts w:cs="Times New Roman"/>
        </w:rPr>
        <w:t>,</w:t>
      </w:r>
      <w:r>
        <w:rPr>
          <w:rFonts w:cs="Times New Roman"/>
        </w:rPr>
        <w:t xml:space="preserve"> 3</w:t>
      </w:r>
      <w:r w:rsidRPr="00561EF6">
        <w:rPr>
          <w:rFonts w:cs="Times New Roman"/>
          <w:vertAlign w:val="superscript"/>
        </w:rPr>
        <w:t>ème</w:t>
      </w:r>
      <w:r>
        <w:rPr>
          <w:rFonts w:cs="Times New Roman"/>
        </w:rPr>
        <w:t xml:space="preserve"> </w:t>
      </w:r>
      <w:proofErr w:type="spellStart"/>
      <w:r>
        <w:rPr>
          <w:rFonts w:cs="Times New Roman"/>
        </w:rPr>
        <w:t>ed</w:t>
      </w:r>
      <w:proofErr w:type="spellEnd"/>
      <w:r>
        <w:rPr>
          <w:rFonts w:cs="Times New Roman"/>
        </w:rPr>
        <w:t>.,</w:t>
      </w:r>
      <w:r w:rsidRPr="00561EF6">
        <w:rPr>
          <w:rFonts w:cs="Times New Roman"/>
        </w:rPr>
        <w:t xml:space="preserve"> </w:t>
      </w:r>
      <w:proofErr w:type="spellStart"/>
      <w:r w:rsidRPr="00561EF6">
        <w:rPr>
          <w:rFonts w:cs="Times New Roman"/>
        </w:rPr>
        <w:t>Pedone</w:t>
      </w:r>
      <w:proofErr w:type="spellEnd"/>
      <w:r w:rsidRPr="00561EF6">
        <w:rPr>
          <w:rFonts w:cs="Times New Roman"/>
        </w:rPr>
        <w:t>, 2020</w:t>
      </w:r>
      <w:r>
        <w:rPr>
          <w:rFonts w:cs="Times New Roman"/>
        </w:rPr>
        <w:t>, 564 p</w:t>
      </w:r>
      <w:r w:rsidRPr="00561EF6">
        <w:rPr>
          <w:rFonts w:cs="Times New Roman"/>
        </w:rPr>
        <w:t>.</w:t>
      </w:r>
      <w:r>
        <w:fldChar w:fldCharType="end"/>
      </w:r>
    </w:p>
  </w:footnote>
  <w:footnote w:id="4">
    <w:p w14:paraId="5B6ED4F2" w14:textId="12B4A157" w:rsidR="00784346" w:rsidRDefault="00784346">
      <w:pPr>
        <w:pStyle w:val="Notedebasdepage"/>
      </w:pPr>
      <w:r>
        <w:rPr>
          <w:rStyle w:val="Appelnotedebasdep"/>
        </w:rPr>
        <w:footnoteRef/>
      </w:r>
      <w:r>
        <w:t xml:space="preserve"> V. par exemple sur ce thème R. </w:t>
      </w:r>
      <w:r>
        <w:fldChar w:fldCharType="begin"/>
      </w:r>
      <w:r>
        <w:instrText xml:space="preserve"> ADDIN ZOTERO_ITEM CSL_CITATION {"citationID":"q1X5pv4x","properties":{"formattedCitation":"MAUREL Rapha\\uc0\\u235{}l, \\uc0\\u171{}\\uc0\\u160{}L\\uc0\\u8217{}\\uc0\\u233{}thicisation du droit international des investissements\\uc0\\u8239{}: un panorama\\uc0\\u160{}\\uc0\\u187{}, in {\\i{}K3830 .D76 2021}, LexisNexis, 2021.","plainCitation":"MAUREL Raphaël, « L’éthicisation du droit international des investissements : un panorama », in K3830 .D76 2021, LexisNexis, 2021.","noteIndex":4},"citationItems":[{"id":3665,"uris":["http://zotero.org/users/10892933/items/ZD6VZQFX"],"itemData":{"id":3665,"type":"chapter","call-number":"K3830 .D76 2021","collection-number":"volume 58, année 2021","collection-title":"Travaux du CREDIMI = Travaux du Centre de recherche sur le droit des marchés et des investissements internationaux","container-title":"Le droit international des investissements au prisme de l'éthique","event-place":"Paris","ISBN":"978-2-7110-3592-2","license":"All rights reserved","page":"3-22.","publisher":"LexisNexis","publisher-place":"Paris","source":"Library of Congress ISBN","title":"L’éthicisation du droit international des investissements : un panorama","editor":[{"family":"Maurel","given":"Raphaël"}],"author":[{"family":"Maurel","given":"Raphaël"}],"issued":{"date-parts":[["2021"]]}}}],"schema":"https://github.com/citation-style-language/schema/raw/master/csl-citation.json"} </w:instrText>
      </w:r>
      <w:r>
        <w:fldChar w:fldCharType="separate"/>
      </w:r>
      <w:r w:rsidRPr="00784346">
        <w:rPr>
          <w:rFonts w:cs="Times New Roman"/>
        </w:rPr>
        <w:t>MAUREL, « L</w:t>
      </w:r>
      <w:r w:rsidR="00A52ACC">
        <w:rPr>
          <w:rFonts w:cs="Times New Roman"/>
        </w:rPr>
        <w:t>’</w:t>
      </w:r>
      <w:proofErr w:type="spellStart"/>
      <w:r w:rsidRPr="00784346">
        <w:rPr>
          <w:rFonts w:cs="Times New Roman"/>
        </w:rPr>
        <w:t>éthicisation</w:t>
      </w:r>
      <w:proofErr w:type="spellEnd"/>
      <w:r w:rsidRPr="00784346">
        <w:rPr>
          <w:rFonts w:cs="Times New Roman"/>
        </w:rPr>
        <w:t xml:space="preserve"> du droit international des investissements : un panorama », </w:t>
      </w:r>
      <w:r w:rsidRPr="00784346">
        <w:rPr>
          <w:rFonts w:cs="Times New Roman"/>
          <w:i/>
          <w:iCs/>
        </w:rPr>
        <w:t>in</w:t>
      </w:r>
      <w:r w:rsidRPr="00784346">
        <w:rPr>
          <w:rFonts w:cs="Times New Roman"/>
        </w:rPr>
        <w:t xml:space="preserve"> </w:t>
      </w:r>
      <w:r>
        <w:rPr>
          <w:rFonts w:cs="Times New Roman"/>
        </w:rPr>
        <w:t>R. MAUREL (</w:t>
      </w:r>
      <w:proofErr w:type="spellStart"/>
      <w:r>
        <w:rPr>
          <w:rFonts w:cs="Times New Roman"/>
        </w:rPr>
        <w:t>dir</w:t>
      </w:r>
      <w:proofErr w:type="spellEnd"/>
      <w:r>
        <w:rPr>
          <w:rFonts w:cs="Times New Roman"/>
        </w:rPr>
        <w:t xml:space="preserve">.), </w:t>
      </w:r>
      <w:r>
        <w:rPr>
          <w:rFonts w:cs="Times New Roman"/>
          <w:i/>
          <w:iCs/>
        </w:rPr>
        <w:t>Le droit international des investissements au prisme de l</w:t>
      </w:r>
      <w:r w:rsidR="00A52ACC">
        <w:rPr>
          <w:rFonts w:cs="Times New Roman"/>
          <w:i/>
          <w:iCs/>
        </w:rPr>
        <w:t>’</w:t>
      </w:r>
      <w:r>
        <w:rPr>
          <w:rFonts w:cs="Times New Roman"/>
          <w:i/>
          <w:iCs/>
        </w:rPr>
        <w:t>éthique</w:t>
      </w:r>
      <w:r>
        <w:rPr>
          <w:rFonts w:cs="Times New Roman"/>
        </w:rPr>
        <w:t>,</w:t>
      </w:r>
      <w:r w:rsidRPr="00784346">
        <w:rPr>
          <w:rFonts w:cs="Times New Roman"/>
        </w:rPr>
        <w:t xml:space="preserve"> LexisNexis, 2021</w:t>
      </w:r>
      <w:r>
        <w:rPr>
          <w:rFonts w:cs="Times New Roman"/>
        </w:rPr>
        <w:t>, pp. 3-22 et les références citées</w:t>
      </w:r>
      <w:r w:rsidRPr="00784346">
        <w:rPr>
          <w:rFonts w:cs="Times New Roman"/>
        </w:rPr>
        <w:t>.</w:t>
      </w:r>
      <w:r>
        <w:fldChar w:fldCharType="end"/>
      </w:r>
      <w:r>
        <w:t xml:space="preserve"> V. également, entre autres, les contributions de E. STOPPIONI, C. KESSEDJIAN et F. LATTY dans cet ouvrage.</w:t>
      </w:r>
    </w:p>
  </w:footnote>
  <w:footnote w:id="5">
    <w:p w14:paraId="31C3849E" w14:textId="71A52C96" w:rsidR="00784346" w:rsidRDefault="00784346">
      <w:pPr>
        <w:pStyle w:val="Notedebasdepage"/>
      </w:pPr>
      <w:r>
        <w:rPr>
          <w:rStyle w:val="Appelnotedebasdep"/>
        </w:rPr>
        <w:footnoteRef/>
      </w:r>
      <w:r>
        <w:t xml:space="preserve"> V. notamment </w:t>
      </w:r>
      <w:r>
        <w:fldChar w:fldCharType="begin"/>
      </w:r>
      <w:r>
        <w:instrText xml:space="preserve"> ADDIN ZOTERO_ITEM CSL_CITATION {"citationID":"p15zwVPE","properties":{"custom":"C. KESSEDJIAN, Ch. LEBEN (dir.), {\\i{}Le droit europ\\uc0\\u233{}en et l\\uc0\\u8217{}investissement}, \\uc0\\u201{}ditions Panth\\uc0\\u233{}on-Assas, 2009.","formattedCitation":"C. KESSEDJIAN, Ch. LEBEN (dir.), {\\i{}Le droit europ\\uc0\\u233{}en et l\\uc0\\u8217{}investissement}, \\uc0\\u201{}ditions Panth\\uc0\\u233{}on-Assas, 2009.","plainCitation":"C. KESSEDJIAN, Ch. LEBEN (dir.), Le droit européen et l’investissement, Éditions Panthéon-Assas, 2009.","noteIndex":5},"citationItems":[{"id":3667,"uris":["http://zotero.org/users/10892933/items/FI7LVPN6"],"itemData":{"id":3667,"type":"book","call-number":"KJE6433 .J56 2009","collection-title":"Colloques","event-place":"Paris","ISBN":"978-2-913397-85-9","note":"event-title: Journée d'étude \"Le droit européen et l'investissement\"","number-of-pages":"176","publisher":"Éditions Panthéon-Assas","publisher-place":"Paris","source":"Library of Congress ISBN","title":"Le droit européen et l'investissement","editor":[{"family":"Kessedjian","given":"Catherine"},{"family":"Leben","given":"Charles"}],"issued":{"date-parts":[["2009"]]}}}],"schema":"https://github.com/citation-style-language/schema/raw/master/csl-citation.json"} </w:instrText>
      </w:r>
      <w:r>
        <w:fldChar w:fldCharType="separate"/>
      </w:r>
      <w:r w:rsidRPr="00784346">
        <w:rPr>
          <w:rFonts w:cs="Times New Roman"/>
        </w:rPr>
        <w:t>C. KESSEDJIAN, Ch. LEBEN (</w:t>
      </w:r>
      <w:proofErr w:type="spellStart"/>
      <w:r w:rsidRPr="00784346">
        <w:rPr>
          <w:rFonts w:cs="Times New Roman"/>
        </w:rPr>
        <w:t>dir</w:t>
      </w:r>
      <w:proofErr w:type="spellEnd"/>
      <w:r w:rsidRPr="00784346">
        <w:rPr>
          <w:rFonts w:cs="Times New Roman"/>
        </w:rPr>
        <w:t xml:space="preserve">.), </w:t>
      </w:r>
      <w:r w:rsidRPr="00784346">
        <w:rPr>
          <w:rFonts w:cs="Times New Roman"/>
          <w:i/>
          <w:iCs/>
        </w:rPr>
        <w:t>Le droit européen et l</w:t>
      </w:r>
      <w:r w:rsidR="00A52ACC">
        <w:rPr>
          <w:rFonts w:cs="Times New Roman"/>
          <w:i/>
          <w:iCs/>
        </w:rPr>
        <w:t>’</w:t>
      </w:r>
      <w:r w:rsidRPr="00784346">
        <w:rPr>
          <w:rFonts w:cs="Times New Roman"/>
          <w:i/>
          <w:iCs/>
        </w:rPr>
        <w:t>investissement</w:t>
      </w:r>
      <w:r w:rsidRPr="00784346">
        <w:rPr>
          <w:rFonts w:cs="Times New Roman"/>
        </w:rPr>
        <w:t>, Éditions Panthéon-Assas, 2009</w:t>
      </w:r>
      <w:r>
        <w:rPr>
          <w:rFonts w:cs="Times New Roman"/>
        </w:rPr>
        <w:t>, 176 p</w:t>
      </w:r>
      <w:r w:rsidRPr="00784346">
        <w:rPr>
          <w:rFonts w:cs="Times New Roman"/>
        </w:rPr>
        <w:t>.</w:t>
      </w:r>
      <w:r>
        <w:fldChar w:fldCharType="end"/>
      </w:r>
    </w:p>
  </w:footnote>
  <w:footnote w:id="6">
    <w:p w14:paraId="2222E59F" w14:textId="3C21531A" w:rsidR="00B37EB5" w:rsidRDefault="00B37EB5">
      <w:pPr>
        <w:pStyle w:val="Notedebasdepage"/>
      </w:pPr>
      <w:r>
        <w:rPr>
          <w:rStyle w:val="Appelnotedebasdep"/>
        </w:rPr>
        <w:footnoteRef/>
      </w:r>
      <w:r>
        <w:t xml:space="preserve"> On se réfèrera particulièrement, </w:t>
      </w:r>
      <w:r w:rsidR="0085211E">
        <w:t>ici</w:t>
      </w:r>
      <w:r>
        <w:t>, à la contribution d</w:t>
      </w:r>
      <w:r w:rsidR="00A52ACC">
        <w:t>’</w:t>
      </w:r>
      <w:r>
        <w:t>E. STOPPIONI</w:t>
      </w:r>
      <w:r w:rsidR="0085211E">
        <w:t xml:space="preserve"> et aux auteurs cités. </w:t>
      </w:r>
    </w:p>
  </w:footnote>
  <w:footnote w:id="7">
    <w:p w14:paraId="07BEC860" w14:textId="720D3EE5" w:rsidR="000009C5" w:rsidRDefault="000009C5">
      <w:pPr>
        <w:pStyle w:val="Notedebasdepage"/>
      </w:pPr>
      <w:r>
        <w:rPr>
          <w:rStyle w:val="Appelnotedebasdep"/>
        </w:rPr>
        <w:footnoteRef/>
      </w:r>
      <w:r>
        <w:t> Exception faite des litiges portés par les agents des organisations internationales devant les tribunaux administratifs internationaux ; ces contentieux sont cependant spécifiques et ne relèvent pas de la même logique.</w:t>
      </w:r>
    </w:p>
  </w:footnote>
  <w:footnote w:id="8">
    <w:p w14:paraId="258F3A84" w14:textId="23958DAC" w:rsidR="00B41789" w:rsidRDefault="00B41789">
      <w:pPr>
        <w:pStyle w:val="Notedebasdepage"/>
      </w:pPr>
      <w:r>
        <w:rPr>
          <w:rStyle w:val="Appelnotedebasdep"/>
        </w:rPr>
        <w:footnoteRef/>
      </w:r>
      <w:r>
        <w:t xml:space="preserve"> V. par exemple </w:t>
      </w:r>
      <w:r w:rsidRPr="00B41789">
        <w:t xml:space="preserve">H. GUÉRARI, </w:t>
      </w:r>
      <w:r>
        <w:t>« </w:t>
      </w:r>
      <w:r w:rsidRPr="00B41789">
        <w:t>CIRDI : favorable aux investisseurs privés</w:t>
      </w:r>
      <w:r>
        <w:t> »</w:t>
      </w:r>
      <w:r w:rsidRPr="00B41789">
        <w:t xml:space="preserve">, </w:t>
      </w:r>
      <w:r w:rsidRPr="00B41789">
        <w:rPr>
          <w:i/>
          <w:iCs/>
        </w:rPr>
        <w:t>in</w:t>
      </w:r>
      <w:r w:rsidRPr="00B41789">
        <w:t xml:space="preserve"> H. ASCENSIO, P. BODEAU-LIVINEC, M. FORTEAU, F. LATTY, J.-M. SOREL, M. UBÉDA-SAILLARD (</w:t>
      </w:r>
      <w:proofErr w:type="spellStart"/>
      <w:r w:rsidRPr="00B41789">
        <w:t>dir</w:t>
      </w:r>
      <w:proofErr w:type="spellEnd"/>
      <w:r w:rsidRPr="00B41789">
        <w:t xml:space="preserve">.), </w:t>
      </w:r>
      <w:r w:rsidRPr="00B41789">
        <w:rPr>
          <w:i/>
          <w:iCs/>
        </w:rPr>
        <w:t>Dictionnaire des idées reçues en droit international</w:t>
      </w:r>
      <w:r w:rsidRPr="00B41789">
        <w:t xml:space="preserve">, Paris, </w:t>
      </w:r>
      <w:proofErr w:type="spellStart"/>
      <w:r w:rsidRPr="00B41789">
        <w:t>Pedone</w:t>
      </w:r>
      <w:proofErr w:type="spellEnd"/>
      <w:r w:rsidRPr="00B41789">
        <w:t>, 2017, p. 75.</w:t>
      </w:r>
    </w:p>
  </w:footnote>
  <w:footnote w:id="9">
    <w:p w14:paraId="4A76B293" w14:textId="62609921" w:rsidR="00B41789" w:rsidRDefault="00B41789">
      <w:pPr>
        <w:pStyle w:val="Notedebasdepage"/>
      </w:pPr>
      <w:r>
        <w:rPr>
          <w:rStyle w:val="Appelnotedebasdep"/>
        </w:rPr>
        <w:footnoteRef/>
      </w:r>
      <w:r>
        <w:t xml:space="preserve"> </w:t>
      </w:r>
      <w:r w:rsidR="004C1994">
        <w:t xml:space="preserve">V. la contribution de F. LATTY dans cet ouvrage ; v. également, sur les difficultés posées par la « double casquette » de certains juges à la Cour internationale de justice fréquemment désignés comme arbitres, </w:t>
      </w:r>
      <w:r>
        <w:fldChar w:fldCharType="begin"/>
      </w:r>
      <w:r>
        <w:instrText xml:space="preserve"> ADDIN ZOTERO_ITEM CSL_CITATION {"citationID":"ittTl4vb","properties":{"formattedCitation":"MAUREL Rapha\\uc0\\u235{}l, \\uc0\\u171{}\\uc0\\u160{}R\\uc0\\u233{}volution discr\\uc0\\u232{}te ou communication malheureuse\\uc0\\u8239{}? \\uc0\\u192{} propos de la \\uc0\\u171{}\\uc0\\u8239{}compilation des d\\uc0\\u233{}cisions\\uc0\\u8239{}\\uc0\\u187{} adopt\\uc0\\u233{}es par la Cour internationale de justice en mati\\uc0\\u232{}re d\\uc0\\u8217{}activit\\uc0\\u233{}s ext\\uc0\\u233{}rieures des juges\\uc0\\u8239{}\\uc0\\u187{}\\uc0\\u160{}\\uc0\\u187{} [en\\uc0\\u160{}ligne], {\\i{}Blog Inter-\\uc0\\u201{}thique}, 2020.","plainCitation":"MAUREL Raphaël, « Révolution discrète ou communication malheureuse ? À propos de la « compilation des décisions » adoptées par la Cour internationale de justice en matière d’activités extérieures des juges » » [en ligne], Blog Inter-Éthique, 2020.","noteIndex":9},"citationItems":[{"id":3668,"uris":["http://zotero.org/users/10892933/items/47583AHN"],"itemData":{"id":3668,"type":"article-journal","container-title":"Le blog inter-éthique","issue":"note n°5","title":"Révolution discrète ou communication malheureuse ? À propos de la « compilation des décisions » adoptées par la Cour internationale de justice en matière d’activités extérieures des juges »","URL":"https://blog.u-bourgogne.fr/droit-inter-ethique/wp-content/uploads/sites/146/2021/01/Note-5.pdf","author":[{"family":"Maurel","given":"Raphaël"}],"issued":{"date-parts":[["2020",12]]}}}],"schema":"https://github.com/citation-style-language/schema/raw/master/csl-citation.json"} </w:instrText>
      </w:r>
      <w:r>
        <w:fldChar w:fldCharType="separate"/>
      </w:r>
      <w:r>
        <w:rPr>
          <w:rFonts w:cs="Times New Roman"/>
        </w:rPr>
        <w:t>R. MAUREL,</w:t>
      </w:r>
      <w:r w:rsidRPr="00B41789">
        <w:rPr>
          <w:rFonts w:cs="Times New Roman"/>
        </w:rPr>
        <w:t xml:space="preserve"> «</w:t>
      </w:r>
      <w:r w:rsidR="004C1994">
        <w:rPr>
          <w:rFonts w:cs="Times New Roman"/>
        </w:rPr>
        <w:t> </w:t>
      </w:r>
      <w:r w:rsidRPr="00B41789">
        <w:rPr>
          <w:rFonts w:cs="Times New Roman"/>
        </w:rPr>
        <w:t xml:space="preserve">Révolution discrète ou communication malheureuse ? À propos de la </w:t>
      </w:r>
      <w:r w:rsidR="00A52ACC">
        <w:rPr>
          <w:rFonts w:cs="Times New Roman"/>
        </w:rPr>
        <w:t>‘‘</w:t>
      </w:r>
      <w:r w:rsidRPr="00B41789">
        <w:rPr>
          <w:rFonts w:cs="Times New Roman"/>
        </w:rPr>
        <w:t>compilation des décisions » adoptées par la Cour internationale de justice en matière d</w:t>
      </w:r>
      <w:r w:rsidR="00A52ACC">
        <w:rPr>
          <w:rFonts w:cs="Times New Roman"/>
        </w:rPr>
        <w:t>’</w:t>
      </w:r>
      <w:r w:rsidRPr="00B41789">
        <w:rPr>
          <w:rFonts w:cs="Times New Roman"/>
        </w:rPr>
        <w:t>activités extérieures des juges</w:t>
      </w:r>
      <w:r w:rsidR="00A52ACC">
        <w:rPr>
          <w:rFonts w:cs="Times New Roman"/>
        </w:rPr>
        <w:t>’’</w:t>
      </w:r>
      <w:r w:rsidRPr="00B41789">
        <w:rPr>
          <w:rFonts w:cs="Times New Roman"/>
        </w:rPr>
        <w:t xml:space="preserve"> » [en ligne], </w:t>
      </w:r>
      <w:r w:rsidRPr="00B41789">
        <w:rPr>
          <w:rFonts w:cs="Times New Roman"/>
          <w:i/>
          <w:iCs/>
        </w:rPr>
        <w:t xml:space="preserve">Blog </w:t>
      </w:r>
      <w:proofErr w:type="spellStart"/>
      <w:r w:rsidRPr="00B41789">
        <w:rPr>
          <w:rFonts w:cs="Times New Roman"/>
          <w:i/>
          <w:iCs/>
        </w:rPr>
        <w:t>Inter-Éthique</w:t>
      </w:r>
      <w:proofErr w:type="spellEnd"/>
      <w:r w:rsidRPr="00B41789">
        <w:rPr>
          <w:rFonts w:cs="Times New Roman"/>
        </w:rPr>
        <w:t xml:space="preserve">, </w:t>
      </w:r>
      <w:r w:rsidR="004C1994">
        <w:rPr>
          <w:rFonts w:cs="Times New Roman"/>
        </w:rPr>
        <w:t xml:space="preserve">note n°5, </w:t>
      </w:r>
      <w:r w:rsidRPr="00B41789">
        <w:rPr>
          <w:rFonts w:cs="Times New Roman"/>
        </w:rPr>
        <w:t>2020.</w:t>
      </w:r>
      <w:r>
        <w:fldChar w:fldCharType="end"/>
      </w:r>
    </w:p>
  </w:footnote>
  <w:footnote w:id="10">
    <w:p w14:paraId="783A3B0B" w14:textId="5EEBA06C" w:rsidR="0099035A" w:rsidRDefault="0099035A">
      <w:pPr>
        <w:pStyle w:val="Notedebasdepage"/>
      </w:pPr>
      <w:r>
        <w:rPr>
          <w:rStyle w:val="Appelnotedebasdep"/>
        </w:rPr>
        <w:footnoteRef/>
      </w:r>
      <w:r>
        <w:t xml:space="preserve"> </w:t>
      </w:r>
      <w:r>
        <w:fldChar w:fldCharType="begin"/>
      </w:r>
      <w:r>
        <w:instrText xml:space="preserve"> ADDIN ZOTERO_ITEM CSL_CITATION {"citationID":"x3pb2Kp1","properties":{"formattedCitation":"\\uc0\\u171{}\\uc0\\u160{}Accord \\uc0\\u233{}conomique et commercial global (AECG) entre le Canada, d\\uc0\\u8217{}une part, et l\\uc0\\u8217{}Union europ\\uc0\\u233{}enne et ses \\uc0\\u201{}tats membres, d\\uc0\\u8217{}autre part, JOUE du 14 janvier 2017, L 11/23.\\uc0\\u160{}\\uc0\\u187{}","plainCitation":"« Accord économique et commercial global (AECG) entre le Canada, d’une part, et l’Union européenne et ses États membres, d’autre part, JOUE du 14 janvier 2017, L 11/23. »","noteIndex":10},"citationItems":[{"id":3671,"uris":["http://zotero.org/users/10892933/items/K8SGHMVS"],"itemData":{"id":3671,"type":"legislation","abstract":"CETA/AECG","title":"Accord économique et commercial global (AECG) entre le Canada, d'une part, et l'Union européenne et ses États membres, d'autre part, JOUE du 14 janvier 2017, L 11/23.","URL":"https://eur-lex.europa.eu/legal-content/FR/TXT/PDF/?uri=CELEX:22017A0114(01)"}}],"schema":"https://github.com/citation-style-language/schema/raw/master/csl-citation.json"} </w:instrText>
      </w:r>
      <w:r>
        <w:fldChar w:fldCharType="separate"/>
      </w:r>
      <w:r w:rsidRPr="0099035A">
        <w:rPr>
          <w:rFonts w:cs="Times New Roman"/>
        </w:rPr>
        <w:t>Accord économique et commercial global (AECG) entre le Canada, d</w:t>
      </w:r>
      <w:r w:rsidR="00A52ACC">
        <w:rPr>
          <w:rFonts w:cs="Times New Roman"/>
        </w:rPr>
        <w:t>’</w:t>
      </w:r>
      <w:r w:rsidRPr="0099035A">
        <w:rPr>
          <w:rFonts w:cs="Times New Roman"/>
        </w:rPr>
        <w:t>une part, et l</w:t>
      </w:r>
      <w:r w:rsidR="00A52ACC">
        <w:rPr>
          <w:rFonts w:cs="Times New Roman"/>
        </w:rPr>
        <w:t>’</w:t>
      </w:r>
      <w:r w:rsidRPr="0099035A">
        <w:rPr>
          <w:rFonts w:cs="Times New Roman"/>
        </w:rPr>
        <w:t>Union européenne et ses États membres, d</w:t>
      </w:r>
      <w:r w:rsidR="00A52ACC">
        <w:rPr>
          <w:rFonts w:cs="Times New Roman"/>
        </w:rPr>
        <w:t>’</w:t>
      </w:r>
      <w:r w:rsidRPr="0099035A">
        <w:rPr>
          <w:rFonts w:cs="Times New Roman"/>
        </w:rPr>
        <w:t xml:space="preserve">autre part, </w:t>
      </w:r>
      <w:r w:rsidRPr="0099035A">
        <w:rPr>
          <w:rFonts w:cs="Times New Roman"/>
          <w:i/>
          <w:iCs/>
        </w:rPr>
        <w:t>JOUE</w:t>
      </w:r>
      <w:r w:rsidRPr="0099035A">
        <w:rPr>
          <w:rFonts w:cs="Times New Roman"/>
        </w:rPr>
        <w:t xml:space="preserve"> du 14 janvier 2017, L 11/23.</w:t>
      </w:r>
      <w:r>
        <w:fldChar w:fldCharType="end"/>
      </w:r>
      <w:r>
        <w:t xml:space="preserve"> </w:t>
      </w:r>
    </w:p>
  </w:footnote>
  <w:footnote w:id="11">
    <w:p w14:paraId="2D7B7723" w14:textId="0521FAD1" w:rsidR="00BD1FB3" w:rsidRDefault="00BD1FB3">
      <w:pPr>
        <w:pStyle w:val="Notedebasdepage"/>
      </w:pPr>
      <w:r>
        <w:rPr>
          <w:rStyle w:val="Appelnotedebasdep"/>
        </w:rPr>
        <w:footnoteRef/>
      </w:r>
      <w:r>
        <w:t xml:space="preserve"> </w:t>
      </w:r>
      <w:r>
        <w:fldChar w:fldCharType="begin"/>
      </w:r>
      <w:r>
        <w:instrText xml:space="preserve"> ADDIN ZOTERO_ITEM CSL_CITATION {"citationID":"bdudjhKS","properties":{"custom":"F. COUVEINHES MATSUMOTO, \\uc0\\u171{} Le lancement de la n\\uc0\\u233{}gociation d\\uc0\\u8217{}une convention instituant une cour multilat\\uc0\\u233{}rale d\\uc0\\u8217{}investissements\\uc0\\u8239{}: l\\uc0\\u8217{}avenir ind\\uc0\\u233{}termin\\uc0\\u233{} d\\uc0\\u8217{}un projet europ\\uc0\\u233{}en d\\uc0\\u233{}terminant \\uc0\\u187{}, {\\i{}RGDIP}, 2018/4, pp. 893-894.","formattedCitation":"F. COUVEINHES MATSUMOTO, \\uc0\\u171{} Le lancement de la n\\uc0\\u233{}gociation d\\uc0\\u8217{}une convention instituant une cour multilat\\uc0\\u233{}rale d\\uc0\\u8217{}investissements\\uc0\\u8239{}: l\\uc0\\u8217{}avenir ind\\uc0\\u233{}termin\\uc0\\u233{} d\\uc0\\u8217{}un projet europ\\uc0\\u233{}en d\\uc0\\u233{}terminant \\uc0\\u187{}, {\\i{}RGDIP}, 2018/4, pp. 893-894.","plainCitation":"F. COUVEINHES MATSUMOTO, « Le lancement de la négociation d’une convention instituant une cour multilatérale d’investissements : l’avenir indéterminé d’un projet européen déterminant », RGDIP, 2018/4, pp. 893-894.","noteIndex":10},"citationItems":[{"id":3670,"uris":["http://zotero.org/users/10892933/items/85J2EERT"],"itemData":{"id":3670,"type":"article-journal","container-title":"RGDIP","page":"893-931","title":"Le lancement de la négociation d’une convention instituant une cour multilatérale d’investissements : l’avenir indéterminé d’un projet européen déterminant","volume":"2018/4","author":[{"family":"Couveinhes Matsumoto","given":"Florian"}]}}],"schema":"https://github.com/citation-style-language/schema/raw/master/csl-citation.json"} </w:instrText>
      </w:r>
      <w:r>
        <w:fldChar w:fldCharType="separate"/>
      </w:r>
      <w:r w:rsidRPr="00BD1FB3">
        <w:rPr>
          <w:rFonts w:cs="Times New Roman"/>
        </w:rPr>
        <w:t>F. COUVEINHES MATSUMOTO, « Le lancement de la négociation d</w:t>
      </w:r>
      <w:r w:rsidR="00A52ACC">
        <w:rPr>
          <w:rFonts w:cs="Times New Roman"/>
        </w:rPr>
        <w:t>’</w:t>
      </w:r>
      <w:r w:rsidRPr="00BD1FB3">
        <w:rPr>
          <w:rFonts w:cs="Times New Roman"/>
        </w:rPr>
        <w:t>une convention instituant une cour multilatérale d</w:t>
      </w:r>
      <w:r w:rsidR="00A52ACC">
        <w:rPr>
          <w:rFonts w:cs="Times New Roman"/>
        </w:rPr>
        <w:t>’</w:t>
      </w:r>
      <w:r w:rsidRPr="00BD1FB3">
        <w:rPr>
          <w:rFonts w:cs="Times New Roman"/>
        </w:rPr>
        <w:t>investissements : l</w:t>
      </w:r>
      <w:r w:rsidR="00A52ACC">
        <w:rPr>
          <w:rFonts w:cs="Times New Roman"/>
        </w:rPr>
        <w:t>’</w:t>
      </w:r>
      <w:r w:rsidRPr="00BD1FB3">
        <w:rPr>
          <w:rFonts w:cs="Times New Roman"/>
        </w:rPr>
        <w:t>avenir indéterminé d</w:t>
      </w:r>
      <w:r w:rsidR="00A52ACC">
        <w:rPr>
          <w:rFonts w:cs="Times New Roman"/>
        </w:rPr>
        <w:t>’</w:t>
      </w:r>
      <w:r w:rsidRPr="00BD1FB3">
        <w:rPr>
          <w:rFonts w:cs="Times New Roman"/>
        </w:rPr>
        <w:t xml:space="preserve">un projet européen déterminant », </w:t>
      </w:r>
      <w:r w:rsidRPr="00BD1FB3">
        <w:rPr>
          <w:rFonts w:cs="Times New Roman"/>
          <w:i/>
          <w:iCs/>
        </w:rPr>
        <w:t>RGDIP</w:t>
      </w:r>
      <w:r w:rsidRPr="00BD1FB3">
        <w:rPr>
          <w:rFonts w:cs="Times New Roman"/>
        </w:rPr>
        <w:t>, 2018/4, pp. 893-894.</w:t>
      </w:r>
      <w:r>
        <w:fldChar w:fldCharType="end"/>
      </w:r>
    </w:p>
  </w:footnote>
  <w:footnote w:id="12">
    <w:p w14:paraId="11874E4A" w14:textId="26455A06" w:rsidR="00BD1FB3" w:rsidRDefault="00BD1FB3">
      <w:pPr>
        <w:pStyle w:val="Notedebasdepage"/>
      </w:pPr>
      <w:r>
        <w:rPr>
          <w:rStyle w:val="Appelnotedebasdep"/>
        </w:rPr>
        <w:footnoteRef/>
      </w:r>
      <w:r>
        <w:t xml:space="preserve"> On se permet de nouveau de renvoyer à un ouvrage précédent : R. </w:t>
      </w:r>
      <w:r>
        <w:fldChar w:fldCharType="begin"/>
      </w:r>
      <w:r>
        <w:instrText xml:space="preserve"> ADDIN ZOTERO_ITEM CSL_CITATION {"citationID":"ueWW441F","properties":{"formattedCitation":"MAUREL Rapha\\uc0\\u235{}l, \\uc0\\u171{}\\uc0\\u160{}L\\uc0\\u8217{}\\uc0\\u233{}thicisation du droit international des investissements\\uc0\\u8239{}: un panorama\\uc0\\u160{}\\uc0\\u187{}, in {\\i{}K3830 .D76 2021}, LexisNexis, 2021.","plainCitation":"MAUREL Raphaël, « L’éthicisation du droit international des investissements : un panorama », in K3830 .D76 2021, LexisNexis, 2021.","noteIndex":11},"citationItems":[{"id":3665,"uris":["http://zotero.org/users/10892933/items/ZD6VZQFX"],"itemData":{"id":3665,"type":"chapter","call-number":"K3830 .D76 2021","collection-number":"volume 58, année 2021","collection-title":"Travaux du CREDIMI = Travaux du Centre de recherche sur le droit des marchés et des investissements internationaux","container-title":"Le droit international des investissements au prisme de l'éthique","event-place":"Paris","ISBN":"978-2-7110-3592-2","license":"All rights reserved","page":"3-22.","publisher":"LexisNexis","publisher-place":"Paris","source":"Library of Congress ISBN","title":"L’éthicisation du droit international des investissements : un panorama","editor":[{"family":"Maurel","given":"Raphaël"}],"author":[{"family":"Maurel","given":"Raphaël"}],"issued":{"date-parts":[["2021"]]}}}],"schema":"https://github.com/citation-style-language/schema/raw/master/csl-citation.json"} </w:instrText>
      </w:r>
      <w:r>
        <w:fldChar w:fldCharType="separate"/>
      </w:r>
      <w:r w:rsidRPr="00BD1FB3">
        <w:rPr>
          <w:rFonts w:cs="Times New Roman"/>
        </w:rPr>
        <w:t>MAUREL, « L</w:t>
      </w:r>
      <w:r w:rsidR="00A52ACC">
        <w:rPr>
          <w:rFonts w:cs="Times New Roman"/>
        </w:rPr>
        <w:t>’</w:t>
      </w:r>
      <w:proofErr w:type="spellStart"/>
      <w:r w:rsidRPr="00BD1FB3">
        <w:rPr>
          <w:rFonts w:cs="Times New Roman"/>
        </w:rPr>
        <w:t>éthicisation</w:t>
      </w:r>
      <w:proofErr w:type="spellEnd"/>
      <w:r w:rsidRPr="00BD1FB3">
        <w:rPr>
          <w:rFonts w:cs="Times New Roman"/>
        </w:rPr>
        <w:t xml:space="preserve"> du droit international des investissements : un panorama », </w:t>
      </w:r>
      <w:r>
        <w:rPr>
          <w:rFonts w:cs="Times New Roman"/>
          <w:i/>
          <w:iCs/>
        </w:rPr>
        <w:t xml:space="preserve">op. </w:t>
      </w:r>
      <w:proofErr w:type="spellStart"/>
      <w:proofErr w:type="gramStart"/>
      <w:r>
        <w:rPr>
          <w:rFonts w:cs="Times New Roman"/>
          <w:i/>
          <w:iCs/>
        </w:rPr>
        <w:t>cit</w:t>
      </w:r>
      <w:proofErr w:type="spellEnd"/>
      <w:r>
        <w:rPr>
          <w:rFonts w:cs="Times New Roman"/>
          <w:i/>
          <w:iCs/>
        </w:rPr>
        <w:t>.</w:t>
      </w:r>
      <w:r w:rsidRPr="00BD1FB3">
        <w:rPr>
          <w:rFonts w:cs="Times New Roman"/>
        </w:rPr>
        <w:t>.</w:t>
      </w:r>
      <w:proofErr w:type="gramEnd"/>
      <w:r>
        <w:fldChar w:fldCharType="end"/>
      </w:r>
    </w:p>
  </w:footnote>
  <w:footnote w:id="13">
    <w:p w14:paraId="751D22A3" w14:textId="4488814B" w:rsidR="00CA1D08" w:rsidRDefault="00CA1D08">
      <w:pPr>
        <w:pStyle w:val="Notedebasdepage"/>
      </w:pPr>
      <w:r>
        <w:rPr>
          <w:rStyle w:val="Appelnotedebasdep"/>
        </w:rPr>
        <w:footnoteRef/>
      </w:r>
      <w:r>
        <w:t xml:space="preserve"> </w:t>
      </w:r>
      <w:r>
        <w:fldChar w:fldCharType="begin"/>
      </w:r>
      <w:r>
        <w:instrText xml:space="preserve"> ADDIN ZOTERO_ITEM CSL_CITATION {"citationID":"BTJDObqS","properties":{"custom":"V. par exemple Y. DAUDET, \\uc0\\u171{} 1919-2019, le flux du multilat\\uc0\\u233{}ralisme \\uc0\\u187{}, {\\i{}RCADI}, vol. 403, 2020, p. 19.","formattedCitation":"V. par exemple Y. DAUDET, \\uc0\\u171{} 1919-2019, le flux du multilat\\uc0\\u233{}ralisme \\uc0\\u187{}, {\\i{}RCADI}, vol. 403, 2020, p. 19.","plainCitation":"V. par exemple Y. DAUDET, « 1919-2019, le flux du multilatéralisme », RCADI, vol. 403, 2020, p. 19.","noteIndex":13},"citationItems":[{"id":3673,"uris":["http://zotero.org/users/10892933/items/V6IMU9TH"],"itemData":{"id":3673,"type":"article-journal","container-title":"RCADI","DOI":"10.1163/1875-8096_pplrdc_A9789004424685_01","language":"en","note":"Institution: Koninklijke Brill NV\nDOI: 10.1163/1875-8096_pplrdc_A9789004424685_01","page":"11-47","source":"DOI.org (Crossref)","title":"1919-2019, le flux du multilatéralisme (Volume 403)","volume":"vol. 403","author":[{"family":"Daudet","given":"Yves"}],"issued":{"date-parts":[["2020"]]}}}],"schema":"https://github.com/citation-style-language/schema/raw/master/csl-citation.json"} </w:instrText>
      </w:r>
      <w:r>
        <w:fldChar w:fldCharType="separate"/>
      </w:r>
      <w:r w:rsidRPr="00CA1D08">
        <w:rPr>
          <w:rFonts w:cs="Times New Roman"/>
        </w:rPr>
        <w:t xml:space="preserve">V. par exemple Y. DAUDET, « 1919-2019, le flux du multilatéralisme », </w:t>
      </w:r>
      <w:r w:rsidRPr="00CA1D08">
        <w:rPr>
          <w:rFonts w:cs="Times New Roman"/>
          <w:i/>
          <w:iCs/>
        </w:rPr>
        <w:t>RCADI</w:t>
      </w:r>
      <w:r w:rsidRPr="00CA1D08">
        <w:rPr>
          <w:rFonts w:cs="Times New Roman"/>
        </w:rPr>
        <w:t>, vol. 403, 2020, p. 19.</w:t>
      </w:r>
      <w:r>
        <w:fldChar w:fldCharType="end"/>
      </w:r>
    </w:p>
  </w:footnote>
  <w:footnote w:id="14">
    <w:p w14:paraId="566CE302" w14:textId="77777777" w:rsidR="00B92323" w:rsidRDefault="00B92323" w:rsidP="00B92323">
      <w:pPr>
        <w:pStyle w:val="Notedebasdepage"/>
      </w:pPr>
      <w:r>
        <w:rPr>
          <w:rStyle w:val="Appelnotedebasdep"/>
        </w:rPr>
        <w:footnoteRef/>
      </w:r>
      <w:r>
        <w:t xml:space="preserve"> É</w:t>
      </w:r>
      <w:r w:rsidRPr="00A77AB7">
        <w:t xml:space="preserve">. DAVID, </w:t>
      </w:r>
      <w:r w:rsidRPr="00A77AB7">
        <w:rPr>
          <w:i/>
          <w:iCs/>
        </w:rPr>
        <w:t>Droit des Organisations internationales</w:t>
      </w:r>
      <w:r w:rsidRPr="00A77AB7">
        <w:t>, Bruxelles, Bruylant, 2016, p. 265.</w:t>
      </w:r>
    </w:p>
  </w:footnote>
  <w:footnote w:id="15">
    <w:p w14:paraId="2A4DAB0E" w14:textId="77777777" w:rsidR="00B92323" w:rsidRDefault="00B92323" w:rsidP="00B92323">
      <w:pPr>
        <w:pStyle w:val="Notedebasdepage"/>
      </w:pPr>
      <w:r>
        <w:rPr>
          <w:rStyle w:val="Appelnotedebasdep"/>
        </w:rPr>
        <w:footnoteRef/>
      </w:r>
      <w:r>
        <w:t xml:space="preserve"> Pour des analyses récentes, v. D. </w:t>
      </w:r>
      <w:r>
        <w:fldChar w:fldCharType="begin"/>
      </w:r>
      <w:r>
        <w:instrText xml:space="preserve"> ADDIN ZOTERO_ITEM CSL_CITATION {"citationID":"2ZsRnpRT","properties":{"formattedCitation":"BURRIEZ Delphine, \\uc0\\u171{}\\uc0\\u160{}Le retrait des \\uc0\\u201{}tats des organisations internationales\\uc0\\u160{}\\uc0\\u187{}, {\\i{}AFDI}, 64, 2018.","plainCitation":"BURRIEZ Delphine, « Le retrait des États des organisations internationales », AFDI, 64, 2018.","noteIndex":17},"citationItems":[{"id":883,"uris":["http://zotero.org/users/10892933/items/CK8U8G26"],"itemData":{"id":883,"type":"article-journal","container-title":"AFDI","DOI":"10.3406/afdi.2018.5230","ISSN":"0066-3085","issue":"1","journalAbbreviation":"afdi","language":"fr","page":"373-382","source":"DOI.org (Crossref)","title":"Le retrait des États des organisations internationales : actualité récente (UNESCO, OEA, CPI…)","title-short":"Le retrait des États des organisations internationales","volume":"vol. 64","author":[{"family":"Burriez","given":"Delphine"}],"issued":{"date-parts":[["2018"]]}}}],"schema":"https://github.com/citation-style-language/schema/raw/master/csl-citation.json"} </w:instrText>
      </w:r>
      <w:r>
        <w:fldChar w:fldCharType="separate"/>
      </w:r>
      <w:r w:rsidRPr="00A77AB7">
        <w:rPr>
          <w:rFonts w:cs="Times New Roman"/>
        </w:rPr>
        <w:t xml:space="preserve">BURRIEZ, « Le retrait des États des organisations internationales », </w:t>
      </w:r>
      <w:r w:rsidRPr="00A77AB7">
        <w:rPr>
          <w:rFonts w:cs="Times New Roman"/>
          <w:i/>
          <w:iCs/>
        </w:rPr>
        <w:t>AFDI</w:t>
      </w:r>
      <w:r w:rsidRPr="00A77AB7">
        <w:rPr>
          <w:rFonts w:cs="Times New Roman"/>
        </w:rPr>
        <w:t xml:space="preserve">, </w:t>
      </w:r>
      <w:r>
        <w:rPr>
          <w:rFonts w:cs="Times New Roman"/>
        </w:rPr>
        <w:t xml:space="preserve">vol. </w:t>
      </w:r>
      <w:r w:rsidRPr="00A77AB7">
        <w:rPr>
          <w:rFonts w:cs="Times New Roman"/>
        </w:rPr>
        <w:t>64, 2018</w:t>
      </w:r>
      <w:r>
        <w:rPr>
          <w:rFonts w:cs="Times New Roman"/>
        </w:rPr>
        <w:t xml:space="preserve">, pp. 373-382 ; </w:t>
      </w:r>
      <w:r w:rsidRPr="00A77AB7">
        <w:rPr>
          <w:rFonts w:cs="Times New Roman"/>
        </w:rPr>
        <w:t>H. B</w:t>
      </w:r>
      <w:r>
        <w:rPr>
          <w:rFonts w:cs="Times New Roman"/>
        </w:rPr>
        <w:t>.</w:t>
      </w:r>
      <w:r w:rsidRPr="00A77AB7">
        <w:rPr>
          <w:rFonts w:cs="Times New Roman"/>
        </w:rPr>
        <w:t xml:space="preserve"> TOURÉ, </w:t>
      </w:r>
      <w:r w:rsidRPr="00A77AB7">
        <w:rPr>
          <w:rFonts w:cs="Times New Roman"/>
          <w:i/>
          <w:iCs/>
        </w:rPr>
        <w:t>Le</w:t>
      </w:r>
      <w:r w:rsidRPr="00A77AB7">
        <w:rPr>
          <w:rFonts w:cs="Times New Roman"/>
        </w:rPr>
        <w:t xml:space="preserve"> </w:t>
      </w:r>
      <w:r w:rsidRPr="00A77AB7">
        <w:rPr>
          <w:rFonts w:cs="Times New Roman"/>
          <w:i/>
          <w:iCs/>
        </w:rPr>
        <w:t>retrait</w:t>
      </w:r>
      <w:r w:rsidRPr="00A77AB7">
        <w:rPr>
          <w:rFonts w:cs="Times New Roman"/>
        </w:rPr>
        <w:t xml:space="preserve"> </w:t>
      </w:r>
      <w:r w:rsidRPr="00A77AB7">
        <w:rPr>
          <w:rFonts w:cs="Times New Roman"/>
          <w:i/>
          <w:iCs/>
        </w:rPr>
        <w:t>des États membres des organisations internationales</w:t>
      </w:r>
      <w:r w:rsidRPr="00A77AB7">
        <w:rPr>
          <w:rFonts w:cs="Times New Roman"/>
        </w:rPr>
        <w:t>, Thèse</w:t>
      </w:r>
      <w:r>
        <w:rPr>
          <w:rFonts w:cs="Times New Roman"/>
        </w:rPr>
        <w:t xml:space="preserve"> de droit public </w:t>
      </w:r>
      <w:r w:rsidRPr="00A77AB7">
        <w:rPr>
          <w:rFonts w:cs="Times New Roman"/>
        </w:rPr>
        <w:t xml:space="preserve">soutenue le 8 juillet 2022 </w:t>
      </w:r>
      <w:r>
        <w:rPr>
          <w:rFonts w:cs="Times New Roman"/>
        </w:rPr>
        <w:t xml:space="preserve">à </w:t>
      </w:r>
      <w:r w:rsidRPr="00A77AB7">
        <w:rPr>
          <w:rFonts w:cs="Times New Roman"/>
        </w:rPr>
        <w:t>Aix-Marseille Universit</w:t>
      </w:r>
      <w:r>
        <w:rPr>
          <w:rFonts w:cs="Times New Roman"/>
        </w:rPr>
        <w:t>é</w:t>
      </w:r>
      <w:r w:rsidRPr="00A77AB7">
        <w:rPr>
          <w:rFonts w:cs="Times New Roman"/>
        </w:rPr>
        <w:t>, 635 p.</w:t>
      </w:r>
      <w:r>
        <w:fldChar w:fldCharType="end"/>
      </w:r>
    </w:p>
  </w:footnote>
  <w:footnote w:id="16">
    <w:p w14:paraId="4BCB6564" w14:textId="56797193" w:rsidR="00DB418C" w:rsidRDefault="00DB418C">
      <w:pPr>
        <w:pStyle w:val="Notedebasdepage"/>
      </w:pPr>
      <w:r>
        <w:rPr>
          <w:rStyle w:val="Appelnotedebasdep"/>
        </w:rPr>
        <w:footnoteRef/>
      </w:r>
      <w:r>
        <w:t xml:space="preserve"> S. </w:t>
      </w:r>
      <w:r>
        <w:fldChar w:fldCharType="begin"/>
      </w:r>
      <w:r>
        <w:instrText xml:space="preserve"> ADDIN ZOTERO_ITEM CSL_CITATION {"citationID":"Sy3c2TiO","properties":{"formattedCitation":"GROSBON Sophie, \\uc0\\u171{}\\uc0\\u160{}Le chapitre \\uc0\\u8216{}Commerce et environnement\\uc0\\u8217{} de l\\uc0\\u8217{}Accord \\uc0\\u201{}conomique et Commercial Global (AECG/CETA) face \\uc0\\u224{} l\\uc0\\u8217{}urgence climatique\\uc0\\u160{}\\uc0\\u187{}, {\\i{}Annu. Fr. Droit Int.}, 63, 2017.","plainCitation":"GROSBON Sophie, « Le chapitre ‘Commerce et environnement’ de l’Accord Économique et Commercial Global (AECG/CETA) face à l’urgence climatique », Annu. Fr. Droit Int., 63, 2017.","noteIndex":14},"citationItems":[{"id":301,"uris":["http://zotero.org/users/10892933/items/MZLN7MPM"],"itemData":{"id":301,"type":"article-journal","container-title":"Annuaire français de droit international","DOI":"10.3406/afdi.2017.5397","ISSN":"0066-3085","issue":"1","journalAbbreviation":"afdi","language":"fr","page":"577-600","source":"DOI.org (Crossref)","title":"Le chapitre ‘Commerce et environnement’ de l’Accord Économique et Commercial Global (AECG/CETA) face à l’urgence climatique","volume":"63","author":[{"family":"Grosbon","given":"Sophie"}],"issued":{"date-parts":[["2017"]]}}}],"schema":"https://github.com/citation-style-language/schema/raw/master/csl-citation.json"} </w:instrText>
      </w:r>
      <w:r>
        <w:fldChar w:fldCharType="separate"/>
      </w:r>
      <w:r w:rsidRPr="00DB418C">
        <w:rPr>
          <w:rFonts w:cs="Times New Roman"/>
        </w:rPr>
        <w:t xml:space="preserve">GROSBON, « Le chapitre </w:t>
      </w:r>
      <w:r w:rsidR="00A52ACC">
        <w:rPr>
          <w:rFonts w:cs="Times New Roman"/>
        </w:rPr>
        <w:t>‘</w:t>
      </w:r>
      <w:r w:rsidRPr="00DB418C">
        <w:rPr>
          <w:rFonts w:cs="Times New Roman"/>
        </w:rPr>
        <w:t>Commerce et environnement</w:t>
      </w:r>
      <w:r w:rsidR="00A52ACC">
        <w:rPr>
          <w:rFonts w:cs="Times New Roman"/>
        </w:rPr>
        <w:t>’</w:t>
      </w:r>
      <w:r w:rsidRPr="00DB418C">
        <w:rPr>
          <w:rFonts w:cs="Times New Roman"/>
        </w:rPr>
        <w:t xml:space="preserve"> de l</w:t>
      </w:r>
      <w:r w:rsidR="00A52ACC">
        <w:rPr>
          <w:rFonts w:cs="Times New Roman"/>
        </w:rPr>
        <w:t>’</w:t>
      </w:r>
      <w:r w:rsidRPr="00DB418C">
        <w:rPr>
          <w:rFonts w:cs="Times New Roman"/>
        </w:rPr>
        <w:t>Accord Économique et Commercial Global (AECG/CETA) face à l</w:t>
      </w:r>
      <w:r w:rsidR="00A52ACC">
        <w:rPr>
          <w:rFonts w:cs="Times New Roman"/>
        </w:rPr>
        <w:t>’</w:t>
      </w:r>
      <w:r w:rsidRPr="00DB418C">
        <w:rPr>
          <w:rFonts w:cs="Times New Roman"/>
        </w:rPr>
        <w:t xml:space="preserve">urgence climatique », </w:t>
      </w:r>
      <w:r>
        <w:rPr>
          <w:rFonts w:cs="Times New Roman"/>
          <w:i/>
          <w:iCs/>
        </w:rPr>
        <w:t>AFDI</w:t>
      </w:r>
      <w:r w:rsidRPr="00DB418C">
        <w:rPr>
          <w:rFonts w:cs="Times New Roman"/>
          <w:i/>
          <w:iCs/>
        </w:rPr>
        <w:t>.</w:t>
      </w:r>
      <w:r w:rsidRPr="00DB418C">
        <w:rPr>
          <w:rFonts w:cs="Times New Roman"/>
        </w:rPr>
        <w:t xml:space="preserve">, </w:t>
      </w:r>
      <w:r>
        <w:rPr>
          <w:rFonts w:cs="Times New Roman"/>
        </w:rPr>
        <w:t xml:space="preserve">vol. </w:t>
      </w:r>
      <w:r w:rsidRPr="00DB418C">
        <w:rPr>
          <w:rFonts w:cs="Times New Roman"/>
        </w:rPr>
        <w:t>63, 2017</w:t>
      </w:r>
      <w:r>
        <w:rPr>
          <w:rFonts w:cs="Times New Roman"/>
        </w:rPr>
        <w:t>, p. 577</w:t>
      </w:r>
      <w:r w:rsidRPr="00DB418C">
        <w:rPr>
          <w:rFonts w:cs="Times New Roman"/>
        </w:rPr>
        <w:t>.</w:t>
      </w:r>
      <w:r>
        <w:fldChar w:fldCharType="end"/>
      </w:r>
    </w:p>
  </w:footnote>
  <w:footnote w:id="17">
    <w:p w14:paraId="6FA59BC5" w14:textId="609B015C" w:rsidR="006758D9" w:rsidRDefault="006758D9">
      <w:pPr>
        <w:pStyle w:val="Notedebasdepage"/>
      </w:pPr>
      <w:r>
        <w:rPr>
          <w:rStyle w:val="Appelnotedebasdep"/>
        </w:rPr>
        <w:footnoteRef/>
      </w:r>
      <w:r>
        <w:t xml:space="preserve"> </w:t>
      </w:r>
      <w:r w:rsidRPr="006758D9">
        <w:t xml:space="preserve">UNGA, </w:t>
      </w:r>
      <w:r w:rsidRPr="006758D9">
        <w:rPr>
          <w:i/>
          <w:iCs/>
        </w:rPr>
        <w:t xml:space="preserve">Draft agreement </w:t>
      </w:r>
      <w:proofErr w:type="spellStart"/>
      <w:r w:rsidRPr="006758D9">
        <w:rPr>
          <w:i/>
          <w:iCs/>
        </w:rPr>
        <w:t>under</w:t>
      </w:r>
      <w:proofErr w:type="spellEnd"/>
      <w:r w:rsidRPr="006758D9">
        <w:rPr>
          <w:i/>
          <w:iCs/>
        </w:rPr>
        <w:t xml:space="preserve"> the United Nations Convention on the Law of the </w:t>
      </w:r>
      <w:proofErr w:type="spellStart"/>
      <w:r w:rsidRPr="006758D9">
        <w:rPr>
          <w:i/>
          <w:iCs/>
        </w:rPr>
        <w:t>Sea</w:t>
      </w:r>
      <w:proofErr w:type="spellEnd"/>
      <w:r w:rsidRPr="006758D9">
        <w:rPr>
          <w:i/>
          <w:iCs/>
        </w:rPr>
        <w:t xml:space="preserve"> on the conservation and </w:t>
      </w:r>
      <w:proofErr w:type="spellStart"/>
      <w:r w:rsidRPr="006758D9">
        <w:rPr>
          <w:i/>
          <w:iCs/>
        </w:rPr>
        <w:t>sustainable</w:t>
      </w:r>
      <w:proofErr w:type="spellEnd"/>
      <w:r w:rsidRPr="006758D9">
        <w:rPr>
          <w:i/>
          <w:iCs/>
        </w:rPr>
        <w:t xml:space="preserve"> use of marine </w:t>
      </w:r>
      <w:proofErr w:type="spellStart"/>
      <w:r w:rsidRPr="006758D9">
        <w:rPr>
          <w:i/>
          <w:iCs/>
        </w:rPr>
        <w:t>biological</w:t>
      </w:r>
      <w:proofErr w:type="spellEnd"/>
      <w:r w:rsidRPr="006758D9">
        <w:rPr>
          <w:i/>
          <w:iCs/>
        </w:rPr>
        <w:t xml:space="preserve"> </w:t>
      </w:r>
      <w:proofErr w:type="spellStart"/>
      <w:r w:rsidRPr="006758D9">
        <w:rPr>
          <w:i/>
          <w:iCs/>
        </w:rPr>
        <w:t>diversity</w:t>
      </w:r>
      <w:proofErr w:type="spellEnd"/>
      <w:r w:rsidRPr="006758D9">
        <w:rPr>
          <w:i/>
          <w:iCs/>
        </w:rPr>
        <w:t xml:space="preserve"> of areas </w:t>
      </w:r>
      <w:proofErr w:type="spellStart"/>
      <w:r w:rsidRPr="006758D9">
        <w:rPr>
          <w:i/>
          <w:iCs/>
        </w:rPr>
        <w:t>beyond</w:t>
      </w:r>
      <w:proofErr w:type="spellEnd"/>
      <w:r w:rsidRPr="006758D9">
        <w:rPr>
          <w:i/>
          <w:iCs/>
        </w:rPr>
        <w:t xml:space="preserve"> national </w:t>
      </w:r>
      <w:proofErr w:type="spellStart"/>
      <w:r w:rsidRPr="006758D9">
        <w:rPr>
          <w:i/>
          <w:iCs/>
        </w:rPr>
        <w:t>jurisdiction</w:t>
      </w:r>
      <w:proofErr w:type="spellEnd"/>
      <w:r w:rsidRPr="006758D9">
        <w:t>, 4 March 2023. Le traité n</w:t>
      </w:r>
      <w:r w:rsidR="00A52ACC">
        <w:t>’</w:t>
      </w:r>
      <w:r w:rsidRPr="006758D9">
        <w:t xml:space="preserve">est pas encore officiellement adopté ; à son propos, v. V. BORÉ EVENO, P. RICARD, </w:t>
      </w:r>
      <w:r>
        <w:t>« </w:t>
      </w:r>
      <w:r w:rsidRPr="006758D9">
        <w:t xml:space="preserve">Fin des négociations </w:t>
      </w:r>
      <w:r w:rsidR="00A52ACC">
        <w:t>‘</w:t>
      </w:r>
      <w:r w:rsidRPr="006758D9">
        <w:t>BBNJ</w:t>
      </w:r>
      <w:r w:rsidR="00A52ACC">
        <w:t>’</w:t>
      </w:r>
      <w:r w:rsidRPr="006758D9">
        <w:t xml:space="preserve"> à l</w:t>
      </w:r>
      <w:r w:rsidR="00A52ACC">
        <w:t>’</w:t>
      </w:r>
      <w:r w:rsidRPr="006758D9">
        <w:t>ONU : enfin un traité pour protéger la biodiversité marine en haute mer !</w:t>
      </w:r>
      <w:r>
        <w:t> »</w:t>
      </w:r>
      <w:r w:rsidRPr="006758D9">
        <w:t xml:space="preserve">, </w:t>
      </w:r>
      <w:r w:rsidRPr="006758D9">
        <w:rPr>
          <w:i/>
          <w:iCs/>
        </w:rPr>
        <w:t>Le blog des juristes</w:t>
      </w:r>
      <w:r w:rsidRPr="006758D9">
        <w:t xml:space="preserve">, 17 mars 2023, en ligne : </w:t>
      </w:r>
      <w:hyperlink r:id="rId1" w:history="1">
        <w:r w:rsidRPr="00633BA2">
          <w:rPr>
            <w:rStyle w:val="Lienhypertexte"/>
          </w:rPr>
          <w:t>https://blog.leclubdesjuristes.com/fin-des-negociations-bbnj-a-lonu-enfin-un-traite-pour-proteger-la-biodiversite-marine-en-haute-mer-par-valerie-bore-eveno-et-pascale-ricard/</w:t>
        </w:r>
      </w:hyperlink>
      <w:r w:rsidRPr="006758D9">
        <w:t>.</w:t>
      </w:r>
      <w:r>
        <w:t xml:space="preserve"> </w:t>
      </w:r>
    </w:p>
  </w:footnote>
  <w:footnote w:id="18">
    <w:p w14:paraId="313AFD29" w14:textId="1C7816C4" w:rsidR="00B92323" w:rsidRDefault="00B92323">
      <w:pPr>
        <w:pStyle w:val="Notedebasdepage"/>
      </w:pPr>
      <w:r>
        <w:rPr>
          <w:rStyle w:val="Appelnotedebasdep"/>
        </w:rPr>
        <w:footnoteRef/>
      </w:r>
      <w:r>
        <w:t xml:space="preserve"> V. par exemple </w:t>
      </w:r>
      <w:r>
        <w:fldChar w:fldCharType="begin"/>
      </w:r>
      <w:r>
        <w:instrText xml:space="preserve"> ADDIN ZOTERO_ITEM CSL_CITATION {"citationID":"YLARvm2y","properties":{"formattedCitation":"BERTRAND Brunessen (dir.), {\\i{}La politique europ\\uc0\\u233{}enne du num\\uc0\\u233{}rique}, Bruylant, 2023.","plainCitation":"BERTRAND Brunessen (dir.), La politique européenne du numérique, Bruylant, 2023.","noteIndex":18},"citationItems":[{"id":3510,"uris":["http://zotero.org/users/10892933/items/J47VAWF7"],"itemData":{"id":3510,"type":"book","event-place":"Bruxelles","ISBN":"978-2-8027-6987-3","language":"fre","number-of-pages":"782","publisher":"Bruylant","publisher-place":"Bruxelles","source":"BnF ISBN","title":"La politique européenne du numérique","editor":[{"family":"Bertrand","given":"Brunessen"}],"issued":{"date-parts":[["2023"]]}},"label":"page"}],"schema":"https://github.com/citation-style-language/schema/raw/master/csl-citation.json"} </w:instrText>
      </w:r>
      <w:r>
        <w:fldChar w:fldCharType="separate"/>
      </w:r>
      <w:r w:rsidRPr="00B92323">
        <w:rPr>
          <w:rFonts w:cs="Times New Roman"/>
        </w:rPr>
        <w:t>B</w:t>
      </w:r>
      <w:r>
        <w:rPr>
          <w:rFonts w:cs="Times New Roman"/>
        </w:rPr>
        <w:t>. B</w:t>
      </w:r>
      <w:r w:rsidRPr="00B92323">
        <w:rPr>
          <w:rFonts w:cs="Times New Roman"/>
        </w:rPr>
        <w:t>ERTRAND (</w:t>
      </w:r>
      <w:proofErr w:type="spellStart"/>
      <w:r w:rsidRPr="00B92323">
        <w:rPr>
          <w:rFonts w:cs="Times New Roman"/>
        </w:rPr>
        <w:t>dir</w:t>
      </w:r>
      <w:proofErr w:type="spellEnd"/>
      <w:r w:rsidRPr="00B92323">
        <w:rPr>
          <w:rFonts w:cs="Times New Roman"/>
        </w:rPr>
        <w:t xml:space="preserve">.), </w:t>
      </w:r>
      <w:r w:rsidRPr="00B92323">
        <w:rPr>
          <w:rFonts w:cs="Times New Roman"/>
          <w:i/>
          <w:iCs/>
        </w:rPr>
        <w:t>La politique européenne du numérique</w:t>
      </w:r>
      <w:r w:rsidRPr="00B92323">
        <w:rPr>
          <w:rFonts w:cs="Times New Roman"/>
        </w:rPr>
        <w:t>, Bruylant, 2023</w:t>
      </w:r>
      <w:r>
        <w:rPr>
          <w:rFonts w:cs="Times New Roman"/>
        </w:rPr>
        <w:t>, 782 p</w:t>
      </w:r>
      <w:r w:rsidRPr="00B92323">
        <w:rPr>
          <w:rFonts w:cs="Times New Roman"/>
        </w:rPr>
        <w:t>.</w:t>
      </w:r>
      <w:r>
        <w:fldChar w:fldCharType="end"/>
      </w:r>
    </w:p>
  </w:footnote>
  <w:footnote w:id="19">
    <w:p w14:paraId="4FF108AC" w14:textId="4F229826" w:rsidR="00B92323" w:rsidRDefault="00B92323">
      <w:pPr>
        <w:pStyle w:val="Notedebasdepage"/>
      </w:pPr>
      <w:r>
        <w:rPr>
          <w:rStyle w:val="Appelnotedebasdep"/>
        </w:rPr>
        <w:footnoteRef/>
      </w:r>
      <w:r>
        <w:t xml:space="preserve"> </w:t>
      </w:r>
      <w:r>
        <w:fldChar w:fldCharType="begin"/>
      </w:r>
      <w:r>
        <w:instrText xml:space="preserve"> ADDIN ZOTERO_ITEM CSL_CITATION {"citationID":"U27PAups","properties":{"formattedCitation":"\\uc0\\u171{}\\uc0\\u160{}Conseil des droits de l\\uc0\\u8217{}homme, 26\\uc0\\u232{}me session, r\\uc0\\u233{}solution 26/9 - \\uc0\\u201{}laboration d\\uc0\\u8217{}un instrument international juridiquement contraignant sur les soci\\uc0\\u233{}t\\uc0\\u233{}s transnationales et autres entreprises et les droits de l\\uc0\\u8217{}homme, adopt\\uc0\\u233{}e \\uc0\\u224{} la 37\\uc0\\u232{}me s\\uc0\\u233{}ance du 26 juin 2014, A/HRC/RES/26/9.\\uc0\\u160{}\\uc0\\u187{}","plainCitation":"« Conseil des droits de l’homme, 26ème session, résolution 26/9 - Élaboration d’un instrument international juridiquement contraignant sur les sociétés transnationales et autres entreprises et les droits de l’homme, adoptée à la 37ème séance du 26 juin 2014, A/HRC/RES/26/9. »","noteIndex":19},"citationItems":[{"id":3487,"uris":["http://zotero.org/users/10892933/items/Z92UNZQX"],"itemData":{"id":3487,"type":"legislation","title":"Conseil des droits de l'homme, 26ème session, résolution 26/9 - Élaboration d'un instrument international juridiquement contraignant sur les sociétés transnationales et autres entreprises et les droits de l'homme, adoptée à la 37ème séance du 26 juin 2014, A/HRC/RES/26/9.","URL":"https://daccess-ods.un.org/tmp/2568729.81786728.html"}}],"schema":"https://github.com/citation-style-language/schema/raw/master/csl-citation.json"} </w:instrText>
      </w:r>
      <w:r>
        <w:fldChar w:fldCharType="separate"/>
      </w:r>
      <w:r w:rsidRPr="00B92323">
        <w:rPr>
          <w:rFonts w:cs="Times New Roman"/>
        </w:rPr>
        <w:t>Conseil des droits de l</w:t>
      </w:r>
      <w:r w:rsidR="00A52ACC">
        <w:rPr>
          <w:rFonts w:cs="Times New Roman"/>
        </w:rPr>
        <w:t>’</w:t>
      </w:r>
      <w:r w:rsidRPr="00B92323">
        <w:rPr>
          <w:rFonts w:cs="Times New Roman"/>
        </w:rPr>
        <w:t>homme, 26</w:t>
      </w:r>
      <w:r w:rsidRPr="00B92323">
        <w:rPr>
          <w:rFonts w:cs="Times New Roman"/>
          <w:vertAlign w:val="superscript"/>
        </w:rPr>
        <w:t>ème</w:t>
      </w:r>
      <w:r w:rsidRPr="00B92323">
        <w:rPr>
          <w:rFonts w:cs="Times New Roman"/>
        </w:rPr>
        <w:t xml:space="preserve"> session, résolution 26/9 - Élaboration d</w:t>
      </w:r>
      <w:r w:rsidR="00A52ACC">
        <w:rPr>
          <w:rFonts w:cs="Times New Roman"/>
        </w:rPr>
        <w:t>’</w:t>
      </w:r>
      <w:r w:rsidRPr="00B92323">
        <w:rPr>
          <w:rFonts w:cs="Times New Roman"/>
        </w:rPr>
        <w:t>un instrument international juridiquement contraignant sur les sociétés transnationales et autres entreprises et les droits de l</w:t>
      </w:r>
      <w:r w:rsidR="00A52ACC">
        <w:rPr>
          <w:rFonts w:cs="Times New Roman"/>
        </w:rPr>
        <w:t>’</w:t>
      </w:r>
      <w:r w:rsidRPr="00B92323">
        <w:rPr>
          <w:rFonts w:cs="Times New Roman"/>
        </w:rPr>
        <w:t>homme, adoptée à la 37</w:t>
      </w:r>
      <w:r w:rsidRPr="00B92323">
        <w:rPr>
          <w:rFonts w:cs="Times New Roman"/>
          <w:vertAlign w:val="superscript"/>
        </w:rPr>
        <w:t>ème</w:t>
      </w:r>
      <w:r w:rsidRPr="00B92323">
        <w:rPr>
          <w:rFonts w:cs="Times New Roman"/>
        </w:rPr>
        <w:t xml:space="preserve"> séance du 26 juin 2014, A/HRC/RES/26/9. </w:t>
      </w:r>
      <w:r>
        <w:fldChar w:fldCharType="end"/>
      </w:r>
      <w:r>
        <w:t xml:space="preserve"> </w:t>
      </w:r>
    </w:p>
  </w:footnote>
  <w:footnote w:id="20">
    <w:p w14:paraId="3D91A651" w14:textId="5BF267BE" w:rsidR="00F44D87" w:rsidRDefault="00F44D87">
      <w:pPr>
        <w:pStyle w:val="Notedebasdepage"/>
      </w:pPr>
      <w:r>
        <w:rPr>
          <w:rStyle w:val="Appelnotedebasdep"/>
        </w:rPr>
        <w:footnoteRef/>
      </w:r>
      <w:r>
        <w:t xml:space="preserve"> Sur ce thème, v. </w:t>
      </w:r>
      <w:r w:rsidRPr="00C709C5">
        <w:t xml:space="preserve">R. MAUREL, </w:t>
      </w:r>
      <w:r>
        <w:t>« </w:t>
      </w:r>
      <w:r w:rsidRPr="00C709C5">
        <w:t>Regard critique sur le champ matériel du projet de directive européenne sur le devoir de vigilance des entreprises en matière de durabilité</w:t>
      </w:r>
      <w:r>
        <w:t> »</w:t>
      </w:r>
      <w:r w:rsidRPr="00C709C5">
        <w:t xml:space="preserve">, </w:t>
      </w:r>
      <w:r w:rsidRPr="00C709C5">
        <w:rPr>
          <w:i/>
          <w:iCs/>
        </w:rPr>
        <w:t>Revue de droit des affaires internationales</w:t>
      </w:r>
      <w:r w:rsidRPr="00C709C5">
        <w:t>, numéro spécial, à paraître en 2023.</w:t>
      </w:r>
    </w:p>
  </w:footnote>
  <w:footnote w:id="21">
    <w:p w14:paraId="601B18D0" w14:textId="14EAA81F" w:rsidR="00F44D87" w:rsidRDefault="00F44D87">
      <w:pPr>
        <w:pStyle w:val="Notedebasdepage"/>
      </w:pPr>
      <w:r>
        <w:rPr>
          <w:rStyle w:val="Appelnotedebasdep"/>
        </w:rPr>
        <w:footnoteRef/>
      </w:r>
      <w:r w:rsidR="00BF388C">
        <w:t> </w:t>
      </w:r>
      <w:r>
        <w:fldChar w:fldCharType="begin"/>
      </w:r>
      <w:r>
        <w:instrText xml:space="preserve"> ADDIN ZOTERO_ITEM CSL_CITATION {"citationID":"s6HfTtAR","properties":{"formattedCitation":"CJUE, Gde Ch., 6 mars 2018, Slowakische Republik contre Achmea BV, Affaire C-284/16, ECLI:EU:C:2018:158., {\\i{}Achmea}.","plainCitation":"CJUE, Gde Ch., 6 mars 2018, Slowakische Republik contre Achmea BV, Affaire C-284/16, ECLI:EU:C:2018:158., Achmea.","noteIndex":21},"citationItems":[{"id":3664,"uris":["http://zotero.org/users/10892933/items/UX5MS4DX"],"itemData":{"id":3664,"type":"legal_case","authority":"CJUE, Gde Ch., 6 mars 2018, Slowakische Republik contre Achmea BV, Affaire C-284/16, ECLI:EU:C:2018:158.","title":"CJUE, Gde Ch., 6 mars 2018, Slowakische Republik contre Achmea BV, Affaire C-284/16, ECLI:EU:C:2018:158.","title-short":"Achmea","URL":"https://curia.europa.eu/juris/document/document.jsf;jsessionid=0DF000F450EBC4D745971FBB03AE2930?text=&amp;docid=199968&amp;pageIndex=0&amp;doclang=fr&amp;mode=req&amp;dir=&amp;occ=first&amp;part=1&amp;cid=4339966"}}],"schema":"https://github.com/citation-style-language/schema/raw/master/csl-citation.json"} </w:instrText>
      </w:r>
      <w:r>
        <w:fldChar w:fldCharType="separate"/>
      </w:r>
      <w:r w:rsidRPr="00F44D87">
        <w:rPr>
          <w:rFonts w:cs="Times New Roman"/>
        </w:rPr>
        <w:t xml:space="preserve">CJUE, Gde Ch., 6 mars 2018, </w:t>
      </w:r>
      <w:proofErr w:type="spellStart"/>
      <w:r w:rsidRPr="00F44D87">
        <w:rPr>
          <w:rFonts w:cs="Times New Roman"/>
          <w:i/>
          <w:iCs/>
        </w:rPr>
        <w:t>Slowakische</w:t>
      </w:r>
      <w:proofErr w:type="spellEnd"/>
      <w:r w:rsidRPr="00F44D87">
        <w:rPr>
          <w:rFonts w:cs="Times New Roman"/>
          <w:i/>
          <w:iCs/>
        </w:rPr>
        <w:t xml:space="preserve"> </w:t>
      </w:r>
      <w:proofErr w:type="spellStart"/>
      <w:r w:rsidRPr="00F44D87">
        <w:rPr>
          <w:rFonts w:cs="Times New Roman"/>
          <w:i/>
          <w:iCs/>
        </w:rPr>
        <w:t>Republik</w:t>
      </w:r>
      <w:proofErr w:type="spellEnd"/>
      <w:r w:rsidRPr="00F44D87">
        <w:rPr>
          <w:rFonts w:cs="Times New Roman"/>
          <w:i/>
          <w:iCs/>
        </w:rPr>
        <w:t xml:space="preserve"> contre </w:t>
      </w:r>
      <w:proofErr w:type="spellStart"/>
      <w:r w:rsidRPr="00F44D87">
        <w:rPr>
          <w:rFonts w:cs="Times New Roman"/>
          <w:i/>
          <w:iCs/>
        </w:rPr>
        <w:t>Achmea</w:t>
      </w:r>
      <w:proofErr w:type="spellEnd"/>
      <w:r w:rsidRPr="00F44D87">
        <w:rPr>
          <w:rFonts w:cs="Times New Roman"/>
          <w:i/>
          <w:iCs/>
        </w:rPr>
        <w:t xml:space="preserve"> BV</w:t>
      </w:r>
      <w:r w:rsidRPr="00F44D87">
        <w:rPr>
          <w:rFonts w:cs="Times New Roman"/>
        </w:rPr>
        <w:t xml:space="preserve">, Affaire C-284/16, </w:t>
      </w:r>
      <w:proofErr w:type="gramStart"/>
      <w:r w:rsidRPr="00F44D87">
        <w:rPr>
          <w:rFonts w:cs="Times New Roman"/>
        </w:rPr>
        <w:t>ECLI:</w:t>
      </w:r>
      <w:proofErr w:type="gramEnd"/>
      <w:r w:rsidRPr="00F44D87">
        <w:rPr>
          <w:rFonts w:cs="Times New Roman"/>
        </w:rPr>
        <w:t>EU:C:2018:158.</w:t>
      </w:r>
      <w:r>
        <w:fldChar w:fldCharType="end"/>
      </w:r>
    </w:p>
  </w:footnote>
  <w:footnote w:id="22">
    <w:p w14:paraId="15D2949C" w14:textId="264C7C4C" w:rsidR="00BF388C" w:rsidRPr="00BF388C" w:rsidRDefault="00BF388C">
      <w:pPr>
        <w:pStyle w:val="Notedebasdepage"/>
      </w:pPr>
      <w:r>
        <w:rPr>
          <w:rStyle w:val="Appelnotedebasdep"/>
        </w:rPr>
        <w:footnoteRef/>
      </w:r>
      <w:r>
        <w:t xml:space="preserve"> </w:t>
      </w:r>
      <w:r>
        <w:rPr>
          <w:i/>
          <w:iCs/>
        </w:rPr>
        <w:t>Ibid</w:t>
      </w:r>
      <w:r>
        <w:t xml:space="preserve">., </w:t>
      </w:r>
      <w:r>
        <w:rPr>
          <w:rFonts w:ascii="Times" w:hAnsi="Times"/>
          <w:szCs w:val="24"/>
        </w:rPr>
        <w:t>§56.</w:t>
      </w:r>
    </w:p>
  </w:footnote>
  <w:footnote w:id="23">
    <w:p w14:paraId="7B12C499" w14:textId="7B786165" w:rsidR="00EF4D3D" w:rsidRPr="00EF4D3D" w:rsidRDefault="00EF4D3D">
      <w:pPr>
        <w:pStyle w:val="Notedebasdepage"/>
      </w:pPr>
      <w:r>
        <w:rPr>
          <w:rStyle w:val="Appelnotedebasdep"/>
        </w:rPr>
        <w:footnoteRef/>
      </w:r>
      <w:r>
        <w:t xml:space="preserve"> </w:t>
      </w:r>
      <w:r>
        <w:rPr>
          <w:i/>
          <w:iCs/>
        </w:rPr>
        <w:t>Ibid</w:t>
      </w:r>
      <w:r>
        <w:t>., §59.</w:t>
      </w:r>
    </w:p>
  </w:footnote>
  <w:footnote w:id="24">
    <w:p w14:paraId="79433C13" w14:textId="5099DAD2" w:rsidR="00EF4D3D" w:rsidRDefault="00EF4D3D">
      <w:pPr>
        <w:pStyle w:val="Notedebasdepage"/>
      </w:pPr>
      <w:r>
        <w:rPr>
          <w:rStyle w:val="Appelnotedebasdep"/>
        </w:rPr>
        <w:footnoteRef/>
      </w:r>
      <w:r>
        <w:t xml:space="preserve"> </w:t>
      </w:r>
      <w:r>
        <w:fldChar w:fldCharType="begin"/>
      </w:r>
      <w:r w:rsidR="009D254B">
        <w:instrText xml:space="preserve"> ADDIN ZOTERO_ITEM CSL_CITATION {"citationID":"eteBy6Jj","properties":{"custom":"V. l'Accord portant extinction des trait\\uc0\\u233{}s bilat\\uc0\\u233{}raux d\\uc0\\u8217{}investissement entre \\uc0\\u201{}tats membres de l\\uc0\\u8217{}Union europ\\uc0\\u233{}enne, SN/4656/2019/INIT, {\\i{}JOUE} du 29 mai 2020, L 169/1, et \\uc0\\u224{} son propos J. CAZALA, \\uc0\\u171{} Fin de partie pour les trait\\uc0\\u233{}s bilat\\uc0\\u233{}raux d\\uc0\\u8217{}investissement intra-europ\\uc0\\u233{}ens\\uc0\\u8239{}? \\uc0\\u192{} propos de l\\uc0\\u8217{}accord du 5 mai 2020 \\uc0\\u187{}, {\\i{}JDI}, n\\uc0\\u176{}3, 2020, pp. 855-874.","formattedCitation":"V. l'Accord portant extinction des trait\\uc0\\u233{}s bilat\\uc0\\u233{}raux d\\uc0\\u8217{}investissement entre \\uc0\\u201{}tats membres de l\\uc0\\u8217{}Union europ\\uc0\\u233{}enne, SN/4656/2019/INIT, {\\i{}JOUE} du 29 mai 2020, L 169/1, et \\uc0\\u224{} son propos J. CAZALA, \\uc0\\u171{} Fin de partie pour les trait\\uc0\\u233{}s bilat\\uc0\\u233{}raux d\\uc0\\u8217{}investissement intra-europ\\uc0\\u233{}ens\\uc0\\u8239{}? \\uc0\\u192{} propos de l\\uc0\\u8217{}accord du 5 mai 2020 \\uc0\\u187{}, {\\i{}JDI}, n\\uc0\\u176{}3, 2020, pp. 855-874.","plainCitation":"V. l'Accord portant extinction des traités bilatéraux d’investissement entre États membres de l’Union européenne, SN/4656/2019/INIT, JOUE du 29 mai 2020, L 169/1, et à son propos J. CAZALA, « Fin de partie pour les traités bilatéraux d’investissement intra-européens ? À propos de l’accord du 5 mai 2020 », JDI, n°3, 2020, pp. 855-874.","noteIndex":24},"citationItems":[{"id":3676,"uris":["http://zotero.org/users/10892933/items/XYTWKL4X"],"itemData":{"id":3676,"type":"legislation","title":"Accord portant extinction des traités bilatéraux d’investissement entre États membres de l’Union européenne, SN/4656/2019/INIT, JOUE du 29 mai 2020, L 169/1.","URL":"https://eur-lex.europa.eu/legal-content/FR/TXT/PDF/?uri=CELEX:22020A0529(01)"},"label":"page"},{"id":3675,"uris":["http://zotero.org/users/10892933/items/X42H27BB"],"itemData":{"id":3675,"type":"article-journal","container-title":"JDI","page":"855-874","title":"Fin de partie pour les traités bilatéraux d'investissement intra-européens ? À propos de l'accord du 5 mai 2020","volume":"n°3","author":[{"family":"Cazala","given":"Julien"}],"issued":{"date-parts":[["2020"]]}},"label":"page"}],"schema":"https://github.com/citation-style-language/schema/raw/master/csl-citation.json"} </w:instrText>
      </w:r>
      <w:r>
        <w:fldChar w:fldCharType="separate"/>
      </w:r>
      <w:r w:rsidR="009D254B" w:rsidRPr="009D254B">
        <w:rPr>
          <w:rFonts w:cs="Times New Roman"/>
        </w:rPr>
        <w:t>V. l</w:t>
      </w:r>
      <w:r w:rsidR="00A52ACC">
        <w:rPr>
          <w:rFonts w:cs="Times New Roman"/>
        </w:rPr>
        <w:t>’</w:t>
      </w:r>
      <w:r w:rsidR="009D254B" w:rsidRPr="009D254B">
        <w:rPr>
          <w:rFonts w:cs="Times New Roman"/>
        </w:rPr>
        <w:t>Accord portant extinction des traités bilatéraux d</w:t>
      </w:r>
      <w:r w:rsidR="00A52ACC">
        <w:rPr>
          <w:rFonts w:cs="Times New Roman"/>
        </w:rPr>
        <w:t>’</w:t>
      </w:r>
      <w:r w:rsidR="009D254B" w:rsidRPr="009D254B">
        <w:rPr>
          <w:rFonts w:cs="Times New Roman"/>
        </w:rPr>
        <w:t>investissement entre États membres de l</w:t>
      </w:r>
      <w:r w:rsidR="00A52ACC">
        <w:rPr>
          <w:rFonts w:cs="Times New Roman"/>
        </w:rPr>
        <w:t>’</w:t>
      </w:r>
      <w:r w:rsidR="009D254B" w:rsidRPr="009D254B">
        <w:rPr>
          <w:rFonts w:cs="Times New Roman"/>
        </w:rPr>
        <w:t xml:space="preserve">Union européenne, SN/4656/2019/INIT, </w:t>
      </w:r>
      <w:r w:rsidR="009D254B" w:rsidRPr="009D254B">
        <w:rPr>
          <w:rFonts w:cs="Times New Roman"/>
          <w:i/>
          <w:iCs/>
        </w:rPr>
        <w:t>JOUE</w:t>
      </w:r>
      <w:r w:rsidR="009D254B" w:rsidRPr="009D254B">
        <w:rPr>
          <w:rFonts w:cs="Times New Roman"/>
        </w:rPr>
        <w:t xml:space="preserve"> du 29 mai 2020, L 169/1, et à son propos J. CAZALA, « Fin de partie pour les traités bilatéraux d</w:t>
      </w:r>
      <w:r w:rsidR="00A52ACC">
        <w:rPr>
          <w:rFonts w:cs="Times New Roman"/>
        </w:rPr>
        <w:t>’</w:t>
      </w:r>
      <w:r w:rsidR="009D254B" w:rsidRPr="009D254B">
        <w:rPr>
          <w:rFonts w:cs="Times New Roman"/>
        </w:rPr>
        <w:t>investissement intra-européens ? À propos de l</w:t>
      </w:r>
      <w:r w:rsidR="00A52ACC">
        <w:rPr>
          <w:rFonts w:cs="Times New Roman"/>
        </w:rPr>
        <w:t>’</w:t>
      </w:r>
      <w:r w:rsidR="009D254B" w:rsidRPr="009D254B">
        <w:rPr>
          <w:rFonts w:cs="Times New Roman"/>
        </w:rPr>
        <w:t xml:space="preserve">accord du 5 mai 2020 », </w:t>
      </w:r>
      <w:r w:rsidR="009D254B" w:rsidRPr="009D254B">
        <w:rPr>
          <w:rFonts w:cs="Times New Roman"/>
          <w:i/>
          <w:iCs/>
        </w:rPr>
        <w:t>JDI</w:t>
      </w:r>
      <w:r w:rsidR="009D254B" w:rsidRPr="009D254B">
        <w:rPr>
          <w:rFonts w:cs="Times New Roman"/>
        </w:rPr>
        <w:t>, n°3, 2020, pp. 855-874.</w:t>
      </w:r>
      <w:r>
        <w:fldChar w:fldCharType="end"/>
      </w:r>
    </w:p>
  </w:footnote>
  <w:footnote w:id="25">
    <w:p w14:paraId="70C6671B" w14:textId="1457A92E" w:rsidR="00E2366C" w:rsidRDefault="00E2366C">
      <w:pPr>
        <w:pStyle w:val="Notedebasdepage"/>
      </w:pPr>
      <w:r>
        <w:rPr>
          <w:rStyle w:val="Appelnotedebasdep"/>
        </w:rPr>
        <w:footnoteRef/>
      </w:r>
      <w:r>
        <w:t xml:space="preserve"> V. la contribution d</w:t>
      </w:r>
      <w:r w:rsidR="00A52ACC">
        <w:t>’</w:t>
      </w:r>
      <w:r>
        <w:t>E. LAFOND dans cet ouvrage.</w:t>
      </w:r>
    </w:p>
  </w:footnote>
  <w:footnote w:id="26">
    <w:p w14:paraId="72DDC7BB" w14:textId="2DE2F852" w:rsidR="00E2366C" w:rsidRDefault="00E2366C">
      <w:pPr>
        <w:pStyle w:val="Notedebasdepage"/>
      </w:pPr>
      <w:r>
        <w:rPr>
          <w:rStyle w:val="Appelnotedebasdep"/>
        </w:rPr>
        <w:footnoteRef/>
      </w:r>
      <w:r>
        <w:t xml:space="preserve"> V. les contributions de M. FRAPPIER, A. DE NANTEUIL, </w:t>
      </w:r>
      <w:r w:rsidR="00732EB3">
        <w:t>P. ACCAOUI LORFING et C. CRÉPET DAIGREMONT dans cet ouvrage.</w:t>
      </w:r>
    </w:p>
  </w:footnote>
  <w:footnote w:id="27">
    <w:p w14:paraId="4F3872FD" w14:textId="2346C629" w:rsidR="00732EB3" w:rsidRDefault="00732EB3">
      <w:pPr>
        <w:pStyle w:val="Notedebasdepage"/>
      </w:pPr>
      <w:r>
        <w:rPr>
          <w:rStyle w:val="Appelnotedebasdep"/>
        </w:rPr>
        <w:footnoteRef/>
      </w:r>
      <w:r>
        <w:t xml:space="preserve"> V. notamment les contributions de F. MARTUCCI, D. BLANC et C. NOURISSAT dans cet ouvrage.</w:t>
      </w:r>
    </w:p>
  </w:footnote>
  <w:footnote w:id="28">
    <w:p w14:paraId="2A2DA80D" w14:textId="4163EC9C" w:rsidR="00D0076C" w:rsidRDefault="00D0076C">
      <w:pPr>
        <w:pStyle w:val="Notedebasdepage"/>
      </w:pPr>
      <w:r>
        <w:rPr>
          <w:rStyle w:val="Appelnotedebasdep"/>
        </w:rPr>
        <w:footnoteRef/>
      </w:r>
      <w:r>
        <w:t xml:space="preserve"> V. la contribution de C. KESSEDJIAN dans cet ouvrage.</w:t>
      </w:r>
    </w:p>
  </w:footnote>
  <w:footnote w:id="29">
    <w:p w14:paraId="1BF4C270" w14:textId="60CF7540" w:rsidR="00D0076C" w:rsidRDefault="00D0076C">
      <w:pPr>
        <w:pStyle w:val="Notedebasdepage"/>
      </w:pPr>
      <w:r>
        <w:rPr>
          <w:rStyle w:val="Appelnotedebasdep"/>
        </w:rPr>
        <w:footnoteRef/>
      </w:r>
      <w:r>
        <w:t xml:space="preserve"> V. les contributions de S. THIÉRY, N. FORSTER, M. BARBA et B. SAMSON dans cet ouvrage.</w:t>
      </w:r>
    </w:p>
  </w:footnote>
  <w:footnote w:id="30">
    <w:p w14:paraId="5406C1E1" w14:textId="1405E015" w:rsidR="002D1B58" w:rsidRDefault="002D1B58">
      <w:pPr>
        <w:pStyle w:val="Notedebasdepage"/>
      </w:pPr>
      <w:r>
        <w:rPr>
          <w:rStyle w:val="Appelnotedebasdep"/>
        </w:rPr>
        <w:footnoteRef/>
      </w:r>
      <w:r>
        <w:t> </w:t>
      </w:r>
      <w:r>
        <w:fldChar w:fldCharType="begin"/>
      </w:r>
      <w:r>
        <w:instrText xml:space="preserve"> ADDIN ZOTERO_ITEM CSL_CITATION {"citationID":"iQIIIiPU","properties":{"formattedCitation":"\\uc0\\u171{}\\uc0\\u160{}Conclusions de l\\uc0\\u8217{}avocat g\\uc0\\u233{}n\\uc0\\u233{}ral Melchior WATHELET pr\\uc0\\u233{}sent\\uc0\\u233{}es le 19 septembre 2017 dans l\\uc0\\u8217{}affaire C\\uc0\\u8209{}284/16, Slowakische Republik contre Achmea BV, ECLI:EU:C:2017:699\\uc0\\u160{}\\uc0\\u187{}.","plainCitation":"« Conclusions de l’avocat général Melchior WATHELET présentées le 19 septembre 2017 dans l’affaire C‑284/16, Slowakische Republik contre Achmea BV, ECLI:EU:C:2017:699 ».","noteIndex":30},"citationItems":[{"id":3678,"uris":["http://zotero.org/users/10892933/items/5W877IQM"],"itemData":{"id":3678,"type":"legislation","title":"Conclusions de l'avocat général Melchior WATHELET présentées le 19 septembre 2017 dans l'affaire C‑284/16, Slowakische Republik contre Achmea BV, ECLI:EU:C:2017:699","URL":"https://curia.europa.eu/juris/document/document.jsf;jsessionid=0DF000F450EBC4D745971FBB03AE2930?text=&amp;docid=194583&amp;pageIndex=0&amp;doclang=fr&amp;mode=req&amp;dir=&amp;occ=first&amp;part=1&amp;cid=4339966"}}],"schema":"https://github.com/citation-style-language/schema/raw/master/csl-citation.json"} </w:instrText>
      </w:r>
      <w:r>
        <w:fldChar w:fldCharType="separate"/>
      </w:r>
      <w:r w:rsidRPr="002D1B58">
        <w:rPr>
          <w:rFonts w:cs="Times New Roman"/>
        </w:rPr>
        <w:t>Conclusions de l</w:t>
      </w:r>
      <w:r w:rsidR="00A52ACC">
        <w:rPr>
          <w:rFonts w:cs="Times New Roman"/>
        </w:rPr>
        <w:t>’</w:t>
      </w:r>
      <w:r w:rsidRPr="002D1B58">
        <w:rPr>
          <w:rFonts w:cs="Times New Roman"/>
        </w:rPr>
        <w:t>avocat général Melchior WATHELET présentées le 19 septembre 2017 dans l</w:t>
      </w:r>
      <w:r w:rsidR="00A52ACC">
        <w:rPr>
          <w:rFonts w:cs="Times New Roman"/>
        </w:rPr>
        <w:t>’</w:t>
      </w:r>
      <w:r w:rsidRPr="002D1B58">
        <w:rPr>
          <w:rFonts w:cs="Times New Roman"/>
        </w:rPr>
        <w:t xml:space="preserve">affaire C‑284/16, </w:t>
      </w:r>
      <w:proofErr w:type="spellStart"/>
      <w:r w:rsidRPr="002D1B58">
        <w:rPr>
          <w:rFonts w:cs="Times New Roman"/>
          <w:i/>
          <w:iCs/>
        </w:rPr>
        <w:t>Slowakische</w:t>
      </w:r>
      <w:proofErr w:type="spellEnd"/>
      <w:r w:rsidRPr="002D1B58">
        <w:rPr>
          <w:rFonts w:cs="Times New Roman"/>
          <w:i/>
          <w:iCs/>
        </w:rPr>
        <w:t xml:space="preserve"> </w:t>
      </w:r>
      <w:proofErr w:type="spellStart"/>
      <w:r w:rsidRPr="002D1B58">
        <w:rPr>
          <w:rFonts w:cs="Times New Roman"/>
          <w:i/>
          <w:iCs/>
        </w:rPr>
        <w:t>Republik</w:t>
      </w:r>
      <w:proofErr w:type="spellEnd"/>
      <w:r w:rsidRPr="002D1B58">
        <w:rPr>
          <w:rFonts w:cs="Times New Roman"/>
          <w:i/>
          <w:iCs/>
        </w:rPr>
        <w:t xml:space="preserve"> contre </w:t>
      </w:r>
      <w:proofErr w:type="spellStart"/>
      <w:r w:rsidRPr="002D1B58">
        <w:rPr>
          <w:rFonts w:cs="Times New Roman"/>
          <w:i/>
          <w:iCs/>
        </w:rPr>
        <w:t>Achmea</w:t>
      </w:r>
      <w:proofErr w:type="spellEnd"/>
      <w:r w:rsidRPr="002D1B58">
        <w:rPr>
          <w:rFonts w:cs="Times New Roman"/>
          <w:i/>
          <w:iCs/>
        </w:rPr>
        <w:t xml:space="preserve"> BV</w:t>
      </w:r>
      <w:r w:rsidRPr="002D1B58">
        <w:rPr>
          <w:rFonts w:cs="Times New Roman"/>
        </w:rPr>
        <w:t xml:space="preserve">, </w:t>
      </w:r>
      <w:proofErr w:type="gramStart"/>
      <w:r w:rsidRPr="002D1B58">
        <w:rPr>
          <w:rFonts w:cs="Times New Roman"/>
        </w:rPr>
        <w:t>ECLI:</w:t>
      </w:r>
      <w:proofErr w:type="gramEnd"/>
      <w:r w:rsidRPr="002D1B58">
        <w:rPr>
          <w:rFonts w:cs="Times New Roman"/>
        </w:rPr>
        <w:t>EU:C:2017:699.</w:t>
      </w:r>
      <w:r>
        <w:fldChar w:fldCharType="end"/>
      </w:r>
    </w:p>
  </w:footnote>
  <w:footnote w:id="31">
    <w:p w14:paraId="2A27F6C3" w14:textId="681DA995" w:rsidR="00467E1F" w:rsidRPr="00467E1F" w:rsidRDefault="00467E1F">
      <w:pPr>
        <w:pStyle w:val="Notedebasdepage"/>
      </w:pPr>
      <w:r>
        <w:rPr>
          <w:rStyle w:val="Appelnotedebasdep"/>
        </w:rPr>
        <w:footnoteRef/>
      </w:r>
      <w:r>
        <w:t xml:space="preserve"> </w:t>
      </w:r>
      <w:r>
        <w:rPr>
          <w:i/>
          <w:iCs/>
        </w:rPr>
        <w:t>Ibid</w:t>
      </w:r>
      <w:r>
        <w:t>., §34.</w:t>
      </w:r>
    </w:p>
  </w:footnote>
  <w:footnote w:id="32">
    <w:p w14:paraId="1CF50061" w14:textId="3B5B67A7" w:rsidR="00A81D7C" w:rsidRDefault="00A81D7C">
      <w:pPr>
        <w:pStyle w:val="Notedebasdepage"/>
      </w:pPr>
      <w:r>
        <w:rPr>
          <w:rStyle w:val="Appelnotedebasdep"/>
        </w:rPr>
        <w:footnoteRef/>
      </w:r>
      <w:r w:rsidR="003556AC">
        <w:t> </w:t>
      </w:r>
      <w:r>
        <w:fldChar w:fldCharType="begin"/>
      </w:r>
      <w:r w:rsidR="003556AC">
        <w:instrText xml:space="preserve"> ADDIN ZOTERO_ITEM CSL_CITATION {"citationID":"7hjLaCJV","properties":{"formattedCitation":"CJUE, Gde Ch., 2 octobre 2021, R\\uc0\\u233{}publique de Moldavie contre Komstroy LLC, Affaire C-741/19, ECLI:EU:C:2021:655.","plainCitation":"CJUE, Gde Ch., 2 octobre 2021, République de Moldavie contre Komstroy LLC, Affaire C-741/19, ECLI:EU:C:2021:655.","noteIndex":32},"citationItems":[{"id":3679,"uris":["http://zotero.org/users/10892933/items/4NVXFZWV"],"itemData":{"id":3679,"type":"legal_case","authority":"CJUE, Gde Ch., 2 octobre 2021, République de Moldavie contre Komstroy LLC, Affaire C-741/19, ECLI:EU:C:2021:655","title":"CJUE, Gde Ch., 2 octobre 2021, République de Moldavie contre Komstroy LLC, Affaire C-741/19, ECLI:EU:C:2021:655","URL":"https://curia.europa.eu/juris/document/document.jsf?text=&amp;docid=245528&amp;pageIndex=0&amp;doclang=fr&amp;mode=req&amp;dir=&amp;occ=first&amp;part=1&amp;cid=3843655"}}],"schema":"https://github.com/citation-style-language/schema/raw/master/csl-citation.json"} </w:instrText>
      </w:r>
      <w:r>
        <w:fldChar w:fldCharType="separate"/>
      </w:r>
      <w:r w:rsidR="003556AC" w:rsidRPr="003556AC">
        <w:rPr>
          <w:rFonts w:cs="Times New Roman"/>
        </w:rPr>
        <w:t xml:space="preserve">CJUE, Gde Ch., 2 octobre 2021, </w:t>
      </w:r>
      <w:r w:rsidR="003556AC" w:rsidRPr="003556AC">
        <w:rPr>
          <w:rFonts w:cs="Times New Roman"/>
          <w:i/>
          <w:iCs/>
        </w:rPr>
        <w:t xml:space="preserve">République de Moldavie contre </w:t>
      </w:r>
      <w:proofErr w:type="spellStart"/>
      <w:r w:rsidR="003556AC" w:rsidRPr="003556AC">
        <w:rPr>
          <w:rFonts w:cs="Times New Roman"/>
          <w:i/>
          <w:iCs/>
        </w:rPr>
        <w:t>Komstroy</w:t>
      </w:r>
      <w:proofErr w:type="spellEnd"/>
      <w:r w:rsidR="003556AC" w:rsidRPr="003556AC">
        <w:rPr>
          <w:rFonts w:cs="Times New Roman"/>
          <w:i/>
          <w:iCs/>
        </w:rPr>
        <w:t xml:space="preserve"> LLC</w:t>
      </w:r>
      <w:r w:rsidR="003556AC" w:rsidRPr="003556AC">
        <w:rPr>
          <w:rFonts w:cs="Times New Roman"/>
        </w:rPr>
        <w:t xml:space="preserve">, Affaire C-741/19, </w:t>
      </w:r>
      <w:proofErr w:type="gramStart"/>
      <w:r w:rsidR="003556AC" w:rsidRPr="003556AC">
        <w:rPr>
          <w:rFonts w:cs="Times New Roman"/>
        </w:rPr>
        <w:t>ECLI:</w:t>
      </w:r>
      <w:proofErr w:type="gramEnd"/>
      <w:r w:rsidR="003556AC" w:rsidRPr="003556AC">
        <w:rPr>
          <w:rFonts w:cs="Times New Roman"/>
        </w:rPr>
        <w:t>EU:C:2021:655.</w:t>
      </w:r>
      <w:r>
        <w:fldChar w:fldCharType="end"/>
      </w:r>
    </w:p>
  </w:footnote>
  <w:footnote w:id="33">
    <w:p w14:paraId="0547F388" w14:textId="6790F7AD" w:rsidR="003556AC" w:rsidRDefault="003556AC">
      <w:pPr>
        <w:pStyle w:val="Notedebasdepage"/>
      </w:pPr>
      <w:r>
        <w:rPr>
          <w:rStyle w:val="Appelnotedebasdep"/>
        </w:rPr>
        <w:footnoteRef/>
      </w:r>
      <w:r>
        <w:t> </w:t>
      </w:r>
      <w:r>
        <w:fldChar w:fldCharType="begin"/>
      </w:r>
      <w:r>
        <w:instrText xml:space="preserve"> ADDIN ZOTERO_ITEM CSL_CITATION {"citationID":"UbMfKPsv","properties":{"formattedCitation":"CJUE, Gde Ch., 26 octobre 2021, Republiken Polen contre PL Holdings S\\uc0\\u224{}rl, Affaire C-109/20, ECLI:EU:C:2021:875.","plainCitation":"CJUE, Gde Ch., 26 octobre 2021, Republiken Polen contre PL Holdings Sàrl, Affaire C-109/20, ECLI:EU:C:2021:875.","noteIndex":33},"citationItems":[{"id":3682,"uris":["http://zotero.org/users/10892933/items/YJUQAXI4"],"itemData":{"id":3682,"type":"legal_case","authority":"CJUE, Gde Ch., 26 octobre 2021, Republiken Polen contre PL Holdings Sàrl, Affaire C-109/20, ECLI:EU:C:2021:875","title":"CJUE, Gde Ch., 26 octobre 2021, Republiken Polen contre PL Holdings Sàrl, Affaire C-109/20, ECLI:EU:C:2021:875","URL":"https://curia.europa.eu/juris/document/document.jsf?text=&amp;docid=248141&amp;pageIndex=0&amp;doclang=fr&amp;mode=lst&amp;dir=&amp;occ=first&amp;part=1&amp;cid=3847212"}}],"schema":"https://github.com/citation-style-language/schema/raw/master/csl-citation.json"} </w:instrText>
      </w:r>
      <w:r>
        <w:fldChar w:fldCharType="separate"/>
      </w:r>
      <w:r w:rsidRPr="003556AC">
        <w:rPr>
          <w:rFonts w:cs="Times New Roman"/>
        </w:rPr>
        <w:t xml:space="preserve">CJUE, Gde Ch., 26 octobre 2021, </w:t>
      </w:r>
      <w:proofErr w:type="spellStart"/>
      <w:r w:rsidRPr="003556AC">
        <w:rPr>
          <w:rFonts w:cs="Times New Roman"/>
          <w:i/>
          <w:iCs/>
        </w:rPr>
        <w:t>Republiken</w:t>
      </w:r>
      <w:proofErr w:type="spellEnd"/>
      <w:r w:rsidRPr="003556AC">
        <w:rPr>
          <w:rFonts w:cs="Times New Roman"/>
          <w:i/>
          <w:iCs/>
        </w:rPr>
        <w:t xml:space="preserve"> </w:t>
      </w:r>
      <w:proofErr w:type="spellStart"/>
      <w:r w:rsidRPr="003556AC">
        <w:rPr>
          <w:rFonts w:cs="Times New Roman"/>
          <w:i/>
          <w:iCs/>
        </w:rPr>
        <w:t>Polen</w:t>
      </w:r>
      <w:proofErr w:type="spellEnd"/>
      <w:r w:rsidRPr="003556AC">
        <w:rPr>
          <w:rFonts w:cs="Times New Roman"/>
          <w:i/>
          <w:iCs/>
        </w:rPr>
        <w:t xml:space="preserve"> contre PL Holdings </w:t>
      </w:r>
      <w:proofErr w:type="spellStart"/>
      <w:r w:rsidRPr="003556AC">
        <w:rPr>
          <w:rFonts w:cs="Times New Roman"/>
          <w:i/>
          <w:iCs/>
        </w:rPr>
        <w:t>Sàrl</w:t>
      </w:r>
      <w:proofErr w:type="spellEnd"/>
      <w:r w:rsidRPr="003556AC">
        <w:rPr>
          <w:rFonts w:cs="Times New Roman"/>
          <w:i/>
          <w:iCs/>
        </w:rPr>
        <w:t>,</w:t>
      </w:r>
      <w:r w:rsidRPr="003556AC">
        <w:rPr>
          <w:rFonts w:cs="Times New Roman"/>
        </w:rPr>
        <w:t xml:space="preserve"> Affaire C-109/20, </w:t>
      </w:r>
      <w:proofErr w:type="gramStart"/>
      <w:r w:rsidRPr="003556AC">
        <w:rPr>
          <w:rFonts w:cs="Times New Roman"/>
        </w:rPr>
        <w:t>ECLI:</w:t>
      </w:r>
      <w:proofErr w:type="gramEnd"/>
      <w:r w:rsidRPr="003556AC">
        <w:rPr>
          <w:rFonts w:cs="Times New Roman"/>
        </w:rPr>
        <w:t>EU:C:2021:875.</w:t>
      </w:r>
      <w:r>
        <w:fldChar w:fldCharType="end"/>
      </w:r>
    </w:p>
  </w:footnote>
  <w:footnote w:id="34">
    <w:p w14:paraId="3482EA7E" w14:textId="68C52C77" w:rsidR="00461071" w:rsidRPr="00461071" w:rsidRDefault="00461071">
      <w:pPr>
        <w:pStyle w:val="Notedebasdepage"/>
      </w:pPr>
      <w:r>
        <w:rPr>
          <w:rStyle w:val="Appelnotedebasdep"/>
        </w:rPr>
        <w:footnoteRef/>
      </w:r>
      <w:r>
        <w:t xml:space="preserve"> </w:t>
      </w:r>
      <w:r w:rsidRPr="00461071">
        <w:rPr>
          <w:rStyle w:val="break-words"/>
        </w:rPr>
        <w:t xml:space="preserve">Supreme Court of </w:t>
      </w:r>
      <w:proofErr w:type="spellStart"/>
      <w:r w:rsidRPr="00461071">
        <w:rPr>
          <w:rStyle w:val="break-words"/>
        </w:rPr>
        <w:t>Sweden</w:t>
      </w:r>
      <w:proofErr w:type="spellEnd"/>
      <w:r w:rsidRPr="00461071">
        <w:rPr>
          <w:rStyle w:val="break-words"/>
        </w:rPr>
        <w:t>,</w:t>
      </w:r>
      <w:r w:rsidRPr="00D443AA">
        <w:rPr>
          <w:rStyle w:val="break-words"/>
          <w:i/>
          <w:iCs/>
        </w:rPr>
        <w:t xml:space="preserve"> </w:t>
      </w:r>
      <w:r w:rsidRPr="00965AB4">
        <w:rPr>
          <w:rStyle w:val="break-words"/>
          <w:i/>
          <w:iCs/>
        </w:rPr>
        <w:t xml:space="preserve">PL Holdings </w:t>
      </w:r>
      <w:proofErr w:type="spellStart"/>
      <w:r w:rsidRPr="00965AB4">
        <w:rPr>
          <w:rStyle w:val="break-words"/>
          <w:i/>
          <w:iCs/>
        </w:rPr>
        <w:t>S.a.r.l.</w:t>
      </w:r>
      <w:proofErr w:type="spellEnd"/>
      <w:r w:rsidRPr="00965AB4">
        <w:rPr>
          <w:rStyle w:val="break-words"/>
          <w:i/>
          <w:iCs/>
        </w:rPr>
        <w:t xml:space="preserve"> v. </w:t>
      </w:r>
      <w:proofErr w:type="spellStart"/>
      <w:r w:rsidRPr="00965AB4">
        <w:rPr>
          <w:rStyle w:val="break-words"/>
          <w:i/>
          <w:iCs/>
        </w:rPr>
        <w:t>Poland</w:t>
      </w:r>
      <w:proofErr w:type="spellEnd"/>
      <w:r w:rsidRPr="00461071">
        <w:rPr>
          <w:rStyle w:val="break-words"/>
        </w:rPr>
        <w:t xml:space="preserve">, 15 </w:t>
      </w:r>
      <w:proofErr w:type="spellStart"/>
      <w:r w:rsidRPr="00461071">
        <w:rPr>
          <w:rStyle w:val="break-words"/>
        </w:rPr>
        <w:t>december</w:t>
      </w:r>
      <w:proofErr w:type="spellEnd"/>
      <w:r w:rsidRPr="00461071">
        <w:rPr>
          <w:rStyle w:val="break-words"/>
        </w:rPr>
        <w:t xml:space="preserve"> 2022, SCC Case No. V 2014/163</w:t>
      </w:r>
      <w:r>
        <w:rPr>
          <w:rStyle w:val="break-words"/>
        </w:rPr>
        <w:t xml:space="preserve">. </w:t>
      </w:r>
      <w:r w:rsidR="003E3352">
        <w:rPr>
          <w:rStyle w:val="break-words"/>
        </w:rPr>
        <w:t>Pour un bref commentaire</w:t>
      </w:r>
      <w:r w:rsidR="009B3FC5">
        <w:rPr>
          <w:rStyle w:val="break-words"/>
        </w:rPr>
        <w:t xml:space="preserve"> sur lequel s</w:t>
      </w:r>
      <w:r w:rsidR="00A52ACC">
        <w:rPr>
          <w:rStyle w:val="break-words"/>
        </w:rPr>
        <w:t>’</w:t>
      </w:r>
      <w:r w:rsidR="009B3FC5">
        <w:rPr>
          <w:rStyle w:val="break-words"/>
        </w:rPr>
        <w:t>appuient les paragraphes qui suivent</w:t>
      </w:r>
      <w:r w:rsidR="003E3352">
        <w:rPr>
          <w:rStyle w:val="break-words"/>
        </w:rPr>
        <w:t xml:space="preserve">, v.  R. MAUREL, </w:t>
      </w:r>
      <w:r w:rsidR="003E3352" w:rsidRPr="003E3352">
        <w:rPr>
          <w:rStyle w:val="break-words"/>
        </w:rPr>
        <w:t xml:space="preserve">« </w:t>
      </w:r>
      <w:r w:rsidR="003E3352" w:rsidRPr="003E3352">
        <w:rPr>
          <w:rStyle w:val="break-words"/>
          <w:i/>
          <w:iCs/>
        </w:rPr>
        <w:t>PL Holdings</w:t>
      </w:r>
      <w:r w:rsidR="003E3352" w:rsidRPr="003E3352">
        <w:rPr>
          <w:rStyle w:val="break-words"/>
        </w:rPr>
        <w:t xml:space="preserve"> </w:t>
      </w:r>
      <w:proofErr w:type="gramStart"/>
      <w:r w:rsidR="003E3352" w:rsidRPr="003E3352">
        <w:rPr>
          <w:rStyle w:val="break-words"/>
        </w:rPr>
        <w:t>case:</w:t>
      </w:r>
      <w:proofErr w:type="gramEnd"/>
      <w:r w:rsidR="003E3352" w:rsidRPr="003E3352">
        <w:rPr>
          <w:rStyle w:val="break-words"/>
        </w:rPr>
        <w:t xml:space="preserve"> The </w:t>
      </w:r>
      <w:proofErr w:type="spellStart"/>
      <w:r w:rsidR="003E3352" w:rsidRPr="003E3352">
        <w:rPr>
          <w:rStyle w:val="break-words"/>
        </w:rPr>
        <w:t>Investor</w:t>
      </w:r>
      <w:proofErr w:type="spellEnd"/>
      <w:r w:rsidR="003E3352" w:rsidRPr="003E3352">
        <w:rPr>
          <w:rStyle w:val="break-words"/>
        </w:rPr>
        <w:t xml:space="preserve"> </w:t>
      </w:r>
      <w:proofErr w:type="spellStart"/>
      <w:r w:rsidR="003E3352" w:rsidRPr="003E3352">
        <w:rPr>
          <w:rStyle w:val="break-words"/>
        </w:rPr>
        <w:t>Ordered</w:t>
      </w:r>
      <w:proofErr w:type="spellEnd"/>
      <w:r w:rsidR="003E3352" w:rsidRPr="003E3352">
        <w:rPr>
          <w:rStyle w:val="break-words"/>
        </w:rPr>
        <w:t xml:space="preserve"> to </w:t>
      </w:r>
      <w:proofErr w:type="spellStart"/>
      <w:r w:rsidR="003E3352" w:rsidRPr="003E3352">
        <w:rPr>
          <w:rStyle w:val="break-words"/>
        </w:rPr>
        <w:t>Pay</w:t>
      </w:r>
      <w:proofErr w:type="spellEnd"/>
      <w:r w:rsidR="003E3352" w:rsidRPr="003E3352">
        <w:rPr>
          <w:rStyle w:val="break-words"/>
        </w:rPr>
        <w:t xml:space="preserve"> the </w:t>
      </w:r>
      <w:proofErr w:type="spellStart"/>
      <w:r w:rsidR="003E3352" w:rsidRPr="003E3352">
        <w:rPr>
          <w:rStyle w:val="break-words"/>
        </w:rPr>
        <w:t>Expropriating</w:t>
      </w:r>
      <w:proofErr w:type="spellEnd"/>
      <w:r w:rsidR="003E3352" w:rsidRPr="003E3352">
        <w:rPr>
          <w:rStyle w:val="break-words"/>
        </w:rPr>
        <w:t xml:space="preserve"> </w:t>
      </w:r>
      <w:proofErr w:type="spellStart"/>
      <w:r w:rsidR="003E3352" w:rsidRPr="003E3352">
        <w:rPr>
          <w:rStyle w:val="break-words"/>
        </w:rPr>
        <w:t>State</w:t>
      </w:r>
      <w:r w:rsidR="00A52ACC">
        <w:rPr>
          <w:rStyle w:val="break-words"/>
        </w:rPr>
        <w:t>’</w:t>
      </w:r>
      <w:r w:rsidR="003E3352" w:rsidRPr="003E3352">
        <w:rPr>
          <w:rStyle w:val="break-words"/>
        </w:rPr>
        <w:t>s</w:t>
      </w:r>
      <w:proofErr w:type="spellEnd"/>
      <w:r w:rsidR="003E3352" w:rsidRPr="003E3352">
        <w:rPr>
          <w:rStyle w:val="break-words"/>
        </w:rPr>
        <w:t xml:space="preserve"> </w:t>
      </w:r>
      <w:proofErr w:type="spellStart"/>
      <w:r w:rsidR="003E3352" w:rsidRPr="003E3352">
        <w:rPr>
          <w:rStyle w:val="break-words"/>
        </w:rPr>
        <w:t>Costs</w:t>
      </w:r>
      <w:proofErr w:type="spellEnd"/>
      <w:r w:rsidR="003E3352" w:rsidRPr="003E3352">
        <w:rPr>
          <w:rStyle w:val="break-words"/>
        </w:rPr>
        <w:t xml:space="preserve">, a New </w:t>
      </w:r>
      <w:proofErr w:type="spellStart"/>
      <w:r w:rsidR="003E3352" w:rsidRPr="003E3352">
        <w:rPr>
          <w:rStyle w:val="break-words"/>
        </w:rPr>
        <w:t>Consequence</w:t>
      </w:r>
      <w:proofErr w:type="spellEnd"/>
      <w:r w:rsidR="003E3352" w:rsidRPr="003E3352">
        <w:rPr>
          <w:rStyle w:val="break-words"/>
        </w:rPr>
        <w:t xml:space="preserve"> of </w:t>
      </w:r>
      <w:proofErr w:type="spellStart"/>
      <w:r w:rsidR="003E3352" w:rsidRPr="003E3352">
        <w:rPr>
          <w:rStyle w:val="break-words"/>
          <w:i/>
          <w:iCs/>
        </w:rPr>
        <w:t>Achmea</w:t>
      </w:r>
      <w:proofErr w:type="spellEnd"/>
      <w:r w:rsidR="003E3352">
        <w:rPr>
          <w:rStyle w:val="break-words"/>
        </w:rPr>
        <w:t> »</w:t>
      </w:r>
      <w:r w:rsidR="003E3352" w:rsidRPr="003E3352">
        <w:rPr>
          <w:rStyle w:val="break-words"/>
        </w:rPr>
        <w:t xml:space="preserve">, </w:t>
      </w:r>
      <w:proofErr w:type="spellStart"/>
      <w:r w:rsidR="003E3352" w:rsidRPr="003E3352">
        <w:rPr>
          <w:rStyle w:val="break-words"/>
          <w:i/>
          <w:iCs/>
        </w:rPr>
        <w:t>European</w:t>
      </w:r>
      <w:proofErr w:type="spellEnd"/>
      <w:r w:rsidR="003E3352" w:rsidRPr="003E3352">
        <w:rPr>
          <w:rStyle w:val="break-words"/>
          <w:i/>
          <w:iCs/>
        </w:rPr>
        <w:t xml:space="preserve"> Papers</w:t>
      </w:r>
      <w:r w:rsidR="003E3352" w:rsidRPr="003E3352">
        <w:rPr>
          <w:rStyle w:val="break-words"/>
        </w:rPr>
        <w:t xml:space="preserve">, Vol. 7, 2022, N°3, </w:t>
      </w:r>
      <w:proofErr w:type="spellStart"/>
      <w:r w:rsidR="003E3352" w:rsidRPr="003E3352">
        <w:rPr>
          <w:rStyle w:val="break-words"/>
        </w:rPr>
        <w:t>European</w:t>
      </w:r>
      <w:proofErr w:type="spellEnd"/>
      <w:r w:rsidR="003E3352" w:rsidRPr="003E3352">
        <w:rPr>
          <w:rStyle w:val="break-words"/>
        </w:rPr>
        <w:t xml:space="preserve"> Forum, Insight of 10 </w:t>
      </w:r>
      <w:proofErr w:type="spellStart"/>
      <w:r w:rsidR="003E3352" w:rsidRPr="003E3352">
        <w:rPr>
          <w:rStyle w:val="break-words"/>
        </w:rPr>
        <w:t>February</w:t>
      </w:r>
      <w:proofErr w:type="spellEnd"/>
      <w:r w:rsidR="003E3352" w:rsidRPr="003E3352">
        <w:rPr>
          <w:rStyle w:val="break-words"/>
        </w:rPr>
        <w:t xml:space="preserve"> 2023, pp. 1131-1139.</w:t>
      </w:r>
    </w:p>
  </w:footnote>
  <w:footnote w:id="35">
    <w:p w14:paraId="7EDB3EF6" w14:textId="2E0725DB" w:rsidR="009B3FC5" w:rsidRDefault="009B3FC5">
      <w:pPr>
        <w:pStyle w:val="Notedebasdepage"/>
      </w:pPr>
      <w:r>
        <w:rPr>
          <w:rStyle w:val="Appelnotedebasdep"/>
        </w:rPr>
        <w:footnoteRef/>
      </w:r>
      <w:r>
        <w:t> </w:t>
      </w:r>
      <w:r w:rsidRPr="00385AE6">
        <w:rPr>
          <w:rStyle w:val="break-words"/>
          <w:rFonts w:ascii="Times" w:hAnsi="Times"/>
        </w:rPr>
        <w:t>«</w:t>
      </w:r>
      <w:r>
        <w:rPr>
          <w:rStyle w:val="break-words"/>
          <w:rFonts w:ascii="Times" w:hAnsi="Times"/>
        </w:rPr>
        <w:t> </w:t>
      </w:r>
      <w:r w:rsidRPr="00385AE6">
        <w:rPr>
          <w:rFonts w:ascii="Times" w:hAnsi="Times" w:cs="Arial"/>
          <w:color w:val="202122"/>
          <w:shd w:val="clear" w:color="auto" w:fill="FFFFFF"/>
        </w:rPr>
        <w:t>Les États membres établissent les voies de recours nécessaires pour assurer une protection juridictionnelle effective dans les domaines couverts par le droit de l</w:t>
      </w:r>
      <w:r w:rsidR="00A52ACC">
        <w:rPr>
          <w:rFonts w:ascii="Times" w:hAnsi="Times" w:cs="Arial"/>
          <w:color w:val="202122"/>
          <w:shd w:val="clear" w:color="auto" w:fill="FFFFFF"/>
        </w:rPr>
        <w:t>’</w:t>
      </w:r>
      <w:r w:rsidRPr="00385AE6">
        <w:rPr>
          <w:rFonts w:ascii="Times" w:hAnsi="Times" w:cs="Arial"/>
          <w:color w:val="202122"/>
          <w:shd w:val="clear" w:color="auto" w:fill="FFFFFF"/>
        </w:rPr>
        <w:t>Union »</w:t>
      </w:r>
      <w:r>
        <w:rPr>
          <w:rFonts w:ascii="Times" w:hAnsi="Times" w:cs="Arial"/>
          <w:color w:val="202122"/>
          <w:shd w:val="clear" w:color="auto" w:fill="FFFFFF"/>
        </w:rPr>
        <w:t>.</w:t>
      </w:r>
    </w:p>
  </w:footnote>
  <w:footnote w:id="36">
    <w:p w14:paraId="2D57614D" w14:textId="44BDA0DA" w:rsidR="009B3FC5" w:rsidRDefault="009B3FC5">
      <w:pPr>
        <w:pStyle w:val="Notedebasdepage"/>
      </w:pPr>
      <w:r>
        <w:rPr>
          <w:rStyle w:val="Appelnotedebasdep"/>
        </w:rPr>
        <w:footnoteRef/>
      </w:r>
      <w:r>
        <w:t xml:space="preserve"> </w:t>
      </w:r>
      <w:r w:rsidRPr="00385AE6">
        <w:rPr>
          <w:rStyle w:val="break-words"/>
          <w:rFonts w:ascii="Times" w:hAnsi="Times"/>
        </w:rPr>
        <w:t>« Toute personne dont les droits et libertés garantis par le droit de l</w:t>
      </w:r>
      <w:r w:rsidR="00A52ACC">
        <w:rPr>
          <w:rStyle w:val="break-words"/>
          <w:rFonts w:ascii="Times" w:hAnsi="Times"/>
        </w:rPr>
        <w:t>’</w:t>
      </w:r>
      <w:r w:rsidRPr="00385AE6">
        <w:rPr>
          <w:rStyle w:val="break-words"/>
          <w:rFonts w:ascii="Times" w:hAnsi="Times"/>
        </w:rPr>
        <w:t>Union ont été violés a droit à un recours effectif devant un tribunal dans le respect des conditions prévues au présent article. Toute personne a droit à ce que sa cause soit entendue équitablement, publiquement et dans un délai raisonnable par un tribunal indépendant et impartial, établi préalablement par la loi […] »</w:t>
      </w:r>
      <w:r>
        <w:rPr>
          <w:rStyle w:val="break-words"/>
          <w:rFonts w:ascii="Times" w:hAnsi="Times"/>
        </w:rPr>
        <w:t>.</w:t>
      </w:r>
    </w:p>
  </w:footnote>
  <w:footnote w:id="37">
    <w:p w14:paraId="207BC5D8" w14:textId="3FBF18CA" w:rsidR="009B3FC5" w:rsidRPr="009B3FC5" w:rsidRDefault="009B3FC5">
      <w:pPr>
        <w:pStyle w:val="Notedebasdepage"/>
      </w:pPr>
      <w:r>
        <w:rPr>
          <w:rStyle w:val="Appelnotedebasdep"/>
        </w:rPr>
        <w:footnoteRef/>
      </w:r>
      <w:r>
        <w:t xml:space="preserve"> </w:t>
      </w:r>
      <w:r w:rsidRPr="003556AC">
        <w:rPr>
          <w:rFonts w:cs="Times New Roman"/>
        </w:rPr>
        <w:t xml:space="preserve">CJUE, Gde Ch., 26 octobre 2021, </w:t>
      </w:r>
      <w:proofErr w:type="spellStart"/>
      <w:r w:rsidRPr="003556AC">
        <w:rPr>
          <w:rFonts w:cs="Times New Roman"/>
          <w:i/>
          <w:iCs/>
        </w:rPr>
        <w:t>Republiken</w:t>
      </w:r>
      <w:proofErr w:type="spellEnd"/>
      <w:r w:rsidRPr="003556AC">
        <w:rPr>
          <w:rFonts w:cs="Times New Roman"/>
          <w:i/>
          <w:iCs/>
        </w:rPr>
        <w:t xml:space="preserve"> </w:t>
      </w:r>
      <w:proofErr w:type="spellStart"/>
      <w:r w:rsidRPr="003556AC">
        <w:rPr>
          <w:rFonts w:cs="Times New Roman"/>
          <w:i/>
          <w:iCs/>
        </w:rPr>
        <w:t>Polen</w:t>
      </w:r>
      <w:proofErr w:type="spellEnd"/>
      <w:r w:rsidRPr="003556AC">
        <w:rPr>
          <w:rFonts w:cs="Times New Roman"/>
          <w:i/>
          <w:iCs/>
        </w:rPr>
        <w:t xml:space="preserve"> contre PL Holdings </w:t>
      </w:r>
      <w:proofErr w:type="spellStart"/>
      <w:r w:rsidRPr="003556AC">
        <w:rPr>
          <w:rFonts w:cs="Times New Roman"/>
          <w:i/>
          <w:iCs/>
        </w:rPr>
        <w:t>Sàrl</w:t>
      </w:r>
      <w:proofErr w:type="spellEnd"/>
      <w:r w:rsidRPr="003556AC">
        <w:rPr>
          <w:rFonts w:cs="Times New Roman"/>
          <w:i/>
          <w:iCs/>
        </w:rPr>
        <w:t>,</w:t>
      </w:r>
      <w:r>
        <w:rPr>
          <w:rFonts w:cs="Times New Roman"/>
        </w:rPr>
        <w:t xml:space="preserve"> </w:t>
      </w:r>
      <w:r>
        <w:rPr>
          <w:rFonts w:cs="Times New Roman"/>
          <w:i/>
          <w:iCs/>
        </w:rPr>
        <w:t xml:space="preserve">op. </w:t>
      </w:r>
      <w:proofErr w:type="spellStart"/>
      <w:proofErr w:type="gramStart"/>
      <w:r>
        <w:rPr>
          <w:rFonts w:cs="Times New Roman"/>
          <w:i/>
          <w:iCs/>
        </w:rPr>
        <w:t>cit</w:t>
      </w:r>
      <w:proofErr w:type="spellEnd"/>
      <w:proofErr w:type="gramEnd"/>
      <w:r>
        <w:rPr>
          <w:rFonts w:cs="Times New Roman"/>
          <w:i/>
          <w:iCs/>
        </w:rPr>
        <w:t>.</w:t>
      </w:r>
      <w:r>
        <w:rPr>
          <w:rFonts w:cs="Times New Roman"/>
        </w:rPr>
        <w:t>, §68.</w:t>
      </w:r>
    </w:p>
  </w:footnote>
  <w:footnote w:id="38">
    <w:p w14:paraId="6E9F5EC2" w14:textId="2865163B" w:rsidR="002E7FB3" w:rsidRDefault="002E7FB3">
      <w:pPr>
        <w:pStyle w:val="Notedebasdepage"/>
      </w:pPr>
      <w:r>
        <w:rPr>
          <w:rStyle w:val="Appelnotedebasdep"/>
        </w:rPr>
        <w:footnoteRef/>
      </w:r>
      <w:r>
        <w:t xml:space="preserve"> V. également, sur cette question, la contribution de C. FORTIER dans cet ouvrage.</w:t>
      </w:r>
    </w:p>
  </w:footnote>
  <w:footnote w:id="39">
    <w:p w14:paraId="5D95992A" w14:textId="2D3A53E1" w:rsidR="007B0CFA" w:rsidRDefault="007B0CFA">
      <w:pPr>
        <w:pStyle w:val="Notedebasdepage"/>
      </w:pPr>
      <w:r>
        <w:rPr>
          <w:rStyle w:val="Appelnotedebasdep"/>
        </w:rPr>
        <w:footnoteRef/>
      </w:r>
      <w:r>
        <w:t xml:space="preserve"> </w:t>
      </w:r>
      <w:r>
        <w:fldChar w:fldCharType="begin"/>
      </w:r>
      <w:r>
        <w:instrText xml:space="preserve"> ADDIN ZOTERO_ITEM CSL_CITATION {"citationID":"L0dcIxsi","properties":{"custom":"CEDH, Gde ch., 30 juin 2005, {\\i{}Bosphorus Hava Yollari Turizm Ve Ticaret Anonim \\uc0\\u350{}irketi c. Irlande}, n\\uc0\\u176{} 45036/98. Pour une analyse, v. par exemple K. KUHNERT, \\uc0\\u171{} Bosphorus Double standards in European human rights protection? \\uc0\\u187{}, {\\i{}Utrecht Law Rev.}, n\\uc0\\u176{}2, 2006, pp. 117-189.","formattedCitation":"CEDH, Gde ch., 30 juin 2005, {\\i{}Bosphorus Hava Yollari Turizm Ve Ticaret Anonim \\uc0\\u350{}irketi c. Irlande}, n\\uc0\\u176{} 45036/98. Pour une analyse, v. par exemple K. KUHNERT, \\uc0\\u171{} Bosphorus Double standards in European human rights protection? \\uc0\\u187{}, {\\i{}Utrecht Law Rev.}, n\\uc0\\u176{}2, 2006, pp. 117-189.","plainCitation":"CEDH, Gde ch., 30 juin 2005, Bosphorus Hava Yollari Turizm Ve Ticaret Anonim Şirketi c. Irlande, n° 45036/98. Pour une analyse, v. par exemple K. KUHNERT, « Bosphorus Double standards in European human rights protection? », Utrecht Law Rev., n°2, 2006, pp. 117-189.","noteIndex":38},"citationItems":[{"id":3684,"uris":["http://zotero.org/users/10892933/items/2TJT4JVS"],"itemData":{"id":3684,"type":"legal_case","authority":"CEDH, Gde ch., 30 juin 2005, Bosphorus Hava Yollari Turizm Ve Ticaret Anonim Şirketi c. Irlande, n° 45036/98","title":"CEDH, Gde ch., 30 juin 2005, Bosphorus Hava Yollari Turizm Ve Ticaret Anonim Şirketi c. Irlande, n° 45036/98","URL":"https://hudoc.echr.coe.int/eng?i=001-69565"},"label":"page"},{"id":72,"uris":["http://zotero.org/users/10892933/items/Y6TT3IJY"],"itemData":{"id":72,"type":"article-journal","container-title":"Utrecht Law Review","DOI":"10.18352/ulr.31","ISSN":"1871-515X","issue":"2","journalAbbreviation":"ULR","page":"177","source":"DOI.org (Crossref)","title":"Bosphorus Double standards in European human rights protection?","volume":"2","author":[{"family":"Kuhnert","given":"Kathrin"}],"issued":{"date-parts":[["2006",12,5]]}},"label":"page"}],"schema":"https://github.com/citation-style-language/schema/raw/master/csl-citation.json"} </w:instrText>
      </w:r>
      <w:r>
        <w:fldChar w:fldCharType="separate"/>
      </w:r>
      <w:r w:rsidRPr="007B0CFA">
        <w:rPr>
          <w:rFonts w:cs="Times New Roman"/>
        </w:rPr>
        <w:t xml:space="preserve">CEDH, Gde ch., 30 juin 2005, </w:t>
      </w:r>
      <w:proofErr w:type="spellStart"/>
      <w:r w:rsidRPr="007B0CFA">
        <w:rPr>
          <w:rFonts w:cs="Times New Roman"/>
          <w:i/>
          <w:iCs/>
        </w:rPr>
        <w:t>Bosphorus</w:t>
      </w:r>
      <w:proofErr w:type="spellEnd"/>
      <w:r w:rsidRPr="007B0CFA">
        <w:rPr>
          <w:rFonts w:cs="Times New Roman"/>
          <w:i/>
          <w:iCs/>
        </w:rPr>
        <w:t xml:space="preserve"> Hava </w:t>
      </w:r>
      <w:proofErr w:type="spellStart"/>
      <w:r w:rsidRPr="007B0CFA">
        <w:rPr>
          <w:rFonts w:cs="Times New Roman"/>
          <w:i/>
          <w:iCs/>
        </w:rPr>
        <w:t>Yollari</w:t>
      </w:r>
      <w:proofErr w:type="spellEnd"/>
      <w:r w:rsidRPr="007B0CFA">
        <w:rPr>
          <w:rFonts w:cs="Times New Roman"/>
          <w:i/>
          <w:iCs/>
        </w:rPr>
        <w:t xml:space="preserve"> </w:t>
      </w:r>
      <w:proofErr w:type="spellStart"/>
      <w:r w:rsidRPr="007B0CFA">
        <w:rPr>
          <w:rFonts w:cs="Times New Roman"/>
          <w:i/>
          <w:iCs/>
        </w:rPr>
        <w:t>Turizm</w:t>
      </w:r>
      <w:proofErr w:type="spellEnd"/>
      <w:r w:rsidRPr="007B0CFA">
        <w:rPr>
          <w:rFonts w:cs="Times New Roman"/>
          <w:i/>
          <w:iCs/>
        </w:rPr>
        <w:t xml:space="preserve"> Ve </w:t>
      </w:r>
      <w:proofErr w:type="spellStart"/>
      <w:r w:rsidRPr="007B0CFA">
        <w:rPr>
          <w:rFonts w:cs="Times New Roman"/>
          <w:i/>
          <w:iCs/>
        </w:rPr>
        <w:t>Ticaret</w:t>
      </w:r>
      <w:proofErr w:type="spellEnd"/>
      <w:r w:rsidRPr="007B0CFA">
        <w:rPr>
          <w:rFonts w:cs="Times New Roman"/>
          <w:i/>
          <w:iCs/>
        </w:rPr>
        <w:t xml:space="preserve"> </w:t>
      </w:r>
      <w:proofErr w:type="spellStart"/>
      <w:r w:rsidRPr="007B0CFA">
        <w:rPr>
          <w:rFonts w:cs="Times New Roman"/>
          <w:i/>
          <w:iCs/>
        </w:rPr>
        <w:t>Anonim</w:t>
      </w:r>
      <w:proofErr w:type="spellEnd"/>
      <w:r w:rsidRPr="007B0CFA">
        <w:rPr>
          <w:rFonts w:cs="Times New Roman"/>
          <w:i/>
          <w:iCs/>
        </w:rPr>
        <w:t xml:space="preserve"> </w:t>
      </w:r>
      <w:proofErr w:type="spellStart"/>
      <w:r w:rsidRPr="007B0CFA">
        <w:rPr>
          <w:rFonts w:cs="Times New Roman"/>
          <w:i/>
          <w:iCs/>
        </w:rPr>
        <w:t>Şirketi</w:t>
      </w:r>
      <w:proofErr w:type="spellEnd"/>
      <w:r w:rsidRPr="007B0CFA">
        <w:rPr>
          <w:rFonts w:cs="Times New Roman"/>
          <w:i/>
          <w:iCs/>
        </w:rPr>
        <w:t xml:space="preserve"> c. Irlande</w:t>
      </w:r>
      <w:r w:rsidRPr="007B0CFA">
        <w:rPr>
          <w:rFonts w:cs="Times New Roman"/>
        </w:rPr>
        <w:t xml:space="preserve">, n° 45036/98. Pour une analyse, v. par exemple K. KUHNERT, « </w:t>
      </w:r>
      <w:proofErr w:type="spellStart"/>
      <w:r w:rsidRPr="007B0CFA">
        <w:rPr>
          <w:rFonts w:cs="Times New Roman"/>
        </w:rPr>
        <w:t>Bosphorus</w:t>
      </w:r>
      <w:proofErr w:type="spellEnd"/>
      <w:r w:rsidRPr="007B0CFA">
        <w:rPr>
          <w:rFonts w:cs="Times New Roman"/>
        </w:rPr>
        <w:t xml:space="preserve"> Double standards in </w:t>
      </w:r>
      <w:proofErr w:type="spellStart"/>
      <w:r w:rsidRPr="007B0CFA">
        <w:rPr>
          <w:rFonts w:cs="Times New Roman"/>
        </w:rPr>
        <w:t>European</w:t>
      </w:r>
      <w:proofErr w:type="spellEnd"/>
      <w:r w:rsidRPr="007B0CFA">
        <w:rPr>
          <w:rFonts w:cs="Times New Roman"/>
        </w:rPr>
        <w:t xml:space="preserve"> </w:t>
      </w:r>
      <w:proofErr w:type="spellStart"/>
      <w:r w:rsidRPr="007B0CFA">
        <w:rPr>
          <w:rFonts w:cs="Times New Roman"/>
        </w:rPr>
        <w:t>human</w:t>
      </w:r>
      <w:proofErr w:type="spellEnd"/>
      <w:r w:rsidRPr="007B0CFA">
        <w:rPr>
          <w:rFonts w:cs="Times New Roman"/>
        </w:rPr>
        <w:t xml:space="preserve"> </w:t>
      </w:r>
      <w:proofErr w:type="spellStart"/>
      <w:r w:rsidRPr="007B0CFA">
        <w:rPr>
          <w:rFonts w:cs="Times New Roman"/>
        </w:rPr>
        <w:t>rights</w:t>
      </w:r>
      <w:proofErr w:type="spellEnd"/>
      <w:r w:rsidRPr="007B0CFA">
        <w:rPr>
          <w:rFonts w:cs="Times New Roman"/>
        </w:rPr>
        <w:t xml:space="preserve"> </w:t>
      </w:r>
      <w:proofErr w:type="gramStart"/>
      <w:r w:rsidRPr="007B0CFA">
        <w:rPr>
          <w:rFonts w:cs="Times New Roman"/>
        </w:rPr>
        <w:t>protection?</w:t>
      </w:r>
      <w:proofErr w:type="gramEnd"/>
      <w:r w:rsidRPr="007B0CFA">
        <w:rPr>
          <w:rFonts w:cs="Times New Roman"/>
        </w:rPr>
        <w:t xml:space="preserve"> », </w:t>
      </w:r>
      <w:r w:rsidRPr="007B0CFA">
        <w:rPr>
          <w:rFonts w:cs="Times New Roman"/>
          <w:i/>
          <w:iCs/>
        </w:rPr>
        <w:t xml:space="preserve">Utrecht Law </w:t>
      </w:r>
      <w:proofErr w:type="spellStart"/>
      <w:r w:rsidRPr="007B0CFA">
        <w:rPr>
          <w:rFonts w:cs="Times New Roman"/>
          <w:i/>
          <w:iCs/>
        </w:rPr>
        <w:t>Rev</w:t>
      </w:r>
      <w:proofErr w:type="spellEnd"/>
      <w:r w:rsidRPr="007B0CFA">
        <w:rPr>
          <w:rFonts w:cs="Times New Roman"/>
          <w:i/>
          <w:iCs/>
        </w:rPr>
        <w:t>.</w:t>
      </w:r>
      <w:r w:rsidRPr="007B0CFA">
        <w:rPr>
          <w:rFonts w:cs="Times New Roman"/>
        </w:rPr>
        <w:t>, n°2, 2006, pp. 117-189.</w:t>
      </w:r>
      <w:r>
        <w:fldChar w:fldCharType="end"/>
      </w:r>
    </w:p>
  </w:footnote>
  <w:footnote w:id="40">
    <w:p w14:paraId="615BBDAB" w14:textId="5835704B" w:rsidR="007B0CFA" w:rsidRPr="007B0CFA" w:rsidRDefault="007B0CFA">
      <w:pPr>
        <w:pStyle w:val="Notedebasdepage"/>
      </w:pPr>
      <w:r>
        <w:rPr>
          <w:rStyle w:val="Appelnotedebasdep"/>
        </w:rPr>
        <w:footnoteRef/>
      </w:r>
      <w:r>
        <w:t xml:space="preserve"> </w:t>
      </w:r>
      <w:r>
        <w:rPr>
          <w:i/>
          <w:iCs/>
        </w:rPr>
        <w:t>Ibid</w:t>
      </w:r>
      <w:r>
        <w:t>., §155.</w:t>
      </w:r>
    </w:p>
  </w:footnote>
  <w:footnote w:id="41">
    <w:p w14:paraId="2131CC1C" w14:textId="06AF6A74" w:rsidR="007B0CFA" w:rsidRDefault="007B0CFA">
      <w:pPr>
        <w:pStyle w:val="Notedebasdepage"/>
      </w:pPr>
      <w:r>
        <w:rPr>
          <w:rStyle w:val="Appelnotedebasdep"/>
        </w:rPr>
        <w:footnoteRef/>
      </w:r>
      <w:r>
        <w:t xml:space="preserve"> </w:t>
      </w:r>
      <w:r>
        <w:rPr>
          <w:rStyle w:val="break-words"/>
        </w:rPr>
        <w:t>« </w:t>
      </w:r>
      <w:r w:rsidRPr="001725E1">
        <w:rPr>
          <w:rStyle w:val="break-words"/>
        </w:rPr>
        <w:t>Les</w:t>
      </w:r>
      <w:r>
        <w:rPr>
          <w:rStyle w:val="break-words"/>
        </w:rPr>
        <w:t xml:space="preserve"> </w:t>
      </w:r>
      <w:r w:rsidRPr="001725E1">
        <w:rPr>
          <w:rStyle w:val="break-words"/>
        </w:rPr>
        <w:t>droits</w:t>
      </w:r>
      <w:r>
        <w:rPr>
          <w:rStyle w:val="break-words"/>
        </w:rPr>
        <w:t xml:space="preserve"> </w:t>
      </w:r>
      <w:r w:rsidRPr="001725E1">
        <w:rPr>
          <w:rStyle w:val="break-words"/>
        </w:rPr>
        <w:t>fondamentaux,</w:t>
      </w:r>
      <w:r>
        <w:rPr>
          <w:rStyle w:val="break-words"/>
        </w:rPr>
        <w:t xml:space="preserve"> </w:t>
      </w:r>
      <w:r w:rsidRPr="001725E1">
        <w:rPr>
          <w:rStyle w:val="break-words"/>
        </w:rPr>
        <w:t>tels</w:t>
      </w:r>
      <w:r>
        <w:rPr>
          <w:rStyle w:val="break-words"/>
        </w:rPr>
        <w:t xml:space="preserve"> </w:t>
      </w:r>
      <w:r w:rsidRPr="001725E1">
        <w:rPr>
          <w:rStyle w:val="break-words"/>
        </w:rPr>
        <w:t>qu</w:t>
      </w:r>
      <w:r w:rsidR="00A52ACC">
        <w:rPr>
          <w:rStyle w:val="break-words"/>
        </w:rPr>
        <w:t>’</w:t>
      </w:r>
      <w:r w:rsidRPr="001725E1">
        <w:rPr>
          <w:rStyle w:val="break-words"/>
        </w:rPr>
        <w:t>ils</w:t>
      </w:r>
      <w:r>
        <w:rPr>
          <w:rStyle w:val="break-words"/>
        </w:rPr>
        <w:t xml:space="preserve"> </w:t>
      </w:r>
      <w:r w:rsidRPr="001725E1">
        <w:rPr>
          <w:rStyle w:val="break-words"/>
        </w:rPr>
        <w:t>sont</w:t>
      </w:r>
      <w:r>
        <w:rPr>
          <w:rStyle w:val="break-words"/>
        </w:rPr>
        <w:t xml:space="preserve"> </w:t>
      </w:r>
      <w:r w:rsidRPr="001725E1">
        <w:rPr>
          <w:rStyle w:val="break-words"/>
        </w:rPr>
        <w:t>garantis</w:t>
      </w:r>
      <w:r>
        <w:rPr>
          <w:rStyle w:val="break-words"/>
        </w:rPr>
        <w:t xml:space="preserve"> </w:t>
      </w:r>
      <w:r w:rsidRPr="001725E1">
        <w:rPr>
          <w:rStyle w:val="break-words"/>
        </w:rPr>
        <w:t>par</w:t>
      </w:r>
      <w:r>
        <w:rPr>
          <w:rStyle w:val="break-words"/>
        </w:rPr>
        <w:t xml:space="preserve"> </w:t>
      </w:r>
      <w:r w:rsidRPr="001725E1">
        <w:rPr>
          <w:rStyle w:val="break-words"/>
        </w:rPr>
        <w:t>la</w:t>
      </w:r>
      <w:r>
        <w:rPr>
          <w:rStyle w:val="break-words"/>
        </w:rPr>
        <w:t xml:space="preserve"> </w:t>
      </w:r>
      <w:r w:rsidRPr="001725E1">
        <w:rPr>
          <w:rStyle w:val="break-words"/>
        </w:rPr>
        <w:t>Convention</w:t>
      </w:r>
      <w:r>
        <w:rPr>
          <w:rStyle w:val="break-words"/>
        </w:rPr>
        <w:t xml:space="preserve"> </w:t>
      </w:r>
      <w:r w:rsidRPr="001725E1">
        <w:rPr>
          <w:rStyle w:val="break-words"/>
        </w:rPr>
        <w:t>européenne</w:t>
      </w:r>
      <w:r>
        <w:rPr>
          <w:rStyle w:val="break-words"/>
        </w:rPr>
        <w:t xml:space="preserve"> </w:t>
      </w:r>
      <w:r w:rsidRPr="001725E1">
        <w:rPr>
          <w:rStyle w:val="break-words"/>
        </w:rPr>
        <w:t>de</w:t>
      </w:r>
      <w:r>
        <w:rPr>
          <w:rStyle w:val="break-words"/>
        </w:rPr>
        <w:t xml:space="preserve"> </w:t>
      </w:r>
      <w:r w:rsidRPr="001725E1">
        <w:rPr>
          <w:rStyle w:val="break-words"/>
        </w:rPr>
        <w:t>sauvegarde des droits de l</w:t>
      </w:r>
      <w:r w:rsidR="00A52ACC">
        <w:rPr>
          <w:rStyle w:val="break-words"/>
        </w:rPr>
        <w:t>’</w:t>
      </w:r>
      <w:r w:rsidRPr="001725E1">
        <w:rPr>
          <w:rStyle w:val="break-words"/>
        </w:rPr>
        <w:t>Homme et des libertés fondamentales et tels qu</w:t>
      </w:r>
      <w:r w:rsidR="00A52ACC">
        <w:rPr>
          <w:rStyle w:val="break-words"/>
        </w:rPr>
        <w:t>’</w:t>
      </w:r>
      <w:r w:rsidRPr="001725E1">
        <w:rPr>
          <w:rStyle w:val="break-words"/>
        </w:rPr>
        <w:t>ils résultent des traditions constitutionnelles communes aux États membres, font partie du droit de l</w:t>
      </w:r>
      <w:r w:rsidR="00A52ACC">
        <w:rPr>
          <w:rStyle w:val="break-words"/>
        </w:rPr>
        <w:t>’</w:t>
      </w:r>
      <w:r w:rsidRPr="001725E1">
        <w:rPr>
          <w:rStyle w:val="break-words"/>
        </w:rPr>
        <w:t>Union en tant que principes généraux</w:t>
      </w:r>
      <w:r>
        <w:rPr>
          <w:rStyle w:val="break-words"/>
        </w:rPr>
        <w:t> »</w:t>
      </w:r>
    </w:p>
  </w:footnote>
  <w:footnote w:id="42">
    <w:p w14:paraId="7D544A08" w14:textId="072D78E8" w:rsidR="00AB72FE" w:rsidRDefault="00AB72FE">
      <w:pPr>
        <w:pStyle w:val="Notedebasdepage"/>
      </w:pPr>
      <w:r>
        <w:rPr>
          <w:rStyle w:val="Appelnotedebasdep"/>
        </w:rPr>
        <w:footnoteRef/>
      </w:r>
      <w:r>
        <w:t xml:space="preserve"> </w:t>
      </w:r>
      <w:r>
        <w:fldChar w:fldCharType="begin"/>
      </w:r>
      <w:r>
        <w:instrText xml:space="preserve"> ADDIN ZOTERO_ITEM CSL_CITATION {"citationID":"RfQJQVak","properties":{"formattedCitation":"CEDH, Gde ch., 12 septembre 2012, Nada c. Suisse, n\\uc0\\u176{} 10593/08.","plainCitation":"CEDH, Gde ch., 12 septembre 2012, Nada c. Suisse, n° 10593/08.","noteIndex":41},"citationItems":[{"id":3685,"uris":["http://zotero.org/users/10892933/items/JADB72H9"],"itemData":{"id":3685,"type":"legal_case","authority":"CEDH, Gde ch., 12 septembre 2012, Nada c. Suisse, n° 10593/08","title":"CEDH, Gde ch., 12 septembre 2012, Nada c. Suisse, n° 10593/08"}}],"schema":"https://github.com/citation-style-language/schema/raw/master/csl-citation.json"} </w:instrText>
      </w:r>
      <w:r>
        <w:fldChar w:fldCharType="separate"/>
      </w:r>
      <w:r w:rsidRPr="00AB72FE">
        <w:rPr>
          <w:rFonts w:cs="Times New Roman"/>
        </w:rPr>
        <w:t xml:space="preserve">CEDH, Gde ch., 12 septembre 2012, </w:t>
      </w:r>
      <w:r w:rsidRPr="00AB72FE">
        <w:rPr>
          <w:rFonts w:cs="Times New Roman"/>
          <w:i/>
          <w:iCs/>
        </w:rPr>
        <w:t>Nada c. Suisse</w:t>
      </w:r>
      <w:r w:rsidRPr="00AB72FE">
        <w:rPr>
          <w:rFonts w:cs="Times New Roman"/>
        </w:rPr>
        <w:t>, n° 10593/08.</w:t>
      </w:r>
      <w:r>
        <w:fldChar w:fldCharType="end"/>
      </w:r>
    </w:p>
  </w:footnote>
  <w:footnote w:id="43">
    <w:p w14:paraId="6D269B4F" w14:textId="57036D2F" w:rsidR="00AB72FE" w:rsidRDefault="00AB72FE">
      <w:pPr>
        <w:pStyle w:val="Notedebasdepage"/>
      </w:pPr>
      <w:r>
        <w:rPr>
          <w:rStyle w:val="Appelnotedebasdep"/>
        </w:rPr>
        <w:footnoteRef/>
      </w:r>
      <w:r>
        <w:t xml:space="preserve"> </w:t>
      </w:r>
      <w:r>
        <w:fldChar w:fldCharType="begin"/>
      </w:r>
      <w:r>
        <w:instrText xml:space="preserve"> ADDIN ZOTERO_ITEM CSL_CITATION {"citationID":"vSBJqekS","properties":{"formattedCitation":"CEDH, Gde. ch., 21 juin 2016, Al-Dulimi et Montana Management Inc. c. Suisse, n\\uc0\\u176{} 5809/08.","plainCitation":"CEDH, Gde. ch., 21 juin 2016, Al-Dulimi et Montana Management Inc. c. Suisse, n° 5809/08.","noteIndex":42},"citationItems":[{"id":3686,"uris":["http://zotero.org/users/10892933/items/GHUDVC5X"],"itemData":{"id":3686,"type":"legal_case","authority":"CEDH, Gde. ch., 21 juin 2016, Al-Dulimi et Montana Management Inc. c. Suisse, n° 5809/08","title":"CEDH, Gde. ch., 21 juin 2016, Al-Dulimi et Montana Management Inc. c. Suisse, n° 5809/08"}}],"schema":"https://github.com/citation-style-language/schema/raw/master/csl-citation.json"} </w:instrText>
      </w:r>
      <w:r>
        <w:fldChar w:fldCharType="separate"/>
      </w:r>
      <w:r w:rsidRPr="00AB72FE">
        <w:rPr>
          <w:rFonts w:cs="Times New Roman"/>
        </w:rPr>
        <w:t xml:space="preserve">CEDH, Gde ch., 21 juin 2016, </w:t>
      </w:r>
      <w:r w:rsidRPr="00AB72FE">
        <w:rPr>
          <w:rFonts w:cs="Times New Roman"/>
          <w:i/>
          <w:iCs/>
        </w:rPr>
        <w:t>Al-</w:t>
      </w:r>
      <w:proofErr w:type="spellStart"/>
      <w:r w:rsidRPr="00AB72FE">
        <w:rPr>
          <w:rFonts w:cs="Times New Roman"/>
          <w:i/>
          <w:iCs/>
        </w:rPr>
        <w:t>Dulimi</w:t>
      </w:r>
      <w:proofErr w:type="spellEnd"/>
      <w:r w:rsidRPr="00AB72FE">
        <w:rPr>
          <w:rFonts w:cs="Times New Roman"/>
          <w:i/>
          <w:iCs/>
        </w:rPr>
        <w:t xml:space="preserve"> et Montana Management Inc. c. Suisse</w:t>
      </w:r>
      <w:r w:rsidRPr="00AB72FE">
        <w:rPr>
          <w:rFonts w:cs="Times New Roman"/>
        </w:rPr>
        <w:t>, n° 5809/08.</w:t>
      </w:r>
      <w:r>
        <w:fldChar w:fldCharType="end"/>
      </w:r>
    </w:p>
  </w:footnote>
  <w:footnote w:id="44">
    <w:p w14:paraId="52E76F25" w14:textId="04D4186C" w:rsidR="002E7FB3" w:rsidRPr="002E7FB3" w:rsidRDefault="002E7FB3">
      <w:pPr>
        <w:pStyle w:val="Notedebasdepage"/>
      </w:pPr>
      <w:r>
        <w:rPr>
          <w:rStyle w:val="Appelnotedebasdep"/>
        </w:rPr>
        <w:footnoteRef/>
      </w:r>
      <w:r>
        <w:t xml:space="preserve"> CEDH, </w:t>
      </w:r>
      <w:r>
        <w:rPr>
          <w:i/>
          <w:iCs/>
        </w:rPr>
        <w:t>Nada c. Suisse</w:t>
      </w:r>
      <w:r>
        <w:t xml:space="preserve">, </w:t>
      </w:r>
      <w:proofErr w:type="spellStart"/>
      <w:r>
        <w:t>préc</w:t>
      </w:r>
      <w:proofErr w:type="spellEnd"/>
      <w:r>
        <w:t>., §170.</w:t>
      </w:r>
    </w:p>
  </w:footnote>
  <w:footnote w:id="45">
    <w:p w14:paraId="0794A0E4" w14:textId="2BD58CE5" w:rsidR="002E7FB3" w:rsidRPr="002E7FB3" w:rsidRDefault="002E7FB3">
      <w:pPr>
        <w:pStyle w:val="Notedebasdepage"/>
      </w:pPr>
      <w:r>
        <w:rPr>
          <w:rStyle w:val="Appelnotedebasdep"/>
        </w:rPr>
        <w:footnoteRef/>
      </w:r>
      <w:r>
        <w:t xml:space="preserve"> CEDH, </w:t>
      </w:r>
      <w:r>
        <w:rPr>
          <w:i/>
          <w:iCs/>
        </w:rPr>
        <w:t>Al-</w:t>
      </w:r>
      <w:proofErr w:type="spellStart"/>
      <w:r>
        <w:rPr>
          <w:i/>
          <w:iCs/>
        </w:rPr>
        <w:t>Dulimi</w:t>
      </w:r>
      <w:proofErr w:type="spellEnd"/>
      <w:r>
        <w:rPr>
          <w:i/>
          <w:iCs/>
        </w:rPr>
        <w:t xml:space="preserve"> et Montana Management Inc. c. Suisse</w:t>
      </w:r>
      <w:r>
        <w:t xml:space="preserve">, </w:t>
      </w:r>
      <w:proofErr w:type="spellStart"/>
      <w:r>
        <w:t>préc</w:t>
      </w:r>
      <w:proofErr w:type="spellEnd"/>
      <w:r>
        <w:t>., §151.</w:t>
      </w:r>
    </w:p>
  </w:footnote>
  <w:footnote w:id="46">
    <w:p w14:paraId="01BC3992" w14:textId="2BB5D91C" w:rsidR="003556AC" w:rsidRDefault="003556AC">
      <w:pPr>
        <w:pStyle w:val="Notedebasdepage"/>
      </w:pPr>
      <w:r>
        <w:rPr>
          <w:rStyle w:val="Appelnotedebasdep"/>
        </w:rPr>
        <w:footnoteRef/>
      </w:r>
      <w:r>
        <w:t xml:space="preserve"> V. la contribution de C. TITI dans cet ouvrage.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FF9B" w14:textId="0E6DD0EF" w:rsidR="00EC474D" w:rsidRDefault="00EC474D">
    <w:pPr>
      <w:pStyle w:val="En-tte"/>
    </w:pPr>
    <w:r>
      <w:t>Version susceptible de modifications après mise en page et édition</w:t>
    </w:r>
  </w:p>
  <w:p w14:paraId="482F4797" w14:textId="77777777" w:rsidR="00EC474D" w:rsidRDefault="00EC474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C4D26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354D20"/>
    <w:multiLevelType w:val="hybridMultilevel"/>
    <w:tmpl w:val="DC66D740"/>
    <w:lvl w:ilvl="0" w:tplc="333AB46A">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0FCB1F5E"/>
    <w:multiLevelType w:val="hybridMultilevel"/>
    <w:tmpl w:val="6EC4EA9C"/>
    <w:lvl w:ilvl="0" w:tplc="8A369A92">
      <w:start w:val="1"/>
      <w:numFmt w:val="bullet"/>
      <w:pStyle w:val="Index1"/>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2B5B18"/>
    <w:multiLevelType w:val="multilevel"/>
    <w:tmpl w:val="FC6C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424F29"/>
    <w:multiLevelType w:val="hybridMultilevel"/>
    <w:tmpl w:val="A3B24B1C"/>
    <w:lvl w:ilvl="0" w:tplc="67F20784">
      <w:start w:val="1"/>
      <w:numFmt w:val="decimal"/>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5" w15:restartNumberingAfterBreak="0">
    <w:nsid w:val="27871E34"/>
    <w:multiLevelType w:val="hybridMultilevel"/>
    <w:tmpl w:val="F7D8BF20"/>
    <w:lvl w:ilvl="0" w:tplc="44DC0A14">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4E1F4D"/>
    <w:multiLevelType w:val="hybridMultilevel"/>
    <w:tmpl w:val="68C0EAA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B533B2"/>
    <w:multiLevelType w:val="hybridMultilevel"/>
    <w:tmpl w:val="76147B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446758A"/>
    <w:multiLevelType w:val="hybridMultilevel"/>
    <w:tmpl w:val="62EA2E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846739E"/>
    <w:multiLevelType w:val="hybridMultilevel"/>
    <w:tmpl w:val="172C6E82"/>
    <w:lvl w:ilvl="0" w:tplc="159A3600">
      <w:start w:val="45"/>
      <w:numFmt w:val="bullet"/>
      <w:lvlText w:val="-"/>
      <w:lvlJc w:val="left"/>
      <w:pPr>
        <w:ind w:left="1068" w:hanging="360"/>
      </w:pPr>
      <w:rPr>
        <w:rFonts w:ascii="Garamond" w:eastAsiaTheme="minorHAnsi" w:hAnsi="Garamond"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573E2973"/>
    <w:multiLevelType w:val="hybridMultilevel"/>
    <w:tmpl w:val="F398CE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89D393D"/>
    <w:multiLevelType w:val="hybridMultilevel"/>
    <w:tmpl w:val="EFFEAC2E"/>
    <w:lvl w:ilvl="0" w:tplc="779E5DF4">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2" w15:restartNumberingAfterBreak="0">
    <w:nsid w:val="641B37C5"/>
    <w:multiLevelType w:val="hybridMultilevel"/>
    <w:tmpl w:val="9E2A3C7A"/>
    <w:lvl w:ilvl="0" w:tplc="9B5EF724">
      <w:start w:val="1"/>
      <w:numFmt w:val="decimal"/>
      <w:pStyle w:val="Normal"/>
      <w:lvlText w:val="%1."/>
      <w:lvlJc w:val="left"/>
      <w:pPr>
        <w:ind w:left="360" w:hanging="360"/>
      </w:pPr>
      <w:rPr>
        <w:b w:val="0"/>
        <w:bCs w:val="0"/>
        <w:i w:val="0"/>
      </w:rPr>
    </w:lvl>
    <w:lvl w:ilvl="1" w:tplc="040C0019">
      <w:start w:val="1"/>
      <w:numFmt w:val="lowerLetter"/>
      <w:pStyle w:val="Sous-titre"/>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41801033">
    <w:abstractNumId w:val="2"/>
  </w:num>
  <w:num w:numId="2" w16cid:durableId="814956643">
    <w:abstractNumId w:val="12"/>
  </w:num>
  <w:num w:numId="3" w16cid:durableId="630524493">
    <w:abstractNumId w:val="11"/>
  </w:num>
  <w:num w:numId="4" w16cid:durableId="559943891">
    <w:abstractNumId w:val="9"/>
  </w:num>
  <w:num w:numId="5" w16cid:durableId="1022322132">
    <w:abstractNumId w:val="1"/>
  </w:num>
  <w:num w:numId="6" w16cid:durableId="179004538">
    <w:abstractNumId w:val="0"/>
  </w:num>
  <w:num w:numId="7" w16cid:durableId="1879508179">
    <w:abstractNumId w:val="8"/>
  </w:num>
  <w:num w:numId="8" w16cid:durableId="466434775">
    <w:abstractNumId w:val="4"/>
  </w:num>
  <w:num w:numId="9" w16cid:durableId="1916820452">
    <w:abstractNumId w:val="6"/>
  </w:num>
  <w:num w:numId="10" w16cid:durableId="1841502458">
    <w:abstractNumId w:val="10"/>
  </w:num>
  <w:num w:numId="11" w16cid:durableId="1981156804">
    <w:abstractNumId w:val="7"/>
  </w:num>
  <w:num w:numId="12" w16cid:durableId="1094861628">
    <w:abstractNumId w:val="5"/>
  </w:num>
  <w:num w:numId="13" w16cid:durableId="143805777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284"/>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19B"/>
    <w:rsid w:val="00000543"/>
    <w:rsid w:val="00000546"/>
    <w:rsid w:val="000009C5"/>
    <w:rsid w:val="00000A24"/>
    <w:rsid w:val="00001516"/>
    <w:rsid w:val="0000177C"/>
    <w:rsid w:val="00001797"/>
    <w:rsid w:val="00001FDA"/>
    <w:rsid w:val="00002272"/>
    <w:rsid w:val="00002380"/>
    <w:rsid w:val="000024EC"/>
    <w:rsid w:val="00003DA8"/>
    <w:rsid w:val="00004106"/>
    <w:rsid w:val="0000474E"/>
    <w:rsid w:val="00004847"/>
    <w:rsid w:val="00004D44"/>
    <w:rsid w:val="00005391"/>
    <w:rsid w:val="00005563"/>
    <w:rsid w:val="0000619A"/>
    <w:rsid w:val="00006390"/>
    <w:rsid w:val="0000671C"/>
    <w:rsid w:val="00006D2E"/>
    <w:rsid w:val="0000769D"/>
    <w:rsid w:val="00007A9C"/>
    <w:rsid w:val="00007BCF"/>
    <w:rsid w:val="00007CD3"/>
    <w:rsid w:val="00007EA2"/>
    <w:rsid w:val="00010B55"/>
    <w:rsid w:val="00010C70"/>
    <w:rsid w:val="00010D70"/>
    <w:rsid w:val="0001128A"/>
    <w:rsid w:val="0001163D"/>
    <w:rsid w:val="00011AA9"/>
    <w:rsid w:val="00011E2B"/>
    <w:rsid w:val="00011EBD"/>
    <w:rsid w:val="0001287D"/>
    <w:rsid w:val="0001299D"/>
    <w:rsid w:val="00012D9E"/>
    <w:rsid w:val="00012ECF"/>
    <w:rsid w:val="000131A4"/>
    <w:rsid w:val="000134BE"/>
    <w:rsid w:val="00013B47"/>
    <w:rsid w:val="00013F64"/>
    <w:rsid w:val="00014362"/>
    <w:rsid w:val="0001447C"/>
    <w:rsid w:val="00014663"/>
    <w:rsid w:val="00015391"/>
    <w:rsid w:val="0001550B"/>
    <w:rsid w:val="00015B7A"/>
    <w:rsid w:val="0001627C"/>
    <w:rsid w:val="000162C8"/>
    <w:rsid w:val="00016338"/>
    <w:rsid w:val="00016924"/>
    <w:rsid w:val="00016B10"/>
    <w:rsid w:val="00016B3C"/>
    <w:rsid w:val="00016C5D"/>
    <w:rsid w:val="00016FA0"/>
    <w:rsid w:val="000176A2"/>
    <w:rsid w:val="00017EC0"/>
    <w:rsid w:val="00017F31"/>
    <w:rsid w:val="00020A5E"/>
    <w:rsid w:val="000213BC"/>
    <w:rsid w:val="0002189D"/>
    <w:rsid w:val="00021B1C"/>
    <w:rsid w:val="00022475"/>
    <w:rsid w:val="00022974"/>
    <w:rsid w:val="00022AC5"/>
    <w:rsid w:val="00023259"/>
    <w:rsid w:val="0002365A"/>
    <w:rsid w:val="00023D70"/>
    <w:rsid w:val="000247EE"/>
    <w:rsid w:val="00024A44"/>
    <w:rsid w:val="00024E92"/>
    <w:rsid w:val="00024EBD"/>
    <w:rsid w:val="00024FD0"/>
    <w:rsid w:val="0002526B"/>
    <w:rsid w:val="000258B4"/>
    <w:rsid w:val="00025925"/>
    <w:rsid w:val="00025F06"/>
    <w:rsid w:val="00025F7E"/>
    <w:rsid w:val="00026655"/>
    <w:rsid w:val="00026894"/>
    <w:rsid w:val="00026C44"/>
    <w:rsid w:val="00026DCC"/>
    <w:rsid w:val="00026DD6"/>
    <w:rsid w:val="00026EF6"/>
    <w:rsid w:val="00026F85"/>
    <w:rsid w:val="0002716B"/>
    <w:rsid w:val="0002760F"/>
    <w:rsid w:val="00027913"/>
    <w:rsid w:val="00027D74"/>
    <w:rsid w:val="00027FA2"/>
    <w:rsid w:val="00030C95"/>
    <w:rsid w:val="00031252"/>
    <w:rsid w:val="00031959"/>
    <w:rsid w:val="0003203D"/>
    <w:rsid w:val="00032875"/>
    <w:rsid w:val="0003295B"/>
    <w:rsid w:val="00032B44"/>
    <w:rsid w:val="00032F40"/>
    <w:rsid w:val="0003314E"/>
    <w:rsid w:val="00033402"/>
    <w:rsid w:val="000339AA"/>
    <w:rsid w:val="000339E2"/>
    <w:rsid w:val="00034255"/>
    <w:rsid w:val="0003453B"/>
    <w:rsid w:val="000345E5"/>
    <w:rsid w:val="0003485E"/>
    <w:rsid w:val="00034888"/>
    <w:rsid w:val="00034DCC"/>
    <w:rsid w:val="00034E5D"/>
    <w:rsid w:val="00035C1C"/>
    <w:rsid w:val="00036019"/>
    <w:rsid w:val="0003644D"/>
    <w:rsid w:val="000366FC"/>
    <w:rsid w:val="00036995"/>
    <w:rsid w:val="00036B68"/>
    <w:rsid w:val="00036CE1"/>
    <w:rsid w:val="00036E39"/>
    <w:rsid w:val="000375F4"/>
    <w:rsid w:val="00037E05"/>
    <w:rsid w:val="00040B05"/>
    <w:rsid w:val="00040D10"/>
    <w:rsid w:val="00040D2A"/>
    <w:rsid w:val="00041291"/>
    <w:rsid w:val="000412BD"/>
    <w:rsid w:val="00041678"/>
    <w:rsid w:val="000416F1"/>
    <w:rsid w:val="0004216E"/>
    <w:rsid w:val="000421D1"/>
    <w:rsid w:val="0004274C"/>
    <w:rsid w:val="00042E5B"/>
    <w:rsid w:val="00042F6D"/>
    <w:rsid w:val="0004316F"/>
    <w:rsid w:val="0004330C"/>
    <w:rsid w:val="000435A4"/>
    <w:rsid w:val="00043C1D"/>
    <w:rsid w:val="00044075"/>
    <w:rsid w:val="0004496D"/>
    <w:rsid w:val="00044C20"/>
    <w:rsid w:val="00044EE4"/>
    <w:rsid w:val="0004542A"/>
    <w:rsid w:val="00045B55"/>
    <w:rsid w:val="00045E14"/>
    <w:rsid w:val="000462A7"/>
    <w:rsid w:val="00046A19"/>
    <w:rsid w:val="00046EFE"/>
    <w:rsid w:val="00047235"/>
    <w:rsid w:val="0004750F"/>
    <w:rsid w:val="00047641"/>
    <w:rsid w:val="0005022C"/>
    <w:rsid w:val="00050628"/>
    <w:rsid w:val="00050F46"/>
    <w:rsid w:val="00051137"/>
    <w:rsid w:val="000515EC"/>
    <w:rsid w:val="0005170C"/>
    <w:rsid w:val="00051BBF"/>
    <w:rsid w:val="0005209E"/>
    <w:rsid w:val="00052147"/>
    <w:rsid w:val="000524C0"/>
    <w:rsid w:val="000526A9"/>
    <w:rsid w:val="00052A8B"/>
    <w:rsid w:val="00052F72"/>
    <w:rsid w:val="000530B2"/>
    <w:rsid w:val="000536FC"/>
    <w:rsid w:val="00053A34"/>
    <w:rsid w:val="00054588"/>
    <w:rsid w:val="00054A9F"/>
    <w:rsid w:val="00054ACE"/>
    <w:rsid w:val="00054C9A"/>
    <w:rsid w:val="00054CDF"/>
    <w:rsid w:val="00054E4D"/>
    <w:rsid w:val="00055360"/>
    <w:rsid w:val="00055465"/>
    <w:rsid w:val="000557AA"/>
    <w:rsid w:val="00055926"/>
    <w:rsid w:val="00055D7B"/>
    <w:rsid w:val="00055E7C"/>
    <w:rsid w:val="00055E99"/>
    <w:rsid w:val="00056270"/>
    <w:rsid w:val="000565F9"/>
    <w:rsid w:val="0005699B"/>
    <w:rsid w:val="00056D7E"/>
    <w:rsid w:val="00056E16"/>
    <w:rsid w:val="00056F0A"/>
    <w:rsid w:val="0005764B"/>
    <w:rsid w:val="00057C8F"/>
    <w:rsid w:val="000601E6"/>
    <w:rsid w:val="00060B0D"/>
    <w:rsid w:val="00061158"/>
    <w:rsid w:val="00061363"/>
    <w:rsid w:val="00062402"/>
    <w:rsid w:val="000625E3"/>
    <w:rsid w:val="000626AE"/>
    <w:rsid w:val="00062A4D"/>
    <w:rsid w:val="00062D3A"/>
    <w:rsid w:val="00062E91"/>
    <w:rsid w:val="000632DD"/>
    <w:rsid w:val="00063B9C"/>
    <w:rsid w:val="00063E7F"/>
    <w:rsid w:val="00063F08"/>
    <w:rsid w:val="00064492"/>
    <w:rsid w:val="00065821"/>
    <w:rsid w:val="000658A8"/>
    <w:rsid w:val="00066352"/>
    <w:rsid w:val="00066A9C"/>
    <w:rsid w:val="00066BF5"/>
    <w:rsid w:val="00066EC3"/>
    <w:rsid w:val="000677AB"/>
    <w:rsid w:val="00067BC0"/>
    <w:rsid w:val="0007044D"/>
    <w:rsid w:val="00070587"/>
    <w:rsid w:val="00070723"/>
    <w:rsid w:val="00070C54"/>
    <w:rsid w:val="00071169"/>
    <w:rsid w:val="000718AE"/>
    <w:rsid w:val="00071A56"/>
    <w:rsid w:val="00071B38"/>
    <w:rsid w:val="00071D51"/>
    <w:rsid w:val="00072253"/>
    <w:rsid w:val="000723FD"/>
    <w:rsid w:val="00072437"/>
    <w:rsid w:val="00072B19"/>
    <w:rsid w:val="00072DD4"/>
    <w:rsid w:val="00073100"/>
    <w:rsid w:val="00073334"/>
    <w:rsid w:val="00073973"/>
    <w:rsid w:val="00073A77"/>
    <w:rsid w:val="00073B35"/>
    <w:rsid w:val="000744D3"/>
    <w:rsid w:val="000745FF"/>
    <w:rsid w:val="00074D67"/>
    <w:rsid w:val="00074EDC"/>
    <w:rsid w:val="00075098"/>
    <w:rsid w:val="000755C4"/>
    <w:rsid w:val="00075720"/>
    <w:rsid w:val="00075C3A"/>
    <w:rsid w:val="00075CB4"/>
    <w:rsid w:val="00076540"/>
    <w:rsid w:val="0007690B"/>
    <w:rsid w:val="00076965"/>
    <w:rsid w:val="00076A71"/>
    <w:rsid w:val="00077197"/>
    <w:rsid w:val="000772DC"/>
    <w:rsid w:val="000774AB"/>
    <w:rsid w:val="000774B0"/>
    <w:rsid w:val="000779E7"/>
    <w:rsid w:val="00077A37"/>
    <w:rsid w:val="00077C48"/>
    <w:rsid w:val="00077E42"/>
    <w:rsid w:val="0008023D"/>
    <w:rsid w:val="0008061D"/>
    <w:rsid w:val="00080CDD"/>
    <w:rsid w:val="00080F0A"/>
    <w:rsid w:val="000810D3"/>
    <w:rsid w:val="00082235"/>
    <w:rsid w:val="00082C52"/>
    <w:rsid w:val="00082F04"/>
    <w:rsid w:val="00083356"/>
    <w:rsid w:val="0008339E"/>
    <w:rsid w:val="000837FB"/>
    <w:rsid w:val="00083B6F"/>
    <w:rsid w:val="00083F86"/>
    <w:rsid w:val="00084005"/>
    <w:rsid w:val="000855CA"/>
    <w:rsid w:val="00085ED7"/>
    <w:rsid w:val="00086337"/>
    <w:rsid w:val="0008659D"/>
    <w:rsid w:val="000874FB"/>
    <w:rsid w:val="00087BDD"/>
    <w:rsid w:val="00087D22"/>
    <w:rsid w:val="000907D7"/>
    <w:rsid w:val="00090D3B"/>
    <w:rsid w:val="00090FA9"/>
    <w:rsid w:val="0009141C"/>
    <w:rsid w:val="00091B9D"/>
    <w:rsid w:val="00092B20"/>
    <w:rsid w:val="00092F82"/>
    <w:rsid w:val="000932E0"/>
    <w:rsid w:val="00093586"/>
    <w:rsid w:val="000936CC"/>
    <w:rsid w:val="0009383E"/>
    <w:rsid w:val="00093E2C"/>
    <w:rsid w:val="00095407"/>
    <w:rsid w:val="00095817"/>
    <w:rsid w:val="00095825"/>
    <w:rsid w:val="00096012"/>
    <w:rsid w:val="000965BE"/>
    <w:rsid w:val="000975EC"/>
    <w:rsid w:val="00097A31"/>
    <w:rsid w:val="00097C03"/>
    <w:rsid w:val="00097E9F"/>
    <w:rsid w:val="000A016C"/>
    <w:rsid w:val="000A06AA"/>
    <w:rsid w:val="000A0A41"/>
    <w:rsid w:val="000A0EDD"/>
    <w:rsid w:val="000A0F35"/>
    <w:rsid w:val="000A1220"/>
    <w:rsid w:val="000A12E7"/>
    <w:rsid w:val="000A18FE"/>
    <w:rsid w:val="000A1B67"/>
    <w:rsid w:val="000A3882"/>
    <w:rsid w:val="000A41C5"/>
    <w:rsid w:val="000A44A5"/>
    <w:rsid w:val="000A45D8"/>
    <w:rsid w:val="000A49A3"/>
    <w:rsid w:val="000A4A03"/>
    <w:rsid w:val="000A516E"/>
    <w:rsid w:val="000A52CF"/>
    <w:rsid w:val="000A5E39"/>
    <w:rsid w:val="000A60B3"/>
    <w:rsid w:val="000A621B"/>
    <w:rsid w:val="000A6E35"/>
    <w:rsid w:val="000A708B"/>
    <w:rsid w:val="000A71AC"/>
    <w:rsid w:val="000A72A1"/>
    <w:rsid w:val="000A74A0"/>
    <w:rsid w:val="000A75DC"/>
    <w:rsid w:val="000A782C"/>
    <w:rsid w:val="000A7D64"/>
    <w:rsid w:val="000B180C"/>
    <w:rsid w:val="000B18A8"/>
    <w:rsid w:val="000B22CE"/>
    <w:rsid w:val="000B23B4"/>
    <w:rsid w:val="000B26A2"/>
    <w:rsid w:val="000B2E31"/>
    <w:rsid w:val="000B32F1"/>
    <w:rsid w:val="000B359F"/>
    <w:rsid w:val="000B3AC5"/>
    <w:rsid w:val="000B41DE"/>
    <w:rsid w:val="000B4586"/>
    <w:rsid w:val="000B4EB1"/>
    <w:rsid w:val="000B5793"/>
    <w:rsid w:val="000B68AE"/>
    <w:rsid w:val="000B6E07"/>
    <w:rsid w:val="000B6E45"/>
    <w:rsid w:val="000B7549"/>
    <w:rsid w:val="000B754A"/>
    <w:rsid w:val="000B78AC"/>
    <w:rsid w:val="000B7C33"/>
    <w:rsid w:val="000B7F25"/>
    <w:rsid w:val="000C02DA"/>
    <w:rsid w:val="000C0AB9"/>
    <w:rsid w:val="000C0B2F"/>
    <w:rsid w:val="000C0B63"/>
    <w:rsid w:val="000C0B82"/>
    <w:rsid w:val="000C1228"/>
    <w:rsid w:val="000C14C2"/>
    <w:rsid w:val="000C178E"/>
    <w:rsid w:val="000C18CE"/>
    <w:rsid w:val="000C20A3"/>
    <w:rsid w:val="000C26AA"/>
    <w:rsid w:val="000C2968"/>
    <w:rsid w:val="000C383E"/>
    <w:rsid w:val="000C3AAD"/>
    <w:rsid w:val="000C3CD6"/>
    <w:rsid w:val="000C4114"/>
    <w:rsid w:val="000C460A"/>
    <w:rsid w:val="000C4956"/>
    <w:rsid w:val="000C4DE7"/>
    <w:rsid w:val="000C4EE5"/>
    <w:rsid w:val="000C55EB"/>
    <w:rsid w:val="000C566C"/>
    <w:rsid w:val="000C57C6"/>
    <w:rsid w:val="000C5882"/>
    <w:rsid w:val="000C5D17"/>
    <w:rsid w:val="000C61FF"/>
    <w:rsid w:val="000C62D3"/>
    <w:rsid w:val="000C63FE"/>
    <w:rsid w:val="000C6766"/>
    <w:rsid w:val="000C6A34"/>
    <w:rsid w:val="000C6A6D"/>
    <w:rsid w:val="000C794F"/>
    <w:rsid w:val="000C799C"/>
    <w:rsid w:val="000C7EA2"/>
    <w:rsid w:val="000C7F5C"/>
    <w:rsid w:val="000D11C7"/>
    <w:rsid w:val="000D11F5"/>
    <w:rsid w:val="000D1306"/>
    <w:rsid w:val="000D1538"/>
    <w:rsid w:val="000D1791"/>
    <w:rsid w:val="000D1BA4"/>
    <w:rsid w:val="000D1C15"/>
    <w:rsid w:val="000D1FE0"/>
    <w:rsid w:val="000D238B"/>
    <w:rsid w:val="000D25BA"/>
    <w:rsid w:val="000D2605"/>
    <w:rsid w:val="000D2A47"/>
    <w:rsid w:val="000D3170"/>
    <w:rsid w:val="000D3419"/>
    <w:rsid w:val="000D3701"/>
    <w:rsid w:val="000D3A5D"/>
    <w:rsid w:val="000D3BD3"/>
    <w:rsid w:val="000D4B54"/>
    <w:rsid w:val="000D5312"/>
    <w:rsid w:val="000D54FE"/>
    <w:rsid w:val="000D5B1C"/>
    <w:rsid w:val="000D5E18"/>
    <w:rsid w:val="000D5E73"/>
    <w:rsid w:val="000D6130"/>
    <w:rsid w:val="000D6386"/>
    <w:rsid w:val="000D646D"/>
    <w:rsid w:val="000D647D"/>
    <w:rsid w:val="000D64D4"/>
    <w:rsid w:val="000D7B8E"/>
    <w:rsid w:val="000E0086"/>
    <w:rsid w:val="000E0671"/>
    <w:rsid w:val="000E0B56"/>
    <w:rsid w:val="000E1849"/>
    <w:rsid w:val="000E18BF"/>
    <w:rsid w:val="000E1AFE"/>
    <w:rsid w:val="000E2301"/>
    <w:rsid w:val="000E2366"/>
    <w:rsid w:val="000E294C"/>
    <w:rsid w:val="000E308A"/>
    <w:rsid w:val="000E30E1"/>
    <w:rsid w:val="000E36C6"/>
    <w:rsid w:val="000E401C"/>
    <w:rsid w:val="000E405F"/>
    <w:rsid w:val="000E4350"/>
    <w:rsid w:val="000E4963"/>
    <w:rsid w:val="000E513E"/>
    <w:rsid w:val="000E51BE"/>
    <w:rsid w:val="000E57C9"/>
    <w:rsid w:val="000E5AC1"/>
    <w:rsid w:val="000E5F92"/>
    <w:rsid w:val="000E62FD"/>
    <w:rsid w:val="000E649A"/>
    <w:rsid w:val="000E6C3B"/>
    <w:rsid w:val="000E764B"/>
    <w:rsid w:val="000E79F0"/>
    <w:rsid w:val="000F05C2"/>
    <w:rsid w:val="000F06BC"/>
    <w:rsid w:val="000F243F"/>
    <w:rsid w:val="000F2D35"/>
    <w:rsid w:val="000F32FA"/>
    <w:rsid w:val="000F3333"/>
    <w:rsid w:val="000F3CEF"/>
    <w:rsid w:val="000F3D69"/>
    <w:rsid w:val="000F3DF5"/>
    <w:rsid w:val="000F4149"/>
    <w:rsid w:val="000F4431"/>
    <w:rsid w:val="000F443B"/>
    <w:rsid w:val="000F46E5"/>
    <w:rsid w:val="000F4F49"/>
    <w:rsid w:val="000F4FF2"/>
    <w:rsid w:val="000F5122"/>
    <w:rsid w:val="000F56D5"/>
    <w:rsid w:val="000F5C8B"/>
    <w:rsid w:val="000F6614"/>
    <w:rsid w:val="000F6ADC"/>
    <w:rsid w:val="000F6B42"/>
    <w:rsid w:val="000F6C98"/>
    <w:rsid w:val="0010029A"/>
    <w:rsid w:val="00100367"/>
    <w:rsid w:val="0010056E"/>
    <w:rsid w:val="00100826"/>
    <w:rsid w:val="00100ADE"/>
    <w:rsid w:val="00100B00"/>
    <w:rsid w:val="00100E85"/>
    <w:rsid w:val="00100F43"/>
    <w:rsid w:val="001016C8"/>
    <w:rsid w:val="00101799"/>
    <w:rsid w:val="0010195F"/>
    <w:rsid w:val="00101EF3"/>
    <w:rsid w:val="001023BD"/>
    <w:rsid w:val="0010274A"/>
    <w:rsid w:val="00102CB9"/>
    <w:rsid w:val="00102D73"/>
    <w:rsid w:val="0010300C"/>
    <w:rsid w:val="0010325D"/>
    <w:rsid w:val="00103BC0"/>
    <w:rsid w:val="00104C87"/>
    <w:rsid w:val="00104CF3"/>
    <w:rsid w:val="00105A51"/>
    <w:rsid w:val="00105C6B"/>
    <w:rsid w:val="00105D47"/>
    <w:rsid w:val="00105E36"/>
    <w:rsid w:val="00106621"/>
    <w:rsid w:val="00107A47"/>
    <w:rsid w:val="00107AFB"/>
    <w:rsid w:val="00107D89"/>
    <w:rsid w:val="00110025"/>
    <w:rsid w:val="00110251"/>
    <w:rsid w:val="00110424"/>
    <w:rsid w:val="0011078E"/>
    <w:rsid w:val="00110BD3"/>
    <w:rsid w:val="00110FD8"/>
    <w:rsid w:val="001114AD"/>
    <w:rsid w:val="00111714"/>
    <w:rsid w:val="0011207F"/>
    <w:rsid w:val="001124BF"/>
    <w:rsid w:val="00113C66"/>
    <w:rsid w:val="00113D21"/>
    <w:rsid w:val="00114DC8"/>
    <w:rsid w:val="001155F5"/>
    <w:rsid w:val="001157FE"/>
    <w:rsid w:val="00115B6B"/>
    <w:rsid w:val="00115FAE"/>
    <w:rsid w:val="00116065"/>
    <w:rsid w:val="0011616E"/>
    <w:rsid w:val="001164F5"/>
    <w:rsid w:val="001165BA"/>
    <w:rsid w:val="001167DF"/>
    <w:rsid w:val="001167F6"/>
    <w:rsid w:val="0011690D"/>
    <w:rsid w:val="001174FE"/>
    <w:rsid w:val="0011776D"/>
    <w:rsid w:val="00117776"/>
    <w:rsid w:val="00117BEF"/>
    <w:rsid w:val="00117E7B"/>
    <w:rsid w:val="00117F69"/>
    <w:rsid w:val="00120222"/>
    <w:rsid w:val="001213AF"/>
    <w:rsid w:val="00121690"/>
    <w:rsid w:val="001216CB"/>
    <w:rsid w:val="00121AC2"/>
    <w:rsid w:val="00121BE9"/>
    <w:rsid w:val="00121DFF"/>
    <w:rsid w:val="001220D9"/>
    <w:rsid w:val="00122352"/>
    <w:rsid w:val="00122DBC"/>
    <w:rsid w:val="00122FD3"/>
    <w:rsid w:val="00123078"/>
    <w:rsid w:val="0012430D"/>
    <w:rsid w:val="00125046"/>
    <w:rsid w:val="001250FD"/>
    <w:rsid w:val="0012556C"/>
    <w:rsid w:val="00126904"/>
    <w:rsid w:val="001269EA"/>
    <w:rsid w:val="00126AD7"/>
    <w:rsid w:val="00126CE0"/>
    <w:rsid w:val="00126DFE"/>
    <w:rsid w:val="001276FD"/>
    <w:rsid w:val="001300D5"/>
    <w:rsid w:val="0013074A"/>
    <w:rsid w:val="00130AFB"/>
    <w:rsid w:val="00130B44"/>
    <w:rsid w:val="00130C0A"/>
    <w:rsid w:val="00130F3F"/>
    <w:rsid w:val="001313CA"/>
    <w:rsid w:val="00132036"/>
    <w:rsid w:val="00132E22"/>
    <w:rsid w:val="001331C4"/>
    <w:rsid w:val="00134275"/>
    <w:rsid w:val="00134475"/>
    <w:rsid w:val="00134EC8"/>
    <w:rsid w:val="00135D06"/>
    <w:rsid w:val="00135F01"/>
    <w:rsid w:val="00135F36"/>
    <w:rsid w:val="00135F96"/>
    <w:rsid w:val="001360F6"/>
    <w:rsid w:val="001368F4"/>
    <w:rsid w:val="00136CB7"/>
    <w:rsid w:val="0013734C"/>
    <w:rsid w:val="0013746F"/>
    <w:rsid w:val="00137697"/>
    <w:rsid w:val="00137D78"/>
    <w:rsid w:val="00137FC2"/>
    <w:rsid w:val="00140697"/>
    <w:rsid w:val="001407D4"/>
    <w:rsid w:val="00141071"/>
    <w:rsid w:val="001417B2"/>
    <w:rsid w:val="00141AA9"/>
    <w:rsid w:val="00141CD2"/>
    <w:rsid w:val="00141F28"/>
    <w:rsid w:val="00142090"/>
    <w:rsid w:val="0014237D"/>
    <w:rsid w:val="00142780"/>
    <w:rsid w:val="00142ACA"/>
    <w:rsid w:val="001439B6"/>
    <w:rsid w:val="00143FC9"/>
    <w:rsid w:val="0014418B"/>
    <w:rsid w:val="00144255"/>
    <w:rsid w:val="00145342"/>
    <w:rsid w:val="001453B1"/>
    <w:rsid w:val="00145CA0"/>
    <w:rsid w:val="0014668F"/>
    <w:rsid w:val="00146961"/>
    <w:rsid w:val="0014702F"/>
    <w:rsid w:val="00147805"/>
    <w:rsid w:val="00147BE2"/>
    <w:rsid w:val="001513A2"/>
    <w:rsid w:val="00151A72"/>
    <w:rsid w:val="00151B58"/>
    <w:rsid w:val="00151C8A"/>
    <w:rsid w:val="00151D62"/>
    <w:rsid w:val="00151DE5"/>
    <w:rsid w:val="00152767"/>
    <w:rsid w:val="00152826"/>
    <w:rsid w:val="00153389"/>
    <w:rsid w:val="001535F3"/>
    <w:rsid w:val="00153EC4"/>
    <w:rsid w:val="00153F2F"/>
    <w:rsid w:val="00154448"/>
    <w:rsid w:val="00154520"/>
    <w:rsid w:val="0015487B"/>
    <w:rsid w:val="001552FD"/>
    <w:rsid w:val="001557F6"/>
    <w:rsid w:val="00155BBC"/>
    <w:rsid w:val="00156255"/>
    <w:rsid w:val="0015730C"/>
    <w:rsid w:val="00157592"/>
    <w:rsid w:val="001576A9"/>
    <w:rsid w:val="00157874"/>
    <w:rsid w:val="0016017E"/>
    <w:rsid w:val="0016058C"/>
    <w:rsid w:val="00161307"/>
    <w:rsid w:val="001617B6"/>
    <w:rsid w:val="00161A2F"/>
    <w:rsid w:val="001621D6"/>
    <w:rsid w:val="00162DA1"/>
    <w:rsid w:val="001635CA"/>
    <w:rsid w:val="001637B7"/>
    <w:rsid w:val="00163A39"/>
    <w:rsid w:val="0016426C"/>
    <w:rsid w:val="00164340"/>
    <w:rsid w:val="001647E9"/>
    <w:rsid w:val="001648A7"/>
    <w:rsid w:val="00164B1A"/>
    <w:rsid w:val="001650AF"/>
    <w:rsid w:val="0016531E"/>
    <w:rsid w:val="00165655"/>
    <w:rsid w:val="00165854"/>
    <w:rsid w:val="00165864"/>
    <w:rsid w:val="0016619D"/>
    <w:rsid w:val="00166A7D"/>
    <w:rsid w:val="0017037A"/>
    <w:rsid w:val="00170974"/>
    <w:rsid w:val="00170DDF"/>
    <w:rsid w:val="00170E2A"/>
    <w:rsid w:val="00171AEC"/>
    <w:rsid w:val="00171EEF"/>
    <w:rsid w:val="0017221F"/>
    <w:rsid w:val="001722D6"/>
    <w:rsid w:val="0017269B"/>
    <w:rsid w:val="00172F95"/>
    <w:rsid w:val="0017300E"/>
    <w:rsid w:val="0017309D"/>
    <w:rsid w:val="0017360E"/>
    <w:rsid w:val="00173B84"/>
    <w:rsid w:val="00174162"/>
    <w:rsid w:val="001748ED"/>
    <w:rsid w:val="001758BB"/>
    <w:rsid w:val="00175972"/>
    <w:rsid w:val="00175B7A"/>
    <w:rsid w:val="00175D84"/>
    <w:rsid w:val="001764EE"/>
    <w:rsid w:val="001767DD"/>
    <w:rsid w:val="00176865"/>
    <w:rsid w:val="00176BE6"/>
    <w:rsid w:val="00176E37"/>
    <w:rsid w:val="00176F23"/>
    <w:rsid w:val="00177419"/>
    <w:rsid w:val="00177FCC"/>
    <w:rsid w:val="00180024"/>
    <w:rsid w:val="0018006D"/>
    <w:rsid w:val="00180265"/>
    <w:rsid w:val="00180469"/>
    <w:rsid w:val="00180DA6"/>
    <w:rsid w:val="0018103A"/>
    <w:rsid w:val="00181188"/>
    <w:rsid w:val="001823ED"/>
    <w:rsid w:val="00182852"/>
    <w:rsid w:val="001838A5"/>
    <w:rsid w:val="00183A80"/>
    <w:rsid w:val="00183D17"/>
    <w:rsid w:val="001842CC"/>
    <w:rsid w:val="00184F3E"/>
    <w:rsid w:val="00185443"/>
    <w:rsid w:val="00186648"/>
    <w:rsid w:val="00187443"/>
    <w:rsid w:val="00187528"/>
    <w:rsid w:val="00190048"/>
    <w:rsid w:val="0019007C"/>
    <w:rsid w:val="001903F9"/>
    <w:rsid w:val="001904CA"/>
    <w:rsid w:val="00190DFD"/>
    <w:rsid w:val="00191306"/>
    <w:rsid w:val="0019136D"/>
    <w:rsid w:val="0019139E"/>
    <w:rsid w:val="00191432"/>
    <w:rsid w:val="001917C6"/>
    <w:rsid w:val="00191A81"/>
    <w:rsid w:val="00191C85"/>
    <w:rsid w:val="00192114"/>
    <w:rsid w:val="001923BF"/>
    <w:rsid w:val="0019254E"/>
    <w:rsid w:val="0019319F"/>
    <w:rsid w:val="001934C4"/>
    <w:rsid w:val="00193B77"/>
    <w:rsid w:val="00193FC2"/>
    <w:rsid w:val="001945A8"/>
    <w:rsid w:val="00194727"/>
    <w:rsid w:val="001947A0"/>
    <w:rsid w:val="00194CF7"/>
    <w:rsid w:val="00194F27"/>
    <w:rsid w:val="0019545A"/>
    <w:rsid w:val="00195A9F"/>
    <w:rsid w:val="00195C43"/>
    <w:rsid w:val="00195C72"/>
    <w:rsid w:val="001966FE"/>
    <w:rsid w:val="0019741E"/>
    <w:rsid w:val="00197917"/>
    <w:rsid w:val="00197C93"/>
    <w:rsid w:val="001A006A"/>
    <w:rsid w:val="001A0721"/>
    <w:rsid w:val="001A09E9"/>
    <w:rsid w:val="001A0ADA"/>
    <w:rsid w:val="001A12C5"/>
    <w:rsid w:val="001A16AD"/>
    <w:rsid w:val="001A1E7C"/>
    <w:rsid w:val="001A2601"/>
    <w:rsid w:val="001A289C"/>
    <w:rsid w:val="001A2923"/>
    <w:rsid w:val="001A2924"/>
    <w:rsid w:val="001A2E0A"/>
    <w:rsid w:val="001A2E5C"/>
    <w:rsid w:val="001A2F3A"/>
    <w:rsid w:val="001A3166"/>
    <w:rsid w:val="001A35FB"/>
    <w:rsid w:val="001A3D62"/>
    <w:rsid w:val="001A3FC9"/>
    <w:rsid w:val="001A420B"/>
    <w:rsid w:val="001A4440"/>
    <w:rsid w:val="001A46EE"/>
    <w:rsid w:val="001A529A"/>
    <w:rsid w:val="001A52EA"/>
    <w:rsid w:val="001A5AB2"/>
    <w:rsid w:val="001A5B0F"/>
    <w:rsid w:val="001A5B9E"/>
    <w:rsid w:val="001A5EDA"/>
    <w:rsid w:val="001A62B5"/>
    <w:rsid w:val="001A64F5"/>
    <w:rsid w:val="001A698F"/>
    <w:rsid w:val="001A6B13"/>
    <w:rsid w:val="001A70C5"/>
    <w:rsid w:val="001A72E2"/>
    <w:rsid w:val="001A74D4"/>
    <w:rsid w:val="001A7774"/>
    <w:rsid w:val="001A7836"/>
    <w:rsid w:val="001A7866"/>
    <w:rsid w:val="001A7D62"/>
    <w:rsid w:val="001B10E8"/>
    <w:rsid w:val="001B1339"/>
    <w:rsid w:val="001B13F7"/>
    <w:rsid w:val="001B15B2"/>
    <w:rsid w:val="001B16C9"/>
    <w:rsid w:val="001B1AFB"/>
    <w:rsid w:val="001B1B52"/>
    <w:rsid w:val="001B2515"/>
    <w:rsid w:val="001B25A7"/>
    <w:rsid w:val="001B2823"/>
    <w:rsid w:val="001B298A"/>
    <w:rsid w:val="001B2AEA"/>
    <w:rsid w:val="001B2BAD"/>
    <w:rsid w:val="001B343F"/>
    <w:rsid w:val="001B390A"/>
    <w:rsid w:val="001B3D56"/>
    <w:rsid w:val="001B3F7A"/>
    <w:rsid w:val="001B4CB4"/>
    <w:rsid w:val="001B5184"/>
    <w:rsid w:val="001B53B9"/>
    <w:rsid w:val="001B5770"/>
    <w:rsid w:val="001B59C2"/>
    <w:rsid w:val="001B5FF3"/>
    <w:rsid w:val="001B6210"/>
    <w:rsid w:val="001B6304"/>
    <w:rsid w:val="001B64BC"/>
    <w:rsid w:val="001B6658"/>
    <w:rsid w:val="001B6CA2"/>
    <w:rsid w:val="001B6E05"/>
    <w:rsid w:val="001B733E"/>
    <w:rsid w:val="001B7387"/>
    <w:rsid w:val="001B75A8"/>
    <w:rsid w:val="001B782B"/>
    <w:rsid w:val="001B7FBC"/>
    <w:rsid w:val="001C0B47"/>
    <w:rsid w:val="001C0F68"/>
    <w:rsid w:val="001C0F99"/>
    <w:rsid w:val="001C1065"/>
    <w:rsid w:val="001C1403"/>
    <w:rsid w:val="001C1505"/>
    <w:rsid w:val="001C1982"/>
    <w:rsid w:val="001C1C24"/>
    <w:rsid w:val="001C1D89"/>
    <w:rsid w:val="001C22D8"/>
    <w:rsid w:val="001C2599"/>
    <w:rsid w:val="001C2D77"/>
    <w:rsid w:val="001C30FC"/>
    <w:rsid w:val="001C351F"/>
    <w:rsid w:val="001C3A28"/>
    <w:rsid w:val="001C3D22"/>
    <w:rsid w:val="001C3ED7"/>
    <w:rsid w:val="001C3EFF"/>
    <w:rsid w:val="001C4CB9"/>
    <w:rsid w:val="001C57BD"/>
    <w:rsid w:val="001C5969"/>
    <w:rsid w:val="001C5A47"/>
    <w:rsid w:val="001C5BA8"/>
    <w:rsid w:val="001C5BB9"/>
    <w:rsid w:val="001C6370"/>
    <w:rsid w:val="001C663A"/>
    <w:rsid w:val="001C6945"/>
    <w:rsid w:val="001C6C95"/>
    <w:rsid w:val="001C6E6A"/>
    <w:rsid w:val="001C7B61"/>
    <w:rsid w:val="001C7CCA"/>
    <w:rsid w:val="001D0248"/>
    <w:rsid w:val="001D0634"/>
    <w:rsid w:val="001D089D"/>
    <w:rsid w:val="001D09B2"/>
    <w:rsid w:val="001D0B70"/>
    <w:rsid w:val="001D12A6"/>
    <w:rsid w:val="001D13D2"/>
    <w:rsid w:val="001D2916"/>
    <w:rsid w:val="001D2924"/>
    <w:rsid w:val="001D2A19"/>
    <w:rsid w:val="001D2D34"/>
    <w:rsid w:val="001D375A"/>
    <w:rsid w:val="001D3E9C"/>
    <w:rsid w:val="001D3EA1"/>
    <w:rsid w:val="001D3EFC"/>
    <w:rsid w:val="001D3FDD"/>
    <w:rsid w:val="001D4F82"/>
    <w:rsid w:val="001D526B"/>
    <w:rsid w:val="001D5A1B"/>
    <w:rsid w:val="001D640A"/>
    <w:rsid w:val="001D6711"/>
    <w:rsid w:val="001D6C32"/>
    <w:rsid w:val="001D73AC"/>
    <w:rsid w:val="001D7848"/>
    <w:rsid w:val="001D7A88"/>
    <w:rsid w:val="001E0783"/>
    <w:rsid w:val="001E087C"/>
    <w:rsid w:val="001E0E13"/>
    <w:rsid w:val="001E0E54"/>
    <w:rsid w:val="001E15E9"/>
    <w:rsid w:val="001E1604"/>
    <w:rsid w:val="001E1EB4"/>
    <w:rsid w:val="001E26C4"/>
    <w:rsid w:val="001E3346"/>
    <w:rsid w:val="001E3A29"/>
    <w:rsid w:val="001E42E3"/>
    <w:rsid w:val="001E43F4"/>
    <w:rsid w:val="001E44E6"/>
    <w:rsid w:val="001E47CA"/>
    <w:rsid w:val="001E4A9A"/>
    <w:rsid w:val="001E4BC9"/>
    <w:rsid w:val="001E5825"/>
    <w:rsid w:val="001E5F6D"/>
    <w:rsid w:val="001E5FF0"/>
    <w:rsid w:val="001E6BD6"/>
    <w:rsid w:val="001E6EDC"/>
    <w:rsid w:val="001F106D"/>
    <w:rsid w:val="001F13C9"/>
    <w:rsid w:val="001F1826"/>
    <w:rsid w:val="001F1E79"/>
    <w:rsid w:val="001F24AB"/>
    <w:rsid w:val="001F2A89"/>
    <w:rsid w:val="001F2EA4"/>
    <w:rsid w:val="001F325F"/>
    <w:rsid w:val="001F33BC"/>
    <w:rsid w:val="001F3685"/>
    <w:rsid w:val="001F3FAD"/>
    <w:rsid w:val="001F49D5"/>
    <w:rsid w:val="001F4C02"/>
    <w:rsid w:val="001F4D87"/>
    <w:rsid w:val="001F56D8"/>
    <w:rsid w:val="001F65E8"/>
    <w:rsid w:val="001F6672"/>
    <w:rsid w:val="001F6C2B"/>
    <w:rsid w:val="001F6D4D"/>
    <w:rsid w:val="001F6D7A"/>
    <w:rsid w:val="001F6E0D"/>
    <w:rsid w:val="001F6E45"/>
    <w:rsid w:val="001F7122"/>
    <w:rsid w:val="001F7451"/>
    <w:rsid w:val="001F7E28"/>
    <w:rsid w:val="0020032F"/>
    <w:rsid w:val="00200DDA"/>
    <w:rsid w:val="0020115E"/>
    <w:rsid w:val="00201634"/>
    <w:rsid w:val="00201913"/>
    <w:rsid w:val="00202764"/>
    <w:rsid w:val="0020298A"/>
    <w:rsid w:val="002029F0"/>
    <w:rsid w:val="00202B39"/>
    <w:rsid w:val="00203CDF"/>
    <w:rsid w:val="00203F1C"/>
    <w:rsid w:val="00204279"/>
    <w:rsid w:val="002046C6"/>
    <w:rsid w:val="0020485F"/>
    <w:rsid w:val="002053E0"/>
    <w:rsid w:val="0020614E"/>
    <w:rsid w:val="00206272"/>
    <w:rsid w:val="00206D03"/>
    <w:rsid w:val="00206DB5"/>
    <w:rsid w:val="00207C71"/>
    <w:rsid w:val="00207D04"/>
    <w:rsid w:val="002104BB"/>
    <w:rsid w:val="002106A6"/>
    <w:rsid w:val="002113B1"/>
    <w:rsid w:val="00211410"/>
    <w:rsid w:val="002116A5"/>
    <w:rsid w:val="002119DC"/>
    <w:rsid w:val="002121BF"/>
    <w:rsid w:val="002123F6"/>
    <w:rsid w:val="002124CB"/>
    <w:rsid w:val="00214581"/>
    <w:rsid w:val="00214875"/>
    <w:rsid w:val="002148A4"/>
    <w:rsid w:val="0021519C"/>
    <w:rsid w:val="002154F5"/>
    <w:rsid w:val="00215F60"/>
    <w:rsid w:val="00215FE8"/>
    <w:rsid w:val="00216EF0"/>
    <w:rsid w:val="002175B1"/>
    <w:rsid w:val="002176B2"/>
    <w:rsid w:val="002176CC"/>
    <w:rsid w:val="002177A7"/>
    <w:rsid w:val="00217C06"/>
    <w:rsid w:val="00217CD3"/>
    <w:rsid w:val="00217D35"/>
    <w:rsid w:val="00217D41"/>
    <w:rsid w:val="00217DF8"/>
    <w:rsid w:val="002201BE"/>
    <w:rsid w:val="00220263"/>
    <w:rsid w:val="00221182"/>
    <w:rsid w:val="0022197D"/>
    <w:rsid w:val="00223000"/>
    <w:rsid w:val="002233E5"/>
    <w:rsid w:val="00223EAC"/>
    <w:rsid w:val="002244CB"/>
    <w:rsid w:val="00224A19"/>
    <w:rsid w:val="00224B2A"/>
    <w:rsid w:val="00225019"/>
    <w:rsid w:val="00225960"/>
    <w:rsid w:val="00225BE7"/>
    <w:rsid w:val="0022632E"/>
    <w:rsid w:val="0022657C"/>
    <w:rsid w:val="002268E6"/>
    <w:rsid w:val="00227F6C"/>
    <w:rsid w:val="00230A2B"/>
    <w:rsid w:val="0023105D"/>
    <w:rsid w:val="00231198"/>
    <w:rsid w:val="00231449"/>
    <w:rsid w:val="00231D9C"/>
    <w:rsid w:val="00232445"/>
    <w:rsid w:val="002327BF"/>
    <w:rsid w:val="00232AAB"/>
    <w:rsid w:val="00232F1D"/>
    <w:rsid w:val="00232F36"/>
    <w:rsid w:val="00233413"/>
    <w:rsid w:val="00233D92"/>
    <w:rsid w:val="00233E5E"/>
    <w:rsid w:val="00233F44"/>
    <w:rsid w:val="00234357"/>
    <w:rsid w:val="002343B5"/>
    <w:rsid w:val="0023468A"/>
    <w:rsid w:val="002347C9"/>
    <w:rsid w:val="00234A10"/>
    <w:rsid w:val="00234B95"/>
    <w:rsid w:val="00235907"/>
    <w:rsid w:val="0023717E"/>
    <w:rsid w:val="002374A8"/>
    <w:rsid w:val="0024038E"/>
    <w:rsid w:val="002405C8"/>
    <w:rsid w:val="00240651"/>
    <w:rsid w:val="00240BF9"/>
    <w:rsid w:val="00241282"/>
    <w:rsid w:val="002412C2"/>
    <w:rsid w:val="00241591"/>
    <w:rsid w:val="00241A1F"/>
    <w:rsid w:val="00241B75"/>
    <w:rsid w:val="00241D2D"/>
    <w:rsid w:val="0024240B"/>
    <w:rsid w:val="002427D5"/>
    <w:rsid w:val="002429D8"/>
    <w:rsid w:val="00242D4B"/>
    <w:rsid w:val="00243450"/>
    <w:rsid w:val="002434D4"/>
    <w:rsid w:val="002439DA"/>
    <w:rsid w:val="00244066"/>
    <w:rsid w:val="002442E7"/>
    <w:rsid w:val="0024491E"/>
    <w:rsid w:val="00244AFA"/>
    <w:rsid w:val="00244BA5"/>
    <w:rsid w:val="002452AB"/>
    <w:rsid w:val="00245DBA"/>
    <w:rsid w:val="00245E2E"/>
    <w:rsid w:val="00245F15"/>
    <w:rsid w:val="00245FFF"/>
    <w:rsid w:val="0024623E"/>
    <w:rsid w:val="00246667"/>
    <w:rsid w:val="002467C4"/>
    <w:rsid w:val="002469EB"/>
    <w:rsid w:val="00246A0B"/>
    <w:rsid w:val="00246BA6"/>
    <w:rsid w:val="00246E26"/>
    <w:rsid w:val="002473F6"/>
    <w:rsid w:val="00247BC7"/>
    <w:rsid w:val="00250695"/>
    <w:rsid w:val="00250BCE"/>
    <w:rsid w:val="00251073"/>
    <w:rsid w:val="002512B9"/>
    <w:rsid w:val="00251392"/>
    <w:rsid w:val="00251474"/>
    <w:rsid w:val="002514FB"/>
    <w:rsid w:val="002516A1"/>
    <w:rsid w:val="002517D5"/>
    <w:rsid w:val="00251CD0"/>
    <w:rsid w:val="00251EBE"/>
    <w:rsid w:val="002521BE"/>
    <w:rsid w:val="00252200"/>
    <w:rsid w:val="00252F22"/>
    <w:rsid w:val="00253991"/>
    <w:rsid w:val="00253C42"/>
    <w:rsid w:val="00253D1E"/>
    <w:rsid w:val="002548C9"/>
    <w:rsid w:val="00254D31"/>
    <w:rsid w:val="00255B11"/>
    <w:rsid w:val="002561F9"/>
    <w:rsid w:val="0025656C"/>
    <w:rsid w:val="0025686E"/>
    <w:rsid w:val="00256A15"/>
    <w:rsid w:val="00256C11"/>
    <w:rsid w:val="00256CAE"/>
    <w:rsid w:val="00256E50"/>
    <w:rsid w:val="00257C9E"/>
    <w:rsid w:val="00257DD3"/>
    <w:rsid w:val="002606E2"/>
    <w:rsid w:val="00260700"/>
    <w:rsid w:val="00260E3B"/>
    <w:rsid w:val="00261259"/>
    <w:rsid w:val="002612FD"/>
    <w:rsid w:val="002621BA"/>
    <w:rsid w:val="00262287"/>
    <w:rsid w:val="00263838"/>
    <w:rsid w:val="0026395B"/>
    <w:rsid w:val="0026417A"/>
    <w:rsid w:val="002641D5"/>
    <w:rsid w:val="00264668"/>
    <w:rsid w:val="00264703"/>
    <w:rsid w:val="002647BD"/>
    <w:rsid w:val="00265319"/>
    <w:rsid w:val="00265A9A"/>
    <w:rsid w:val="00266055"/>
    <w:rsid w:val="0026619D"/>
    <w:rsid w:val="00266354"/>
    <w:rsid w:val="00266445"/>
    <w:rsid w:val="00266507"/>
    <w:rsid w:val="002668BA"/>
    <w:rsid w:val="00266B81"/>
    <w:rsid w:val="00266F18"/>
    <w:rsid w:val="0026716E"/>
    <w:rsid w:val="0026787C"/>
    <w:rsid w:val="00267A26"/>
    <w:rsid w:val="00270072"/>
    <w:rsid w:val="0027026F"/>
    <w:rsid w:val="00270646"/>
    <w:rsid w:val="00270A57"/>
    <w:rsid w:val="00270C3F"/>
    <w:rsid w:val="00270D64"/>
    <w:rsid w:val="00271671"/>
    <w:rsid w:val="00271CA7"/>
    <w:rsid w:val="00271DD6"/>
    <w:rsid w:val="00271DF9"/>
    <w:rsid w:val="00271E4D"/>
    <w:rsid w:val="002721A9"/>
    <w:rsid w:val="002725C7"/>
    <w:rsid w:val="00272B7C"/>
    <w:rsid w:val="002748A4"/>
    <w:rsid w:val="00274D53"/>
    <w:rsid w:val="00274F46"/>
    <w:rsid w:val="00274FA6"/>
    <w:rsid w:val="0027500B"/>
    <w:rsid w:val="00275145"/>
    <w:rsid w:val="002751DF"/>
    <w:rsid w:val="00276D70"/>
    <w:rsid w:val="00277300"/>
    <w:rsid w:val="0027734D"/>
    <w:rsid w:val="002776A4"/>
    <w:rsid w:val="0028017F"/>
    <w:rsid w:val="002801EC"/>
    <w:rsid w:val="0028118E"/>
    <w:rsid w:val="00281F92"/>
    <w:rsid w:val="00281FBA"/>
    <w:rsid w:val="00282135"/>
    <w:rsid w:val="002826AC"/>
    <w:rsid w:val="00282EEA"/>
    <w:rsid w:val="002832D8"/>
    <w:rsid w:val="00283AA8"/>
    <w:rsid w:val="00283AC3"/>
    <w:rsid w:val="00283D24"/>
    <w:rsid w:val="0028402C"/>
    <w:rsid w:val="00284236"/>
    <w:rsid w:val="00284819"/>
    <w:rsid w:val="002849FA"/>
    <w:rsid w:val="00284C50"/>
    <w:rsid w:val="002851A0"/>
    <w:rsid w:val="00285AF2"/>
    <w:rsid w:val="00285B9B"/>
    <w:rsid w:val="00286C2E"/>
    <w:rsid w:val="002872A3"/>
    <w:rsid w:val="00287F30"/>
    <w:rsid w:val="002909DF"/>
    <w:rsid w:val="00290D20"/>
    <w:rsid w:val="00290D5C"/>
    <w:rsid w:val="00291587"/>
    <w:rsid w:val="00291717"/>
    <w:rsid w:val="00291E57"/>
    <w:rsid w:val="00291E71"/>
    <w:rsid w:val="00293A68"/>
    <w:rsid w:val="00293DDA"/>
    <w:rsid w:val="002943FE"/>
    <w:rsid w:val="00294431"/>
    <w:rsid w:val="00294ABB"/>
    <w:rsid w:val="00294BF3"/>
    <w:rsid w:val="002954DD"/>
    <w:rsid w:val="00295802"/>
    <w:rsid w:val="00295C3F"/>
    <w:rsid w:val="00296CAB"/>
    <w:rsid w:val="00296FEC"/>
    <w:rsid w:val="0029717F"/>
    <w:rsid w:val="002975B8"/>
    <w:rsid w:val="002977D1"/>
    <w:rsid w:val="002977F7"/>
    <w:rsid w:val="00297F34"/>
    <w:rsid w:val="002A026C"/>
    <w:rsid w:val="002A2627"/>
    <w:rsid w:val="002A2FBF"/>
    <w:rsid w:val="002A3F3F"/>
    <w:rsid w:val="002A4015"/>
    <w:rsid w:val="002A47AA"/>
    <w:rsid w:val="002A4A56"/>
    <w:rsid w:val="002A5087"/>
    <w:rsid w:val="002A5232"/>
    <w:rsid w:val="002A52A2"/>
    <w:rsid w:val="002A5DF1"/>
    <w:rsid w:val="002A5F6E"/>
    <w:rsid w:val="002A5FA6"/>
    <w:rsid w:val="002A6779"/>
    <w:rsid w:val="002A7E39"/>
    <w:rsid w:val="002B0481"/>
    <w:rsid w:val="002B08AB"/>
    <w:rsid w:val="002B0BC6"/>
    <w:rsid w:val="002B0BF9"/>
    <w:rsid w:val="002B0C2C"/>
    <w:rsid w:val="002B0CDD"/>
    <w:rsid w:val="002B0F5E"/>
    <w:rsid w:val="002B1E68"/>
    <w:rsid w:val="002B20D9"/>
    <w:rsid w:val="002B25BE"/>
    <w:rsid w:val="002B2655"/>
    <w:rsid w:val="002B280C"/>
    <w:rsid w:val="002B29F7"/>
    <w:rsid w:val="002B2A50"/>
    <w:rsid w:val="002B2D73"/>
    <w:rsid w:val="002B306D"/>
    <w:rsid w:val="002B35D1"/>
    <w:rsid w:val="002B3BD3"/>
    <w:rsid w:val="002B3C86"/>
    <w:rsid w:val="002B3D8C"/>
    <w:rsid w:val="002B46AE"/>
    <w:rsid w:val="002B4831"/>
    <w:rsid w:val="002B496F"/>
    <w:rsid w:val="002B4A26"/>
    <w:rsid w:val="002B54B6"/>
    <w:rsid w:val="002B5898"/>
    <w:rsid w:val="002B5CD3"/>
    <w:rsid w:val="002B6528"/>
    <w:rsid w:val="002B703E"/>
    <w:rsid w:val="002B72F9"/>
    <w:rsid w:val="002B73B4"/>
    <w:rsid w:val="002B7632"/>
    <w:rsid w:val="002B77BB"/>
    <w:rsid w:val="002B786F"/>
    <w:rsid w:val="002B7BD3"/>
    <w:rsid w:val="002C00B2"/>
    <w:rsid w:val="002C0BAC"/>
    <w:rsid w:val="002C0F1D"/>
    <w:rsid w:val="002C16A4"/>
    <w:rsid w:val="002C16B6"/>
    <w:rsid w:val="002C18ED"/>
    <w:rsid w:val="002C19FE"/>
    <w:rsid w:val="002C1C39"/>
    <w:rsid w:val="002C1D28"/>
    <w:rsid w:val="002C1D64"/>
    <w:rsid w:val="002C1E40"/>
    <w:rsid w:val="002C22F2"/>
    <w:rsid w:val="002C2994"/>
    <w:rsid w:val="002C2A47"/>
    <w:rsid w:val="002C347A"/>
    <w:rsid w:val="002C35EE"/>
    <w:rsid w:val="002C374A"/>
    <w:rsid w:val="002C3AC2"/>
    <w:rsid w:val="002C3FDD"/>
    <w:rsid w:val="002C4745"/>
    <w:rsid w:val="002C4753"/>
    <w:rsid w:val="002C47D9"/>
    <w:rsid w:val="002C4A45"/>
    <w:rsid w:val="002C4D22"/>
    <w:rsid w:val="002C5B20"/>
    <w:rsid w:val="002C6377"/>
    <w:rsid w:val="002C6418"/>
    <w:rsid w:val="002C687B"/>
    <w:rsid w:val="002C6AD2"/>
    <w:rsid w:val="002C7425"/>
    <w:rsid w:val="002C77C8"/>
    <w:rsid w:val="002C787F"/>
    <w:rsid w:val="002C7D88"/>
    <w:rsid w:val="002C7DAF"/>
    <w:rsid w:val="002D0281"/>
    <w:rsid w:val="002D049B"/>
    <w:rsid w:val="002D0907"/>
    <w:rsid w:val="002D09BE"/>
    <w:rsid w:val="002D1780"/>
    <w:rsid w:val="002D1868"/>
    <w:rsid w:val="002D1A15"/>
    <w:rsid w:val="002D1B58"/>
    <w:rsid w:val="002D2784"/>
    <w:rsid w:val="002D27EE"/>
    <w:rsid w:val="002D3148"/>
    <w:rsid w:val="002D3257"/>
    <w:rsid w:val="002D3B2C"/>
    <w:rsid w:val="002D3B63"/>
    <w:rsid w:val="002D3BD3"/>
    <w:rsid w:val="002D3E84"/>
    <w:rsid w:val="002D4430"/>
    <w:rsid w:val="002D4AF4"/>
    <w:rsid w:val="002D56A6"/>
    <w:rsid w:val="002D59D6"/>
    <w:rsid w:val="002D5A0A"/>
    <w:rsid w:val="002D5A5E"/>
    <w:rsid w:val="002D5C8E"/>
    <w:rsid w:val="002D5CFD"/>
    <w:rsid w:val="002D7985"/>
    <w:rsid w:val="002D7A03"/>
    <w:rsid w:val="002E0168"/>
    <w:rsid w:val="002E023D"/>
    <w:rsid w:val="002E03D4"/>
    <w:rsid w:val="002E06A9"/>
    <w:rsid w:val="002E0ADD"/>
    <w:rsid w:val="002E0EFF"/>
    <w:rsid w:val="002E1022"/>
    <w:rsid w:val="002E113F"/>
    <w:rsid w:val="002E135D"/>
    <w:rsid w:val="002E260F"/>
    <w:rsid w:val="002E2DE8"/>
    <w:rsid w:val="002E39A9"/>
    <w:rsid w:val="002E3D80"/>
    <w:rsid w:val="002E4435"/>
    <w:rsid w:val="002E4B7E"/>
    <w:rsid w:val="002E4D14"/>
    <w:rsid w:val="002E501F"/>
    <w:rsid w:val="002E568C"/>
    <w:rsid w:val="002E56F0"/>
    <w:rsid w:val="002E5855"/>
    <w:rsid w:val="002E5935"/>
    <w:rsid w:val="002E593D"/>
    <w:rsid w:val="002E5AEC"/>
    <w:rsid w:val="002E5E66"/>
    <w:rsid w:val="002E6004"/>
    <w:rsid w:val="002E61F0"/>
    <w:rsid w:val="002E6949"/>
    <w:rsid w:val="002E7957"/>
    <w:rsid w:val="002E7FB3"/>
    <w:rsid w:val="002F013F"/>
    <w:rsid w:val="002F02DD"/>
    <w:rsid w:val="002F04DB"/>
    <w:rsid w:val="002F052A"/>
    <w:rsid w:val="002F0926"/>
    <w:rsid w:val="002F095C"/>
    <w:rsid w:val="002F0989"/>
    <w:rsid w:val="002F22CC"/>
    <w:rsid w:val="002F24EB"/>
    <w:rsid w:val="002F2B20"/>
    <w:rsid w:val="002F2F28"/>
    <w:rsid w:val="002F2FE3"/>
    <w:rsid w:val="002F3431"/>
    <w:rsid w:val="002F36E4"/>
    <w:rsid w:val="002F36F0"/>
    <w:rsid w:val="002F3E88"/>
    <w:rsid w:val="002F3FBC"/>
    <w:rsid w:val="002F4BFC"/>
    <w:rsid w:val="002F4E98"/>
    <w:rsid w:val="002F51EB"/>
    <w:rsid w:val="002F5B55"/>
    <w:rsid w:val="002F5E1D"/>
    <w:rsid w:val="002F6541"/>
    <w:rsid w:val="002F68BE"/>
    <w:rsid w:val="002F6A03"/>
    <w:rsid w:val="002F6B14"/>
    <w:rsid w:val="002F6EA5"/>
    <w:rsid w:val="002F6F2E"/>
    <w:rsid w:val="002F7413"/>
    <w:rsid w:val="002F775A"/>
    <w:rsid w:val="002F7B01"/>
    <w:rsid w:val="002F7D40"/>
    <w:rsid w:val="002F7EDA"/>
    <w:rsid w:val="002F7F34"/>
    <w:rsid w:val="00300000"/>
    <w:rsid w:val="003001BD"/>
    <w:rsid w:val="003008CF"/>
    <w:rsid w:val="00300C38"/>
    <w:rsid w:val="00300CDF"/>
    <w:rsid w:val="00301033"/>
    <w:rsid w:val="00301506"/>
    <w:rsid w:val="00301E52"/>
    <w:rsid w:val="0030225F"/>
    <w:rsid w:val="003022BA"/>
    <w:rsid w:val="00302BD3"/>
    <w:rsid w:val="00302F00"/>
    <w:rsid w:val="00302F47"/>
    <w:rsid w:val="00303067"/>
    <w:rsid w:val="00303A40"/>
    <w:rsid w:val="00303EB5"/>
    <w:rsid w:val="00303F6D"/>
    <w:rsid w:val="003045EE"/>
    <w:rsid w:val="00304697"/>
    <w:rsid w:val="00304B84"/>
    <w:rsid w:val="00304EA6"/>
    <w:rsid w:val="00305088"/>
    <w:rsid w:val="00305290"/>
    <w:rsid w:val="0030586F"/>
    <w:rsid w:val="00305CF6"/>
    <w:rsid w:val="003063FE"/>
    <w:rsid w:val="003063FF"/>
    <w:rsid w:val="003069A9"/>
    <w:rsid w:val="00306B1D"/>
    <w:rsid w:val="00306FDD"/>
    <w:rsid w:val="00307181"/>
    <w:rsid w:val="00307406"/>
    <w:rsid w:val="00307ACF"/>
    <w:rsid w:val="00307C29"/>
    <w:rsid w:val="00311285"/>
    <w:rsid w:val="00311AE3"/>
    <w:rsid w:val="00311ED9"/>
    <w:rsid w:val="00311F07"/>
    <w:rsid w:val="00312987"/>
    <w:rsid w:val="00312A6B"/>
    <w:rsid w:val="00312F98"/>
    <w:rsid w:val="00313300"/>
    <w:rsid w:val="003133C5"/>
    <w:rsid w:val="00313BD8"/>
    <w:rsid w:val="00313CFF"/>
    <w:rsid w:val="003140DE"/>
    <w:rsid w:val="003143F5"/>
    <w:rsid w:val="003148E8"/>
    <w:rsid w:val="00314A55"/>
    <w:rsid w:val="00314F2C"/>
    <w:rsid w:val="00315193"/>
    <w:rsid w:val="003153C5"/>
    <w:rsid w:val="003157C3"/>
    <w:rsid w:val="00315A40"/>
    <w:rsid w:val="00315FFB"/>
    <w:rsid w:val="003167B2"/>
    <w:rsid w:val="0031681C"/>
    <w:rsid w:val="00317B98"/>
    <w:rsid w:val="00317C0B"/>
    <w:rsid w:val="00317E20"/>
    <w:rsid w:val="00317F42"/>
    <w:rsid w:val="00320046"/>
    <w:rsid w:val="0032056D"/>
    <w:rsid w:val="00320B33"/>
    <w:rsid w:val="0032102A"/>
    <w:rsid w:val="003210CB"/>
    <w:rsid w:val="003214FA"/>
    <w:rsid w:val="00321566"/>
    <w:rsid w:val="0032168B"/>
    <w:rsid w:val="0032268A"/>
    <w:rsid w:val="003228B6"/>
    <w:rsid w:val="003238F6"/>
    <w:rsid w:val="00323B8C"/>
    <w:rsid w:val="00323CBF"/>
    <w:rsid w:val="00323E13"/>
    <w:rsid w:val="00324B97"/>
    <w:rsid w:val="003250DD"/>
    <w:rsid w:val="003255E3"/>
    <w:rsid w:val="00325683"/>
    <w:rsid w:val="00325A44"/>
    <w:rsid w:val="00325A54"/>
    <w:rsid w:val="00325E7F"/>
    <w:rsid w:val="00325EC0"/>
    <w:rsid w:val="00326050"/>
    <w:rsid w:val="00326130"/>
    <w:rsid w:val="00326C4F"/>
    <w:rsid w:val="003279D1"/>
    <w:rsid w:val="00327B4D"/>
    <w:rsid w:val="00327E96"/>
    <w:rsid w:val="00330CD9"/>
    <w:rsid w:val="00330D81"/>
    <w:rsid w:val="0033109C"/>
    <w:rsid w:val="003315A9"/>
    <w:rsid w:val="00331834"/>
    <w:rsid w:val="00331A63"/>
    <w:rsid w:val="00332512"/>
    <w:rsid w:val="003328CB"/>
    <w:rsid w:val="00332AE7"/>
    <w:rsid w:val="00332D05"/>
    <w:rsid w:val="00333335"/>
    <w:rsid w:val="00333C52"/>
    <w:rsid w:val="0033426C"/>
    <w:rsid w:val="0033438E"/>
    <w:rsid w:val="00334CA8"/>
    <w:rsid w:val="00334D80"/>
    <w:rsid w:val="00334EDD"/>
    <w:rsid w:val="00335725"/>
    <w:rsid w:val="00335C71"/>
    <w:rsid w:val="00336920"/>
    <w:rsid w:val="00337664"/>
    <w:rsid w:val="00340320"/>
    <w:rsid w:val="0034116F"/>
    <w:rsid w:val="00341466"/>
    <w:rsid w:val="0034168A"/>
    <w:rsid w:val="00342412"/>
    <w:rsid w:val="00342C21"/>
    <w:rsid w:val="00342ECD"/>
    <w:rsid w:val="003434EE"/>
    <w:rsid w:val="0034413B"/>
    <w:rsid w:val="003446CB"/>
    <w:rsid w:val="00345151"/>
    <w:rsid w:val="003451F0"/>
    <w:rsid w:val="003453EE"/>
    <w:rsid w:val="00345650"/>
    <w:rsid w:val="00345BF4"/>
    <w:rsid w:val="00345C00"/>
    <w:rsid w:val="0034605A"/>
    <w:rsid w:val="003464C3"/>
    <w:rsid w:val="003464DE"/>
    <w:rsid w:val="003465D3"/>
    <w:rsid w:val="003467BB"/>
    <w:rsid w:val="003467EA"/>
    <w:rsid w:val="00346E4A"/>
    <w:rsid w:val="00346FE3"/>
    <w:rsid w:val="003470E4"/>
    <w:rsid w:val="00347500"/>
    <w:rsid w:val="003476BC"/>
    <w:rsid w:val="00347923"/>
    <w:rsid w:val="00350048"/>
    <w:rsid w:val="003500D1"/>
    <w:rsid w:val="003501CF"/>
    <w:rsid w:val="0035021B"/>
    <w:rsid w:val="00350399"/>
    <w:rsid w:val="00350721"/>
    <w:rsid w:val="00350E3C"/>
    <w:rsid w:val="00350FCB"/>
    <w:rsid w:val="00351083"/>
    <w:rsid w:val="00351181"/>
    <w:rsid w:val="0035122A"/>
    <w:rsid w:val="003516B8"/>
    <w:rsid w:val="00351F30"/>
    <w:rsid w:val="00351F58"/>
    <w:rsid w:val="00351FE6"/>
    <w:rsid w:val="003522A6"/>
    <w:rsid w:val="00352763"/>
    <w:rsid w:val="00352828"/>
    <w:rsid w:val="00353227"/>
    <w:rsid w:val="00353391"/>
    <w:rsid w:val="00353D7D"/>
    <w:rsid w:val="00353E5D"/>
    <w:rsid w:val="00354083"/>
    <w:rsid w:val="003541FF"/>
    <w:rsid w:val="003548C0"/>
    <w:rsid w:val="003548FB"/>
    <w:rsid w:val="0035493D"/>
    <w:rsid w:val="00355449"/>
    <w:rsid w:val="003556AC"/>
    <w:rsid w:val="00356111"/>
    <w:rsid w:val="003563F9"/>
    <w:rsid w:val="003572C2"/>
    <w:rsid w:val="00357377"/>
    <w:rsid w:val="003573F3"/>
    <w:rsid w:val="003576A9"/>
    <w:rsid w:val="003579C6"/>
    <w:rsid w:val="00357A44"/>
    <w:rsid w:val="00357C97"/>
    <w:rsid w:val="00357CCA"/>
    <w:rsid w:val="00357FAA"/>
    <w:rsid w:val="003603E7"/>
    <w:rsid w:val="00360421"/>
    <w:rsid w:val="003605A5"/>
    <w:rsid w:val="00360A3F"/>
    <w:rsid w:val="00360B1E"/>
    <w:rsid w:val="00360E96"/>
    <w:rsid w:val="003612F1"/>
    <w:rsid w:val="00361435"/>
    <w:rsid w:val="003615D9"/>
    <w:rsid w:val="003617E5"/>
    <w:rsid w:val="003619F2"/>
    <w:rsid w:val="00361C2B"/>
    <w:rsid w:val="00361DA0"/>
    <w:rsid w:val="00361E85"/>
    <w:rsid w:val="003632C4"/>
    <w:rsid w:val="003634B4"/>
    <w:rsid w:val="003639B6"/>
    <w:rsid w:val="0036409C"/>
    <w:rsid w:val="00364348"/>
    <w:rsid w:val="003649C1"/>
    <w:rsid w:val="00364CFF"/>
    <w:rsid w:val="0036529B"/>
    <w:rsid w:val="00365362"/>
    <w:rsid w:val="003655F9"/>
    <w:rsid w:val="00365A77"/>
    <w:rsid w:val="00365E5A"/>
    <w:rsid w:val="003663BC"/>
    <w:rsid w:val="003667BE"/>
    <w:rsid w:val="00366D8C"/>
    <w:rsid w:val="00366DAB"/>
    <w:rsid w:val="00366F94"/>
    <w:rsid w:val="0036719B"/>
    <w:rsid w:val="0036731C"/>
    <w:rsid w:val="003673CF"/>
    <w:rsid w:val="00367D74"/>
    <w:rsid w:val="00367FF1"/>
    <w:rsid w:val="003703D6"/>
    <w:rsid w:val="003703EA"/>
    <w:rsid w:val="003709B4"/>
    <w:rsid w:val="00371035"/>
    <w:rsid w:val="003712C7"/>
    <w:rsid w:val="003713FB"/>
    <w:rsid w:val="00371425"/>
    <w:rsid w:val="00371514"/>
    <w:rsid w:val="0037179D"/>
    <w:rsid w:val="00372018"/>
    <w:rsid w:val="0037257E"/>
    <w:rsid w:val="003729BB"/>
    <w:rsid w:val="00372DE4"/>
    <w:rsid w:val="0037308E"/>
    <w:rsid w:val="003732E9"/>
    <w:rsid w:val="003738A7"/>
    <w:rsid w:val="00373D9D"/>
    <w:rsid w:val="00373FD9"/>
    <w:rsid w:val="00374109"/>
    <w:rsid w:val="003745F8"/>
    <w:rsid w:val="00375D50"/>
    <w:rsid w:val="00375ECB"/>
    <w:rsid w:val="003764CA"/>
    <w:rsid w:val="003765B5"/>
    <w:rsid w:val="0037667C"/>
    <w:rsid w:val="00376DEF"/>
    <w:rsid w:val="00377075"/>
    <w:rsid w:val="003776F8"/>
    <w:rsid w:val="003778F6"/>
    <w:rsid w:val="00377A6F"/>
    <w:rsid w:val="00377BAB"/>
    <w:rsid w:val="00377D57"/>
    <w:rsid w:val="00377DCD"/>
    <w:rsid w:val="00377F78"/>
    <w:rsid w:val="0038026B"/>
    <w:rsid w:val="00380412"/>
    <w:rsid w:val="0038064E"/>
    <w:rsid w:val="00380C3B"/>
    <w:rsid w:val="00380DED"/>
    <w:rsid w:val="00380E08"/>
    <w:rsid w:val="0038122A"/>
    <w:rsid w:val="0038161F"/>
    <w:rsid w:val="003816B6"/>
    <w:rsid w:val="00381750"/>
    <w:rsid w:val="0038210F"/>
    <w:rsid w:val="003823D5"/>
    <w:rsid w:val="003827D9"/>
    <w:rsid w:val="003829E8"/>
    <w:rsid w:val="00382DCB"/>
    <w:rsid w:val="003834EB"/>
    <w:rsid w:val="003835DD"/>
    <w:rsid w:val="0038364B"/>
    <w:rsid w:val="003837CB"/>
    <w:rsid w:val="00383919"/>
    <w:rsid w:val="00383D26"/>
    <w:rsid w:val="003845C4"/>
    <w:rsid w:val="00385251"/>
    <w:rsid w:val="003854C9"/>
    <w:rsid w:val="00385AC1"/>
    <w:rsid w:val="0038614D"/>
    <w:rsid w:val="00386544"/>
    <w:rsid w:val="00386F7E"/>
    <w:rsid w:val="00387B7E"/>
    <w:rsid w:val="00387CCA"/>
    <w:rsid w:val="00387DA1"/>
    <w:rsid w:val="00390E3E"/>
    <w:rsid w:val="00391975"/>
    <w:rsid w:val="00391ACD"/>
    <w:rsid w:val="00392E95"/>
    <w:rsid w:val="00393273"/>
    <w:rsid w:val="00393C3E"/>
    <w:rsid w:val="00393FCD"/>
    <w:rsid w:val="0039450C"/>
    <w:rsid w:val="00394559"/>
    <w:rsid w:val="0039477A"/>
    <w:rsid w:val="00395097"/>
    <w:rsid w:val="00395134"/>
    <w:rsid w:val="0039528C"/>
    <w:rsid w:val="003954C7"/>
    <w:rsid w:val="0039569B"/>
    <w:rsid w:val="00395E21"/>
    <w:rsid w:val="00396173"/>
    <w:rsid w:val="00396189"/>
    <w:rsid w:val="003966AC"/>
    <w:rsid w:val="00396FE7"/>
    <w:rsid w:val="00397563"/>
    <w:rsid w:val="00397719"/>
    <w:rsid w:val="0039780A"/>
    <w:rsid w:val="0039784C"/>
    <w:rsid w:val="00397B28"/>
    <w:rsid w:val="00397D3F"/>
    <w:rsid w:val="00397DCB"/>
    <w:rsid w:val="00397E28"/>
    <w:rsid w:val="003A0319"/>
    <w:rsid w:val="003A04A2"/>
    <w:rsid w:val="003A0832"/>
    <w:rsid w:val="003A09B7"/>
    <w:rsid w:val="003A0E0A"/>
    <w:rsid w:val="003A12CC"/>
    <w:rsid w:val="003A1661"/>
    <w:rsid w:val="003A17A2"/>
    <w:rsid w:val="003A2FFA"/>
    <w:rsid w:val="003A372B"/>
    <w:rsid w:val="003A3A09"/>
    <w:rsid w:val="003A3CD3"/>
    <w:rsid w:val="003A3EBD"/>
    <w:rsid w:val="003A3EC1"/>
    <w:rsid w:val="003A3F76"/>
    <w:rsid w:val="003A3FA6"/>
    <w:rsid w:val="003A4164"/>
    <w:rsid w:val="003A43DE"/>
    <w:rsid w:val="003A4BA7"/>
    <w:rsid w:val="003A4BD9"/>
    <w:rsid w:val="003A4C2B"/>
    <w:rsid w:val="003A54E9"/>
    <w:rsid w:val="003A58E5"/>
    <w:rsid w:val="003A5A62"/>
    <w:rsid w:val="003A5EBA"/>
    <w:rsid w:val="003A6733"/>
    <w:rsid w:val="003A6947"/>
    <w:rsid w:val="003A7332"/>
    <w:rsid w:val="003B01C3"/>
    <w:rsid w:val="003B0386"/>
    <w:rsid w:val="003B0C01"/>
    <w:rsid w:val="003B1679"/>
    <w:rsid w:val="003B1942"/>
    <w:rsid w:val="003B1E31"/>
    <w:rsid w:val="003B1FAD"/>
    <w:rsid w:val="003B226F"/>
    <w:rsid w:val="003B25D3"/>
    <w:rsid w:val="003B2FCE"/>
    <w:rsid w:val="003B3218"/>
    <w:rsid w:val="003B3397"/>
    <w:rsid w:val="003B3815"/>
    <w:rsid w:val="003B38D0"/>
    <w:rsid w:val="003B4444"/>
    <w:rsid w:val="003B4481"/>
    <w:rsid w:val="003B4D49"/>
    <w:rsid w:val="003B4D5C"/>
    <w:rsid w:val="003B4D74"/>
    <w:rsid w:val="003B512A"/>
    <w:rsid w:val="003B54E2"/>
    <w:rsid w:val="003B5595"/>
    <w:rsid w:val="003B605D"/>
    <w:rsid w:val="003B66A5"/>
    <w:rsid w:val="003B72E5"/>
    <w:rsid w:val="003B7EF7"/>
    <w:rsid w:val="003C00D3"/>
    <w:rsid w:val="003C059C"/>
    <w:rsid w:val="003C0857"/>
    <w:rsid w:val="003C0F17"/>
    <w:rsid w:val="003C10AC"/>
    <w:rsid w:val="003C1B10"/>
    <w:rsid w:val="003C20FA"/>
    <w:rsid w:val="003C2935"/>
    <w:rsid w:val="003C2DFE"/>
    <w:rsid w:val="003C2F22"/>
    <w:rsid w:val="003C3634"/>
    <w:rsid w:val="003C3B97"/>
    <w:rsid w:val="003C3FB8"/>
    <w:rsid w:val="003C47A6"/>
    <w:rsid w:val="003C516F"/>
    <w:rsid w:val="003C579E"/>
    <w:rsid w:val="003C5DC5"/>
    <w:rsid w:val="003C5F13"/>
    <w:rsid w:val="003C614C"/>
    <w:rsid w:val="003C6900"/>
    <w:rsid w:val="003C6B87"/>
    <w:rsid w:val="003C6D59"/>
    <w:rsid w:val="003C70CF"/>
    <w:rsid w:val="003C7524"/>
    <w:rsid w:val="003C7614"/>
    <w:rsid w:val="003C7818"/>
    <w:rsid w:val="003D0239"/>
    <w:rsid w:val="003D07E9"/>
    <w:rsid w:val="003D0A28"/>
    <w:rsid w:val="003D0F7B"/>
    <w:rsid w:val="003D104C"/>
    <w:rsid w:val="003D1095"/>
    <w:rsid w:val="003D13A9"/>
    <w:rsid w:val="003D1939"/>
    <w:rsid w:val="003D1F02"/>
    <w:rsid w:val="003D2451"/>
    <w:rsid w:val="003D2E95"/>
    <w:rsid w:val="003D2F56"/>
    <w:rsid w:val="003D2F8C"/>
    <w:rsid w:val="003D33B5"/>
    <w:rsid w:val="003D3866"/>
    <w:rsid w:val="003D3A44"/>
    <w:rsid w:val="003D3C76"/>
    <w:rsid w:val="003D3CDB"/>
    <w:rsid w:val="003D40AB"/>
    <w:rsid w:val="003D4566"/>
    <w:rsid w:val="003D45E5"/>
    <w:rsid w:val="003D4B16"/>
    <w:rsid w:val="003D5361"/>
    <w:rsid w:val="003D5B31"/>
    <w:rsid w:val="003D5D32"/>
    <w:rsid w:val="003D5E05"/>
    <w:rsid w:val="003D6185"/>
    <w:rsid w:val="003D639D"/>
    <w:rsid w:val="003D65BE"/>
    <w:rsid w:val="003D675C"/>
    <w:rsid w:val="003D6E93"/>
    <w:rsid w:val="003D6FA7"/>
    <w:rsid w:val="003D71E5"/>
    <w:rsid w:val="003D7216"/>
    <w:rsid w:val="003D7A36"/>
    <w:rsid w:val="003E06BF"/>
    <w:rsid w:val="003E06D3"/>
    <w:rsid w:val="003E1017"/>
    <w:rsid w:val="003E14CA"/>
    <w:rsid w:val="003E165C"/>
    <w:rsid w:val="003E1FBF"/>
    <w:rsid w:val="003E3165"/>
    <w:rsid w:val="003E3168"/>
    <w:rsid w:val="003E3352"/>
    <w:rsid w:val="003E4067"/>
    <w:rsid w:val="003E4297"/>
    <w:rsid w:val="003E492F"/>
    <w:rsid w:val="003E60D3"/>
    <w:rsid w:val="003E6120"/>
    <w:rsid w:val="003E64B4"/>
    <w:rsid w:val="003E6A16"/>
    <w:rsid w:val="003E6B16"/>
    <w:rsid w:val="003E76D3"/>
    <w:rsid w:val="003F01F0"/>
    <w:rsid w:val="003F10C7"/>
    <w:rsid w:val="003F110F"/>
    <w:rsid w:val="003F1463"/>
    <w:rsid w:val="003F1810"/>
    <w:rsid w:val="003F19E3"/>
    <w:rsid w:val="003F1BE9"/>
    <w:rsid w:val="003F2B0D"/>
    <w:rsid w:val="003F311B"/>
    <w:rsid w:val="003F31E7"/>
    <w:rsid w:val="003F3E3C"/>
    <w:rsid w:val="003F42EA"/>
    <w:rsid w:val="003F462E"/>
    <w:rsid w:val="003F5807"/>
    <w:rsid w:val="003F59D4"/>
    <w:rsid w:val="003F5C1F"/>
    <w:rsid w:val="003F6462"/>
    <w:rsid w:val="003F73DE"/>
    <w:rsid w:val="003F750D"/>
    <w:rsid w:val="004002BF"/>
    <w:rsid w:val="00400B82"/>
    <w:rsid w:val="00400EC8"/>
    <w:rsid w:val="0040102E"/>
    <w:rsid w:val="004012C2"/>
    <w:rsid w:val="00401483"/>
    <w:rsid w:val="00401649"/>
    <w:rsid w:val="004018D2"/>
    <w:rsid w:val="00401AEB"/>
    <w:rsid w:val="00402C97"/>
    <w:rsid w:val="00403444"/>
    <w:rsid w:val="0040391E"/>
    <w:rsid w:val="00404CAC"/>
    <w:rsid w:val="00404D4D"/>
    <w:rsid w:val="00404F60"/>
    <w:rsid w:val="00405E55"/>
    <w:rsid w:val="00406654"/>
    <w:rsid w:val="004066AC"/>
    <w:rsid w:val="00406793"/>
    <w:rsid w:val="004067BC"/>
    <w:rsid w:val="00406E94"/>
    <w:rsid w:val="0040758A"/>
    <w:rsid w:val="0040764D"/>
    <w:rsid w:val="00407971"/>
    <w:rsid w:val="004105B1"/>
    <w:rsid w:val="004106FD"/>
    <w:rsid w:val="00410A92"/>
    <w:rsid w:val="00410E85"/>
    <w:rsid w:val="00410FEF"/>
    <w:rsid w:val="0041105A"/>
    <w:rsid w:val="00411561"/>
    <w:rsid w:val="00411B40"/>
    <w:rsid w:val="00411C16"/>
    <w:rsid w:val="004120E3"/>
    <w:rsid w:val="00412112"/>
    <w:rsid w:val="004121F7"/>
    <w:rsid w:val="0041266E"/>
    <w:rsid w:val="004128B3"/>
    <w:rsid w:val="004128BC"/>
    <w:rsid w:val="00412AD2"/>
    <w:rsid w:val="0041313D"/>
    <w:rsid w:val="00413476"/>
    <w:rsid w:val="004138E2"/>
    <w:rsid w:val="00413F16"/>
    <w:rsid w:val="00414862"/>
    <w:rsid w:val="00414B85"/>
    <w:rsid w:val="00414DD5"/>
    <w:rsid w:val="00415182"/>
    <w:rsid w:val="00415696"/>
    <w:rsid w:val="0041572D"/>
    <w:rsid w:val="004166D2"/>
    <w:rsid w:val="00416B27"/>
    <w:rsid w:val="0041702A"/>
    <w:rsid w:val="004170E0"/>
    <w:rsid w:val="00417826"/>
    <w:rsid w:val="00417A9A"/>
    <w:rsid w:val="00417AC1"/>
    <w:rsid w:val="00417B85"/>
    <w:rsid w:val="00417D3C"/>
    <w:rsid w:val="00420042"/>
    <w:rsid w:val="00420403"/>
    <w:rsid w:val="0042087D"/>
    <w:rsid w:val="004208B2"/>
    <w:rsid w:val="0042093D"/>
    <w:rsid w:val="00420D83"/>
    <w:rsid w:val="0042102E"/>
    <w:rsid w:val="00421FC8"/>
    <w:rsid w:val="00422152"/>
    <w:rsid w:val="00422527"/>
    <w:rsid w:val="00422762"/>
    <w:rsid w:val="00422BE1"/>
    <w:rsid w:val="00422C18"/>
    <w:rsid w:val="00422E03"/>
    <w:rsid w:val="00423170"/>
    <w:rsid w:val="004234ED"/>
    <w:rsid w:val="00423881"/>
    <w:rsid w:val="004239F4"/>
    <w:rsid w:val="00424837"/>
    <w:rsid w:val="0042492F"/>
    <w:rsid w:val="00424ABD"/>
    <w:rsid w:val="00424AEA"/>
    <w:rsid w:val="00424DED"/>
    <w:rsid w:val="00424E8B"/>
    <w:rsid w:val="004251DB"/>
    <w:rsid w:val="004254BC"/>
    <w:rsid w:val="0042588D"/>
    <w:rsid w:val="004269B5"/>
    <w:rsid w:val="004269CE"/>
    <w:rsid w:val="00426D00"/>
    <w:rsid w:val="00427422"/>
    <w:rsid w:val="00427B1E"/>
    <w:rsid w:val="00427DAC"/>
    <w:rsid w:val="00427E55"/>
    <w:rsid w:val="004307EF"/>
    <w:rsid w:val="00430895"/>
    <w:rsid w:val="00430C3B"/>
    <w:rsid w:val="00430CF6"/>
    <w:rsid w:val="00431084"/>
    <w:rsid w:val="004319E2"/>
    <w:rsid w:val="00431E04"/>
    <w:rsid w:val="004320B0"/>
    <w:rsid w:val="00432AC3"/>
    <w:rsid w:val="00432B0D"/>
    <w:rsid w:val="00432BD5"/>
    <w:rsid w:val="00433454"/>
    <w:rsid w:val="0043378F"/>
    <w:rsid w:val="0043383E"/>
    <w:rsid w:val="00433A60"/>
    <w:rsid w:val="00433B97"/>
    <w:rsid w:val="00434825"/>
    <w:rsid w:val="00434FEF"/>
    <w:rsid w:val="00435150"/>
    <w:rsid w:val="004354F2"/>
    <w:rsid w:val="00435B7E"/>
    <w:rsid w:val="00436017"/>
    <w:rsid w:val="00436075"/>
    <w:rsid w:val="004361A9"/>
    <w:rsid w:val="00436580"/>
    <w:rsid w:val="004365AD"/>
    <w:rsid w:val="00436B89"/>
    <w:rsid w:val="00436D4C"/>
    <w:rsid w:val="00437201"/>
    <w:rsid w:val="004374AE"/>
    <w:rsid w:val="0044032B"/>
    <w:rsid w:val="00440873"/>
    <w:rsid w:val="00440C3E"/>
    <w:rsid w:val="00440F3A"/>
    <w:rsid w:val="004410D1"/>
    <w:rsid w:val="00441566"/>
    <w:rsid w:val="0044194C"/>
    <w:rsid w:val="00441A97"/>
    <w:rsid w:val="00441B3B"/>
    <w:rsid w:val="0044212C"/>
    <w:rsid w:val="00442E4E"/>
    <w:rsid w:val="00442FD7"/>
    <w:rsid w:val="00443788"/>
    <w:rsid w:val="00443FB2"/>
    <w:rsid w:val="00444090"/>
    <w:rsid w:val="004441CC"/>
    <w:rsid w:val="004442E0"/>
    <w:rsid w:val="00444627"/>
    <w:rsid w:val="004451F2"/>
    <w:rsid w:val="004452E3"/>
    <w:rsid w:val="0044537E"/>
    <w:rsid w:val="004458E2"/>
    <w:rsid w:val="00445D8C"/>
    <w:rsid w:val="00446012"/>
    <w:rsid w:val="0044620E"/>
    <w:rsid w:val="00446B38"/>
    <w:rsid w:val="0044732D"/>
    <w:rsid w:val="00447AF2"/>
    <w:rsid w:val="00447E3E"/>
    <w:rsid w:val="00447F7A"/>
    <w:rsid w:val="00447FFD"/>
    <w:rsid w:val="0045031B"/>
    <w:rsid w:val="0045069A"/>
    <w:rsid w:val="004507BE"/>
    <w:rsid w:val="00450A06"/>
    <w:rsid w:val="00450DE4"/>
    <w:rsid w:val="004517C8"/>
    <w:rsid w:val="00451B18"/>
    <w:rsid w:val="00451D29"/>
    <w:rsid w:val="0045221E"/>
    <w:rsid w:val="004522E3"/>
    <w:rsid w:val="0045263B"/>
    <w:rsid w:val="00452746"/>
    <w:rsid w:val="00452A96"/>
    <w:rsid w:val="00453129"/>
    <w:rsid w:val="004531BF"/>
    <w:rsid w:val="004534E3"/>
    <w:rsid w:val="004540F2"/>
    <w:rsid w:val="0045412F"/>
    <w:rsid w:val="00454788"/>
    <w:rsid w:val="00454CE9"/>
    <w:rsid w:val="00455223"/>
    <w:rsid w:val="004552BA"/>
    <w:rsid w:val="00455E28"/>
    <w:rsid w:val="004563EE"/>
    <w:rsid w:val="00456755"/>
    <w:rsid w:val="0045694F"/>
    <w:rsid w:val="00456BBD"/>
    <w:rsid w:val="00456FCB"/>
    <w:rsid w:val="00457362"/>
    <w:rsid w:val="004576E3"/>
    <w:rsid w:val="00457A04"/>
    <w:rsid w:val="00457DF7"/>
    <w:rsid w:val="00460012"/>
    <w:rsid w:val="0046024B"/>
    <w:rsid w:val="004602D7"/>
    <w:rsid w:val="00460486"/>
    <w:rsid w:val="00460744"/>
    <w:rsid w:val="00460891"/>
    <w:rsid w:val="00460898"/>
    <w:rsid w:val="00460DA4"/>
    <w:rsid w:val="00460F0D"/>
    <w:rsid w:val="00461071"/>
    <w:rsid w:val="00461EF2"/>
    <w:rsid w:val="004620C7"/>
    <w:rsid w:val="00462807"/>
    <w:rsid w:val="00462E2D"/>
    <w:rsid w:val="00463433"/>
    <w:rsid w:val="004640A2"/>
    <w:rsid w:val="0046427F"/>
    <w:rsid w:val="0046471E"/>
    <w:rsid w:val="00464F84"/>
    <w:rsid w:val="0046512F"/>
    <w:rsid w:val="00465214"/>
    <w:rsid w:val="00465247"/>
    <w:rsid w:val="00465381"/>
    <w:rsid w:val="00465472"/>
    <w:rsid w:val="004655CC"/>
    <w:rsid w:val="00465708"/>
    <w:rsid w:val="00466076"/>
    <w:rsid w:val="00466657"/>
    <w:rsid w:val="00466668"/>
    <w:rsid w:val="004667F8"/>
    <w:rsid w:val="00466CD5"/>
    <w:rsid w:val="00466D56"/>
    <w:rsid w:val="00466E6A"/>
    <w:rsid w:val="00466FE2"/>
    <w:rsid w:val="004679E0"/>
    <w:rsid w:val="00467BC4"/>
    <w:rsid w:val="00467CCE"/>
    <w:rsid w:val="00467E1F"/>
    <w:rsid w:val="0047011D"/>
    <w:rsid w:val="0047028E"/>
    <w:rsid w:val="00470B8E"/>
    <w:rsid w:val="00471B93"/>
    <w:rsid w:val="00471FD8"/>
    <w:rsid w:val="00472B4F"/>
    <w:rsid w:val="00473D75"/>
    <w:rsid w:val="00473D9D"/>
    <w:rsid w:val="004755EA"/>
    <w:rsid w:val="004756E0"/>
    <w:rsid w:val="00475A6E"/>
    <w:rsid w:val="00475EF9"/>
    <w:rsid w:val="00476231"/>
    <w:rsid w:val="004766CF"/>
    <w:rsid w:val="00476742"/>
    <w:rsid w:val="00476790"/>
    <w:rsid w:val="00476C5E"/>
    <w:rsid w:val="00477100"/>
    <w:rsid w:val="00477221"/>
    <w:rsid w:val="00477474"/>
    <w:rsid w:val="00477C83"/>
    <w:rsid w:val="004800BC"/>
    <w:rsid w:val="00480427"/>
    <w:rsid w:val="00480513"/>
    <w:rsid w:val="004806F1"/>
    <w:rsid w:val="00481B92"/>
    <w:rsid w:val="00481FBF"/>
    <w:rsid w:val="00482210"/>
    <w:rsid w:val="00483008"/>
    <w:rsid w:val="00483927"/>
    <w:rsid w:val="00483B05"/>
    <w:rsid w:val="00483CDB"/>
    <w:rsid w:val="00483FC1"/>
    <w:rsid w:val="004840EC"/>
    <w:rsid w:val="00484247"/>
    <w:rsid w:val="0048433E"/>
    <w:rsid w:val="0048466D"/>
    <w:rsid w:val="0048512D"/>
    <w:rsid w:val="004851F7"/>
    <w:rsid w:val="004853FD"/>
    <w:rsid w:val="00485858"/>
    <w:rsid w:val="00485C29"/>
    <w:rsid w:val="00485C90"/>
    <w:rsid w:val="004860A9"/>
    <w:rsid w:val="0048674E"/>
    <w:rsid w:val="00486AEB"/>
    <w:rsid w:val="0048708B"/>
    <w:rsid w:val="004870D4"/>
    <w:rsid w:val="004875B7"/>
    <w:rsid w:val="00487C94"/>
    <w:rsid w:val="00490752"/>
    <w:rsid w:val="00490AD5"/>
    <w:rsid w:val="00490F35"/>
    <w:rsid w:val="00491045"/>
    <w:rsid w:val="00491174"/>
    <w:rsid w:val="0049183F"/>
    <w:rsid w:val="00491DCA"/>
    <w:rsid w:val="0049214D"/>
    <w:rsid w:val="004921D1"/>
    <w:rsid w:val="0049284F"/>
    <w:rsid w:val="00493781"/>
    <w:rsid w:val="004937F8"/>
    <w:rsid w:val="00493FE4"/>
    <w:rsid w:val="0049467B"/>
    <w:rsid w:val="00494FD9"/>
    <w:rsid w:val="004958D7"/>
    <w:rsid w:val="004959DF"/>
    <w:rsid w:val="00495A2A"/>
    <w:rsid w:val="00495D69"/>
    <w:rsid w:val="00495E2F"/>
    <w:rsid w:val="00496405"/>
    <w:rsid w:val="00496458"/>
    <w:rsid w:val="004964D3"/>
    <w:rsid w:val="00496CF5"/>
    <w:rsid w:val="00496E6E"/>
    <w:rsid w:val="0049788E"/>
    <w:rsid w:val="004A057F"/>
    <w:rsid w:val="004A0A07"/>
    <w:rsid w:val="004A0F15"/>
    <w:rsid w:val="004A140F"/>
    <w:rsid w:val="004A1DAA"/>
    <w:rsid w:val="004A2AB9"/>
    <w:rsid w:val="004A2F5A"/>
    <w:rsid w:val="004A3A0A"/>
    <w:rsid w:val="004A4874"/>
    <w:rsid w:val="004A4D45"/>
    <w:rsid w:val="004A6227"/>
    <w:rsid w:val="004A6B2D"/>
    <w:rsid w:val="004A6D6D"/>
    <w:rsid w:val="004A6FB1"/>
    <w:rsid w:val="004A7599"/>
    <w:rsid w:val="004A7629"/>
    <w:rsid w:val="004A767E"/>
    <w:rsid w:val="004A7C61"/>
    <w:rsid w:val="004A7EBB"/>
    <w:rsid w:val="004B022A"/>
    <w:rsid w:val="004B02D1"/>
    <w:rsid w:val="004B03B8"/>
    <w:rsid w:val="004B0C14"/>
    <w:rsid w:val="004B125B"/>
    <w:rsid w:val="004B1C8A"/>
    <w:rsid w:val="004B20B0"/>
    <w:rsid w:val="004B20DD"/>
    <w:rsid w:val="004B249F"/>
    <w:rsid w:val="004B2E24"/>
    <w:rsid w:val="004B30B7"/>
    <w:rsid w:val="004B33FB"/>
    <w:rsid w:val="004B3AA5"/>
    <w:rsid w:val="004B3D6E"/>
    <w:rsid w:val="004B407A"/>
    <w:rsid w:val="004B47CD"/>
    <w:rsid w:val="004B4DB7"/>
    <w:rsid w:val="004B5215"/>
    <w:rsid w:val="004B57F1"/>
    <w:rsid w:val="004B5D99"/>
    <w:rsid w:val="004B5E3D"/>
    <w:rsid w:val="004B5FE9"/>
    <w:rsid w:val="004B64BE"/>
    <w:rsid w:val="004B67EE"/>
    <w:rsid w:val="004B6813"/>
    <w:rsid w:val="004B7418"/>
    <w:rsid w:val="004B7FAC"/>
    <w:rsid w:val="004C04AF"/>
    <w:rsid w:val="004C1507"/>
    <w:rsid w:val="004C160D"/>
    <w:rsid w:val="004C166D"/>
    <w:rsid w:val="004C1681"/>
    <w:rsid w:val="004C172C"/>
    <w:rsid w:val="004C1815"/>
    <w:rsid w:val="004C1994"/>
    <w:rsid w:val="004C1AAD"/>
    <w:rsid w:val="004C214B"/>
    <w:rsid w:val="004C2646"/>
    <w:rsid w:val="004C27E9"/>
    <w:rsid w:val="004C2EB1"/>
    <w:rsid w:val="004C30B0"/>
    <w:rsid w:val="004C39B9"/>
    <w:rsid w:val="004C3BD6"/>
    <w:rsid w:val="004C3DE8"/>
    <w:rsid w:val="004C40F3"/>
    <w:rsid w:val="004C467F"/>
    <w:rsid w:val="004C4AA9"/>
    <w:rsid w:val="004C4B37"/>
    <w:rsid w:val="004C4E54"/>
    <w:rsid w:val="004C4EA3"/>
    <w:rsid w:val="004C54AD"/>
    <w:rsid w:val="004C57FD"/>
    <w:rsid w:val="004C5B79"/>
    <w:rsid w:val="004C5D04"/>
    <w:rsid w:val="004C5E45"/>
    <w:rsid w:val="004C67B4"/>
    <w:rsid w:val="004C6BAB"/>
    <w:rsid w:val="004C6FC9"/>
    <w:rsid w:val="004C7200"/>
    <w:rsid w:val="004C736D"/>
    <w:rsid w:val="004C77B3"/>
    <w:rsid w:val="004C7835"/>
    <w:rsid w:val="004D02DC"/>
    <w:rsid w:val="004D04D0"/>
    <w:rsid w:val="004D0598"/>
    <w:rsid w:val="004D08BF"/>
    <w:rsid w:val="004D0B92"/>
    <w:rsid w:val="004D1DA1"/>
    <w:rsid w:val="004D1EE8"/>
    <w:rsid w:val="004D2A10"/>
    <w:rsid w:val="004D2B54"/>
    <w:rsid w:val="004D3C1A"/>
    <w:rsid w:val="004D3DE3"/>
    <w:rsid w:val="004D3DFE"/>
    <w:rsid w:val="004D3FF2"/>
    <w:rsid w:val="004D47F8"/>
    <w:rsid w:val="004D48E0"/>
    <w:rsid w:val="004D536C"/>
    <w:rsid w:val="004D5750"/>
    <w:rsid w:val="004D7105"/>
    <w:rsid w:val="004D7356"/>
    <w:rsid w:val="004D7805"/>
    <w:rsid w:val="004D7850"/>
    <w:rsid w:val="004D7B31"/>
    <w:rsid w:val="004E052D"/>
    <w:rsid w:val="004E088D"/>
    <w:rsid w:val="004E0F6B"/>
    <w:rsid w:val="004E235F"/>
    <w:rsid w:val="004E2F5F"/>
    <w:rsid w:val="004E38DF"/>
    <w:rsid w:val="004E3E3B"/>
    <w:rsid w:val="004E3F5B"/>
    <w:rsid w:val="004E42AB"/>
    <w:rsid w:val="004E47DB"/>
    <w:rsid w:val="004E48DA"/>
    <w:rsid w:val="004E4B36"/>
    <w:rsid w:val="004E4C59"/>
    <w:rsid w:val="004E4F6A"/>
    <w:rsid w:val="004E5535"/>
    <w:rsid w:val="004E5C82"/>
    <w:rsid w:val="004E5CD0"/>
    <w:rsid w:val="004E617B"/>
    <w:rsid w:val="004E6758"/>
    <w:rsid w:val="004E6B00"/>
    <w:rsid w:val="004E6CE1"/>
    <w:rsid w:val="004E6F97"/>
    <w:rsid w:val="004E7B0B"/>
    <w:rsid w:val="004E7BA4"/>
    <w:rsid w:val="004F0D95"/>
    <w:rsid w:val="004F17BB"/>
    <w:rsid w:val="004F230C"/>
    <w:rsid w:val="004F2428"/>
    <w:rsid w:val="004F2664"/>
    <w:rsid w:val="004F3203"/>
    <w:rsid w:val="004F3268"/>
    <w:rsid w:val="004F328A"/>
    <w:rsid w:val="004F377D"/>
    <w:rsid w:val="004F3A1B"/>
    <w:rsid w:val="004F3AF8"/>
    <w:rsid w:val="004F42E5"/>
    <w:rsid w:val="004F4410"/>
    <w:rsid w:val="004F4591"/>
    <w:rsid w:val="004F46EA"/>
    <w:rsid w:val="004F47BB"/>
    <w:rsid w:val="004F4AFB"/>
    <w:rsid w:val="004F4D75"/>
    <w:rsid w:val="004F59C0"/>
    <w:rsid w:val="004F5DB4"/>
    <w:rsid w:val="004F60E9"/>
    <w:rsid w:val="004F645A"/>
    <w:rsid w:val="004F6605"/>
    <w:rsid w:val="004F6668"/>
    <w:rsid w:val="004F6D84"/>
    <w:rsid w:val="004F6E5D"/>
    <w:rsid w:val="004F75B4"/>
    <w:rsid w:val="004F7861"/>
    <w:rsid w:val="004F78E8"/>
    <w:rsid w:val="004F7AC7"/>
    <w:rsid w:val="004F7EBE"/>
    <w:rsid w:val="00500114"/>
    <w:rsid w:val="00500686"/>
    <w:rsid w:val="00500B90"/>
    <w:rsid w:val="005013C3"/>
    <w:rsid w:val="005013FF"/>
    <w:rsid w:val="00501489"/>
    <w:rsid w:val="005024CE"/>
    <w:rsid w:val="005029A0"/>
    <w:rsid w:val="00503306"/>
    <w:rsid w:val="0050395B"/>
    <w:rsid w:val="00503D72"/>
    <w:rsid w:val="005044C9"/>
    <w:rsid w:val="00505091"/>
    <w:rsid w:val="0050517D"/>
    <w:rsid w:val="0050567D"/>
    <w:rsid w:val="0050574A"/>
    <w:rsid w:val="005058E7"/>
    <w:rsid w:val="00505B99"/>
    <w:rsid w:val="00505BA0"/>
    <w:rsid w:val="0050671F"/>
    <w:rsid w:val="00506875"/>
    <w:rsid w:val="00506A75"/>
    <w:rsid w:val="00507201"/>
    <w:rsid w:val="0050771E"/>
    <w:rsid w:val="00507B83"/>
    <w:rsid w:val="00507E09"/>
    <w:rsid w:val="0051025D"/>
    <w:rsid w:val="0051036D"/>
    <w:rsid w:val="005110E3"/>
    <w:rsid w:val="005113EC"/>
    <w:rsid w:val="00511676"/>
    <w:rsid w:val="005117BB"/>
    <w:rsid w:val="00511C66"/>
    <w:rsid w:val="00511D91"/>
    <w:rsid w:val="00512018"/>
    <w:rsid w:val="005127EE"/>
    <w:rsid w:val="0051322E"/>
    <w:rsid w:val="005136CB"/>
    <w:rsid w:val="0051394F"/>
    <w:rsid w:val="0051452C"/>
    <w:rsid w:val="00514911"/>
    <w:rsid w:val="005149CA"/>
    <w:rsid w:val="00514FFB"/>
    <w:rsid w:val="005158DB"/>
    <w:rsid w:val="00515A6A"/>
    <w:rsid w:val="00515AC6"/>
    <w:rsid w:val="005168C6"/>
    <w:rsid w:val="00516F83"/>
    <w:rsid w:val="005170B5"/>
    <w:rsid w:val="005170D5"/>
    <w:rsid w:val="00520210"/>
    <w:rsid w:val="00520F1A"/>
    <w:rsid w:val="0052180A"/>
    <w:rsid w:val="005219F8"/>
    <w:rsid w:val="00521B9C"/>
    <w:rsid w:val="00522D49"/>
    <w:rsid w:val="0052334E"/>
    <w:rsid w:val="005236F3"/>
    <w:rsid w:val="00523BC5"/>
    <w:rsid w:val="00523C3C"/>
    <w:rsid w:val="00523DF9"/>
    <w:rsid w:val="005241E4"/>
    <w:rsid w:val="0052424A"/>
    <w:rsid w:val="005244E2"/>
    <w:rsid w:val="00524875"/>
    <w:rsid w:val="005248BE"/>
    <w:rsid w:val="00524B64"/>
    <w:rsid w:val="0052524D"/>
    <w:rsid w:val="0052530C"/>
    <w:rsid w:val="0052564D"/>
    <w:rsid w:val="00526294"/>
    <w:rsid w:val="005262ED"/>
    <w:rsid w:val="005269C5"/>
    <w:rsid w:val="00526DBB"/>
    <w:rsid w:val="00527425"/>
    <w:rsid w:val="005278EE"/>
    <w:rsid w:val="00527AA5"/>
    <w:rsid w:val="00527C2C"/>
    <w:rsid w:val="00527F68"/>
    <w:rsid w:val="00530396"/>
    <w:rsid w:val="00531460"/>
    <w:rsid w:val="00531699"/>
    <w:rsid w:val="00531910"/>
    <w:rsid w:val="00531D94"/>
    <w:rsid w:val="00531FFE"/>
    <w:rsid w:val="005329A6"/>
    <w:rsid w:val="00532B8D"/>
    <w:rsid w:val="00533CA7"/>
    <w:rsid w:val="00533CC8"/>
    <w:rsid w:val="0053494E"/>
    <w:rsid w:val="00534C3C"/>
    <w:rsid w:val="00534CA5"/>
    <w:rsid w:val="00534D89"/>
    <w:rsid w:val="00535020"/>
    <w:rsid w:val="0053513D"/>
    <w:rsid w:val="00535364"/>
    <w:rsid w:val="005359A5"/>
    <w:rsid w:val="005359FA"/>
    <w:rsid w:val="00535AE8"/>
    <w:rsid w:val="00536AAF"/>
    <w:rsid w:val="00536C51"/>
    <w:rsid w:val="005377DA"/>
    <w:rsid w:val="0054014D"/>
    <w:rsid w:val="0054031E"/>
    <w:rsid w:val="005403D0"/>
    <w:rsid w:val="00540610"/>
    <w:rsid w:val="00541326"/>
    <w:rsid w:val="00541540"/>
    <w:rsid w:val="005416A0"/>
    <w:rsid w:val="00541905"/>
    <w:rsid w:val="00542648"/>
    <w:rsid w:val="00542B1F"/>
    <w:rsid w:val="0054338A"/>
    <w:rsid w:val="005436DB"/>
    <w:rsid w:val="00543852"/>
    <w:rsid w:val="0054413D"/>
    <w:rsid w:val="0054438E"/>
    <w:rsid w:val="00544487"/>
    <w:rsid w:val="005446DA"/>
    <w:rsid w:val="00544817"/>
    <w:rsid w:val="00545D55"/>
    <w:rsid w:val="00545FF2"/>
    <w:rsid w:val="005465A6"/>
    <w:rsid w:val="00546EE1"/>
    <w:rsid w:val="0054725A"/>
    <w:rsid w:val="0054751F"/>
    <w:rsid w:val="005479EF"/>
    <w:rsid w:val="005502D8"/>
    <w:rsid w:val="00550F60"/>
    <w:rsid w:val="0055249E"/>
    <w:rsid w:val="00552C13"/>
    <w:rsid w:val="00552D28"/>
    <w:rsid w:val="0055370A"/>
    <w:rsid w:val="00553CBC"/>
    <w:rsid w:val="00554346"/>
    <w:rsid w:val="005544CD"/>
    <w:rsid w:val="00554ACA"/>
    <w:rsid w:val="00554AFA"/>
    <w:rsid w:val="0055537E"/>
    <w:rsid w:val="00555419"/>
    <w:rsid w:val="00555734"/>
    <w:rsid w:val="00555E4E"/>
    <w:rsid w:val="00555EE1"/>
    <w:rsid w:val="005573EB"/>
    <w:rsid w:val="00557D2D"/>
    <w:rsid w:val="00557FD8"/>
    <w:rsid w:val="0056045D"/>
    <w:rsid w:val="00560668"/>
    <w:rsid w:val="0056093D"/>
    <w:rsid w:val="0056143D"/>
    <w:rsid w:val="00561A09"/>
    <w:rsid w:val="00561EF6"/>
    <w:rsid w:val="00561F5D"/>
    <w:rsid w:val="00561FF7"/>
    <w:rsid w:val="0056282E"/>
    <w:rsid w:val="00562C92"/>
    <w:rsid w:val="00562CE8"/>
    <w:rsid w:val="00562D3D"/>
    <w:rsid w:val="00563017"/>
    <w:rsid w:val="005630A4"/>
    <w:rsid w:val="005644C0"/>
    <w:rsid w:val="0056486A"/>
    <w:rsid w:val="00566268"/>
    <w:rsid w:val="005663BB"/>
    <w:rsid w:val="005666C8"/>
    <w:rsid w:val="00566780"/>
    <w:rsid w:val="00566ED7"/>
    <w:rsid w:val="00567091"/>
    <w:rsid w:val="00567383"/>
    <w:rsid w:val="00567618"/>
    <w:rsid w:val="00567772"/>
    <w:rsid w:val="005677F9"/>
    <w:rsid w:val="005701EE"/>
    <w:rsid w:val="0057083F"/>
    <w:rsid w:val="00570B0B"/>
    <w:rsid w:val="00570C10"/>
    <w:rsid w:val="00570C3E"/>
    <w:rsid w:val="0057110E"/>
    <w:rsid w:val="005714DE"/>
    <w:rsid w:val="00571581"/>
    <w:rsid w:val="00571916"/>
    <w:rsid w:val="00572991"/>
    <w:rsid w:val="00573438"/>
    <w:rsid w:val="0057405D"/>
    <w:rsid w:val="005741BB"/>
    <w:rsid w:val="00574326"/>
    <w:rsid w:val="0057487B"/>
    <w:rsid w:val="00574FD7"/>
    <w:rsid w:val="00575706"/>
    <w:rsid w:val="00575D90"/>
    <w:rsid w:val="00575DDA"/>
    <w:rsid w:val="00576243"/>
    <w:rsid w:val="0057625D"/>
    <w:rsid w:val="0057629B"/>
    <w:rsid w:val="005768B6"/>
    <w:rsid w:val="00576A2C"/>
    <w:rsid w:val="00576C4A"/>
    <w:rsid w:val="0057729E"/>
    <w:rsid w:val="0057786C"/>
    <w:rsid w:val="00577BC2"/>
    <w:rsid w:val="00577CB3"/>
    <w:rsid w:val="00577EA1"/>
    <w:rsid w:val="0058003D"/>
    <w:rsid w:val="0058026D"/>
    <w:rsid w:val="005804F7"/>
    <w:rsid w:val="005805E6"/>
    <w:rsid w:val="0058086E"/>
    <w:rsid w:val="00580BE2"/>
    <w:rsid w:val="0058118E"/>
    <w:rsid w:val="00581401"/>
    <w:rsid w:val="005816C1"/>
    <w:rsid w:val="00581835"/>
    <w:rsid w:val="00581DE9"/>
    <w:rsid w:val="00581F80"/>
    <w:rsid w:val="005821CD"/>
    <w:rsid w:val="00582438"/>
    <w:rsid w:val="005827B6"/>
    <w:rsid w:val="005830D6"/>
    <w:rsid w:val="005832A0"/>
    <w:rsid w:val="0058333B"/>
    <w:rsid w:val="00583401"/>
    <w:rsid w:val="005836FB"/>
    <w:rsid w:val="005837CB"/>
    <w:rsid w:val="00583B2F"/>
    <w:rsid w:val="00583FF2"/>
    <w:rsid w:val="00584057"/>
    <w:rsid w:val="00584C3B"/>
    <w:rsid w:val="00586FF2"/>
    <w:rsid w:val="005872B5"/>
    <w:rsid w:val="00587410"/>
    <w:rsid w:val="00587A1E"/>
    <w:rsid w:val="00587BAA"/>
    <w:rsid w:val="00591C04"/>
    <w:rsid w:val="00591CF4"/>
    <w:rsid w:val="00592FA0"/>
    <w:rsid w:val="005936CD"/>
    <w:rsid w:val="00593BA7"/>
    <w:rsid w:val="00593E75"/>
    <w:rsid w:val="0059476E"/>
    <w:rsid w:val="0059490A"/>
    <w:rsid w:val="00595B50"/>
    <w:rsid w:val="005961E9"/>
    <w:rsid w:val="005962C3"/>
    <w:rsid w:val="00596507"/>
    <w:rsid w:val="0059676E"/>
    <w:rsid w:val="00596FFC"/>
    <w:rsid w:val="0059728A"/>
    <w:rsid w:val="0059734F"/>
    <w:rsid w:val="00597580"/>
    <w:rsid w:val="00597721"/>
    <w:rsid w:val="00597E1A"/>
    <w:rsid w:val="005A0189"/>
    <w:rsid w:val="005A05AE"/>
    <w:rsid w:val="005A07A3"/>
    <w:rsid w:val="005A07E7"/>
    <w:rsid w:val="005A0DBF"/>
    <w:rsid w:val="005A15B9"/>
    <w:rsid w:val="005A1712"/>
    <w:rsid w:val="005A17F7"/>
    <w:rsid w:val="005A19A6"/>
    <w:rsid w:val="005A1CEE"/>
    <w:rsid w:val="005A1F33"/>
    <w:rsid w:val="005A1FAD"/>
    <w:rsid w:val="005A24F6"/>
    <w:rsid w:val="005A290A"/>
    <w:rsid w:val="005A2AAC"/>
    <w:rsid w:val="005A2D17"/>
    <w:rsid w:val="005A2F4A"/>
    <w:rsid w:val="005A3057"/>
    <w:rsid w:val="005A35BA"/>
    <w:rsid w:val="005A364F"/>
    <w:rsid w:val="005A380E"/>
    <w:rsid w:val="005A3B45"/>
    <w:rsid w:val="005A3C45"/>
    <w:rsid w:val="005A4903"/>
    <w:rsid w:val="005A4D0F"/>
    <w:rsid w:val="005A507A"/>
    <w:rsid w:val="005A5324"/>
    <w:rsid w:val="005A5326"/>
    <w:rsid w:val="005A54B6"/>
    <w:rsid w:val="005A5C97"/>
    <w:rsid w:val="005A6475"/>
    <w:rsid w:val="005A747E"/>
    <w:rsid w:val="005B0390"/>
    <w:rsid w:val="005B074E"/>
    <w:rsid w:val="005B07A0"/>
    <w:rsid w:val="005B0916"/>
    <w:rsid w:val="005B0AE7"/>
    <w:rsid w:val="005B0CDC"/>
    <w:rsid w:val="005B1353"/>
    <w:rsid w:val="005B159B"/>
    <w:rsid w:val="005B163F"/>
    <w:rsid w:val="005B16F7"/>
    <w:rsid w:val="005B1A17"/>
    <w:rsid w:val="005B1C36"/>
    <w:rsid w:val="005B1D05"/>
    <w:rsid w:val="005B1E3B"/>
    <w:rsid w:val="005B1FFB"/>
    <w:rsid w:val="005B2030"/>
    <w:rsid w:val="005B206A"/>
    <w:rsid w:val="005B2703"/>
    <w:rsid w:val="005B2EB7"/>
    <w:rsid w:val="005B2FE5"/>
    <w:rsid w:val="005B3946"/>
    <w:rsid w:val="005B41CF"/>
    <w:rsid w:val="005B4319"/>
    <w:rsid w:val="005B493B"/>
    <w:rsid w:val="005B52F3"/>
    <w:rsid w:val="005B5EC6"/>
    <w:rsid w:val="005B61BD"/>
    <w:rsid w:val="005B65DF"/>
    <w:rsid w:val="005B7035"/>
    <w:rsid w:val="005B72A3"/>
    <w:rsid w:val="005B77F3"/>
    <w:rsid w:val="005B7A9E"/>
    <w:rsid w:val="005C0033"/>
    <w:rsid w:val="005C0FA0"/>
    <w:rsid w:val="005C126E"/>
    <w:rsid w:val="005C13AB"/>
    <w:rsid w:val="005C163F"/>
    <w:rsid w:val="005C17CD"/>
    <w:rsid w:val="005C1BF0"/>
    <w:rsid w:val="005C1D39"/>
    <w:rsid w:val="005C1D56"/>
    <w:rsid w:val="005C29FA"/>
    <w:rsid w:val="005C2BAE"/>
    <w:rsid w:val="005C2E86"/>
    <w:rsid w:val="005C2FA8"/>
    <w:rsid w:val="005C3747"/>
    <w:rsid w:val="005C3AF7"/>
    <w:rsid w:val="005C3D08"/>
    <w:rsid w:val="005C5576"/>
    <w:rsid w:val="005C5C40"/>
    <w:rsid w:val="005C66EB"/>
    <w:rsid w:val="005C66ED"/>
    <w:rsid w:val="005C689C"/>
    <w:rsid w:val="005C6AA3"/>
    <w:rsid w:val="005C6AA8"/>
    <w:rsid w:val="005C6B54"/>
    <w:rsid w:val="005C6DB2"/>
    <w:rsid w:val="005C6F49"/>
    <w:rsid w:val="005C7442"/>
    <w:rsid w:val="005C7EAD"/>
    <w:rsid w:val="005D01BF"/>
    <w:rsid w:val="005D0544"/>
    <w:rsid w:val="005D09CB"/>
    <w:rsid w:val="005D0AE6"/>
    <w:rsid w:val="005D1009"/>
    <w:rsid w:val="005D1103"/>
    <w:rsid w:val="005D1706"/>
    <w:rsid w:val="005D1940"/>
    <w:rsid w:val="005D1B77"/>
    <w:rsid w:val="005D206E"/>
    <w:rsid w:val="005D2380"/>
    <w:rsid w:val="005D25F1"/>
    <w:rsid w:val="005D3644"/>
    <w:rsid w:val="005D3885"/>
    <w:rsid w:val="005D3AA4"/>
    <w:rsid w:val="005D3B44"/>
    <w:rsid w:val="005D3DB3"/>
    <w:rsid w:val="005D3F0B"/>
    <w:rsid w:val="005D40DA"/>
    <w:rsid w:val="005D425D"/>
    <w:rsid w:val="005D43FA"/>
    <w:rsid w:val="005D46D0"/>
    <w:rsid w:val="005D488E"/>
    <w:rsid w:val="005D4890"/>
    <w:rsid w:val="005D49A9"/>
    <w:rsid w:val="005D4B2B"/>
    <w:rsid w:val="005D5965"/>
    <w:rsid w:val="005D5A21"/>
    <w:rsid w:val="005D5AAB"/>
    <w:rsid w:val="005D5DBA"/>
    <w:rsid w:val="005D5E7E"/>
    <w:rsid w:val="005D60F4"/>
    <w:rsid w:val="005D6569"/>
    <w:rsid w:val="005D6CC5"/>
    <w:rsid w:val="005D721B"/>
    <w:rsid w:val="005D7C8A"/>
    <w:rsid w:val="005E00B0"/>
    <w:rsid w:val="005E06B0"/>
    <w:rsid w:val="005E0A00"/>
    <w:rsid w:val="005E0F1A"/>
    <w:rsid w:val="005E12F9"/>
    <w:rsid w:val="005E1600"/>
    <w:rsid w:val="005E164D"/>
    <w:rsid w:val="005E1A03"/>
    <w:rsid w:val="005E1FF0"/>
    <w:rsid w:val="005E2090"/>
    <w:rsid w:val="005E213B"/>
    <w:rsid w:val="005E2DED"/>
    <w:rsid w:val="005E346B"/>
    <w:rsid w:val="005E35A7"/>
    <w:rsid w:val="005E3881"/>
    <w:rsid w:val="005E3B99"/>
    <w:rsid w:val="005E4A5A"/>
    <w:rsid w:val="005E4FAC"/>
    <w:rsid w:val="005E5006"/>
    <w:rsid w:val="005E59EB"/>
    <w:rsid w:val="005E5BA0"/>
    <w:rsid w:val="005E5C58"/>
    <w:rsid w:val="005E6494"/>
    <w:rsid w:val="005E6623"/>
    <w:rsid w:val="005E6763"/>
    <w:rsid w:val="005E77E3"/>
    <w:rsid w:val="005E7808"/>
    <w:rsid w:val="005F0CCF"/>
    <w:rsid w:val="005F1160"/>
    <w:rsid w:val="005F17E9"/>
    <w:rsid w:val="005F2351"/>
    <w:rsid w:val="005F2948"/>
    <w:rsid w:val="005F2B3D"/>
    <w:rsid w:val="005F2B5D"/>
    <w:rsid w:val="005F35CD"/>
    <w:rsid w:val="005F35EF"/>
    <w:rsid w:val="005F3A9D"/>
    <w:rsid w:val="005F40E3"/>
    <w:rsid w:val="005F4284"/>
    <w:rsid w:val="005F4D98"/>
    <w:rsid w:val="005F51F2"/>
    <w:rsid w:val="005F5ED4"/>
    <w:rsid w:val="005F62FB"/>
    <w:rsid w:val="005F6644"/>
    <w:rsid w:val="005F680A"/>
    <w:rsid w:val="005F6CD5"/>
    <w:rsid w:val="005F6DD5"/>
    <w:rsid w:val="005F6E9C"/>
    <w:rsid w:val="005F7510"/>
    <w:rsid w:val="005F767F"/>
    <w:rsid w:val="005F7DA1"/>
    <w:rsid w:val="005F7E52"/>
    <w:rsid w:val="005F7F36"/>
    <w:rsid w:val="006005B3"/>
    <w:rsid w:val="00600B40"/>
    <w:rsid w:val="00600E7A"/>
    <w:rsid w:val="00601460"/>
    <w:rsid w:val="006015FA"/>
    <w:rsid w:val="00601E80"/>
    <w:rsid w:val="006023B6"/>
    <w:rsid w:val="00603417"/>
    <w:rsid w:val="00603449"/>
    <w:rsid w:val="00603B31"/>
    <w:rsid w:val="00603CE1"/>
    <w:rsid w:val="00603D70"/>
    <w:rsid w:val="006040C6"/>
    <w:rsid w:val="00604752"/>
    <w:rsid w:val="00605CDB"/>
    <w:rsid w:val="00605E73"/>
    <w:rsid w:val="0060673F"/>
    <w:rsid w:val="006067E9"/>
    <w:rsid w:val="006068EE"/>
    <w:rsid w:val="00606DAD"/>
    <w:rsid w:val="00607255"/>
    <w:rsid w:val="006072F3"/>
    <w:rsid w:val="006101FB"/>
    <w:rsid w:val="00610205"/>
    <w:rsid w:val="00610DD6"/>
    <w:rsid w:val="00610F09"/>
    <w:rsid w:val="0061107F"/>
    <w:rsid w:val="006110B3"/>
    <w:rsid w:val="00611E59"/>
    <w:rsid w:val="00612195"/>
    <w:rsid w:val="0061258D"/>
    <w:rsid w:val="00612F51"/>
    <w:rsid w:val="00613429"/>
    <w:rsid w:val="0061360A"/>
    <w:rsid w:val="00613641"/>
    <w:rsid w:val="0061370E"/>
    <w:rsid w:val="00613A3E"/>
    <w:rsid w:val="00614405"/>
    <w:rsid w:val="006144C7"/>
    <w:rsid w:val="0061477F"/>
    <w:rsid w:val="006149AA"/>
    <w:rsid w:val="006153D0"/>
    <w:rsid w:val="00615979"/>
    <w:rsid w:val="006159E3"/>
    <w:rsid w:val="00615E9F"/>
    <w:rsid w:val="0061604F"/>
    <w:rsid w:val="0061648C"/>
    <w:rsid w:val="00616753"/>
    <w:rsid w:val="00616DF4"/>
    <w:rsid w:val="00616EC9"/>
    <w:rsid w:val="006170A6"/>
    <w:rsid w:val="00617A39"/>
    <w:rsid w:val="00617C0D"/>
    <w:rsid w:val="00617CCA"/>
    <w:rsid w:val="00620539"/>
    <w:rsid w:val="00620D7D"/>
    <w:rsid w:val="00620E09"/>
    <w:rsid w:val="006212F3"/>
    <w:rsid w:val="00621403"/>
    <w:rsid w:val="006214FB"/>
    <w:rsid w:val="0062168E"/>
    <w:rsid w:val="00621709"/>
    <w:rsid w:val="00621778"/>
    <w:rsid w:val="0062189C"/>
    <w:rsid w:val="00621A71"/>
    <w:rsid w:val="006226FC"/>
    <w:rsid w:val="00622881"/>
    <w:rsid w:val="00622EA2"/>
    <w:rsid w:val="00622EDD"/>
    <w:rsid w:val="00623178"/>
    <w:rsid w:val="00623711"/>
    <w:rsid w:val="00623DE9"/>
    <w:rsid w:val="0062456E"/>
    <w:rsid w:val="00625073"/>
    <w:rsid w:val="00625257"/>
    <w:rsid w:val="006258F9"/>
    <w:rsid w:val="00625DD1"/>
    <w:rsid w:val="00625E0F"/>
    <w:rsid w:val="006260EE"/>
    <w:rsid w:val="0062684B"/>
    <w:rsid w:val="00626BD2"/>
    <w:rsid w:val="00626D6E"/>
    <w:rsid w:val="006274E6"/>
    <w:rsid w:val="00627599"/>
    <w:rsid w:val="00630646"/>
    <w:rsid w:val="0063107E"/>
    <w:rsid w:val="006318C2"/>
    <w:rsid w:val="00631DA9"/>
    <w:rsid w:val="00631DED"/>
    <w:rsid w:val="006320AA"/>
    <w:rsid w:val="006322B7"/>
    <w:rsid w:val="006324EA"/>
    <w:rsid w:val="0063287C"/>
    <w:rsid w:val="00632CF7"/>
    <w:rsid w:val="00632D21"/>
    <w:rsid w:val="0063350E"/>
    <w:rsid w:val="0063355C"/>
    <w:rsid w:val="00634099"/>
    <w:rsid w:val="00634B84"/>
    <w:rsid w:val="006350B8"/>
    <w:rsid w:val="00635252"/>
    <w:rsid w:val="00635D92"/>
    <w:rsid w:val="0063600B"/>
    <w:rsid w:val="0063610E"/>
    <w:rsid w:val="006363EC"/>
    <w:rsid w:val="006364A9"/>
    <w:rsid w:val="0063699F"/>
    <w:rsid w:val="00636BBA"/>
    <w:rsid w:val="00637279"/>
    <w:rsid w:val="00637798"/>
    <w:rsid w:val="006377B1"/>
    <w:rsid w:val="0063791C"/>
    <w:rsid w:val="00637FCA"/>
    <w:rsid w:val="006401CE"/>
    <w:rsid w:val="00640248"/>
    <w:rsid w:val="00640483"/>
    <w:rsid w:val="00640C78"/>
    <w:rsid w:val="00640E31"/>
    <w:rsid w:val="006412B6"/>
    <w:rsid w:val="0064152F"/>
    <w:rsid w:val="00641BEE"/>
    <w:rsid w:val="006427FE"/>
    <w:rsid w:val="0064335D"/>
    <w:rsid w:val="00643AFE"/>
    <w:rsid w:val="00643B08"/>
    <w:rsid w:val="00643C3E"/>
    <w:rsid w:val="00643E14"/>
    <w:rsid w:val="006440B3"/>
    <w:rsid w:val="006455DC"/>
    <w:rsid w:val="006458F3"/>
    <w:rsid w:val="00645B05"/>
    <w:rsid w:val="00645E1E"/>
    <w:rsid w:val="00646190"/>
    <w:rsid w:val="00646A0C"/>
    <w:rsid w:val="00646B46"/>
    <w:rsid w:val="00646DB1"/>
    <w:rsid w:val="00646E36"/>
    <w:rsid w:val="00647B75"/>
    <w:rsid w:val="00647F0B"/>
    <w:rsid w:val="00650ACC"/>
    <w:rsid w:val="00650AF4"/>
    <w:rsid w:val="0065111C"/>
    <w:rsid w:val="0065184C"/>
    <w:rsid w:val="00651C90"/>
    <w:rsid w:val="00652433"/>
    <w:rsid w:val="006525E6"/>
    <w:rsid w:val="006532D6"/>
    <w:rsid w:val="00653872"/>
    <w:rsid w:val="00653E3F"/>
    <w:rsid w:val="0065448A"/>
    <w:rsid w:val="00654817"/>
    <w:rsid w:val="00654A6D"/>
    <w:rsid w:val="00655462"/>
    <w:rsid w:val="0065548F"/>
    <w:rsid w:val="00655502"/>
    <w:rsid w:val="00655921"/>
    <w:rsid w:val="00657483"/>
    <w:rsid w:val="006608C9"/>
    <w:rsid w:val="006609BD"/>
    <w:rsid w:val="0066125C"/>
    <w:rsid w:val="00661793"/>
    <w:rsid w:val="00661880"/>
    <w:rsid w:val="00662340"/>
    <w:rsid w:val="00662513"/>
    <w:rsid w:val="006629A0"/>
    <w:rsid w:val="00662B72"/>
    <w:rsid w:val="00662D36"/>
    <w:rsid w:val="006635FE"/>
    <w:rsid w:val="00663652"/>
    <w:rsid w:val="0066388E"/>
    <w:rsid w:val="00663DB0"/>
    <w:rsid w:val="0066489D"/>
    <w:rsid w:val="00664BB0"/>
    <w:rsid w:val="00664BF1"/>
    <w:rsid w:val="00664D32"/>
    <w:rsid w:val="00664E68"/>
    <w:rsid w:val="006655BD"/>
    <w:rsid w:val="00665DFB"/>
    <w:rsid w:val="0066688A"/>
    <w:rsid w:val="006668F3"/>
    <w:rsid w:val="00666B21"/>
    <w:rsid w:val="00666DE8"/>
    <w:rsid w:val="0066789E"/>
    <w:rsid w:val="00667C88"/>
    <w:rsid w:val="00667D71"/>
    <w:rsid w:val="006701FB"/>
    <w:rsid w:val="0067057B"/>
    <w:rsid w:val="00670689"/>
    <w:rsid w:val="0067138E"/>
    <w:rsid w:val="00671440"/>
    <w:rsid w:val="00671EB7"/>
    <w:rsid w:val="00671EC8"/>
    <w:rsid w:val="0067277D"/>
    <w:rsid w:val="00672959"/>
    <w:rsid w:val="006732A5"/>
    <w:rsid w:val="00673886"/>
    <w:rsid w:val="00673C4C"/>
    <w:rsid w:val="006745D9"/>
    <w:rsid w:val="00674A01"/>
    <w:rsid w:val="00674C4F"/>
    <w:rsid w:val="00674D80"/>
    <w:rsid w:val="006753DC"/>
    <w:rsid w:val="00675539"/>
    <w:rsid w:val="00675658"/>
    <w:rsid w:val="006758CA"/>
    <w:rsid w:val="006758D9"/>
    <w:rsid w:val="006763BF"/>
    <w:rsid w:val="0067658C"/>
    <w:rsid w:val="00676653"/>
    <w:rsid w:val="006766D4"/>
    <w:rsid w:val="00677327"/>
    <w:rsid w:val="00677430"/>
    <w:rsid w:val="0068016A"/>
    <w:rsid w:val="006806E2"/>
    <w:rsid w:val="0068078B"/>
    <w:rsid w:val="00680EE5"/>
    <w:rsid w:val="00680FDA"/>
    <w:rsid w:val="00681560"/>
    <w:rsid w:val="0068158B"/>
    <w:rsid w:val="00681648"/>
    <w:rsid w:val="00681A58"/>
    <w:rsid w:val="0068206E"/>
    <w:rsid w:val="006822C8"/>
    <w:rsid w:val="006824E4"/>
    <w:rsid w:val="006827C5"/>
    <w:rsid w:val="00682E7C"/>
    <w:rsid w:val="00682EBC"/>
    <w:rsid w:val="00683027"/>
    <w:rsid w:val="00683172"/>
    <w:rsid w:val="00683A3E"/>
    <w:rsid w:val="00684055"/>
    <w:rsid w:val="00684273"/>
    <w:rsid w:val="006846AB"/>
    <w:rsid w:val="00685213"/>
    <w:rsid w:val="006859E4"/>
    <w:rsid w:val="006860AC"/>
    <w:rsid w:val="00686B2F"/>
    <w:rsid w:val="00686D0C"/>
    <w:rsid w:val="00686DCF"/>
    <w:rsid w:val="00687110"/>
    <w:rsid w:val="006871C6"/>
    <w:rsid w:val="00687D6D"/>
    <w:rsid w:val="00687E1C"/>
    <w:rsid w:val="0069073D"/>
    <w:rsid w:val="006908E5"/>
    <w:rsid w:val="006916A1"/>
    <w:rsid w:val="0069195A"/>
    <w:rsid w:val="00691E88"/>
    <w:rsid w:val="00691F9C"/>
    <w:rsid w:val="00692043"/>
    <w:rsid w:val="00692290"/>
    <w:rsid w:val="00692471"/>
    <w:rsid w:val="00692519"/>
    <w:rsid w:val="00692930"/>
    <w:rsid w:val="00692971"/>
    <w:rsid w:val="0069299D"/>
    <w:rsid w:val="0069304F"/>
    <w:rsid w:val="00693086"/>
    <w:rsid w:val="0069371F"/>
    <w:rsid w:val="00693EF6"/>
    <w:rsid w:val="0069428B"/>
    <w:rsid w:val="0069429F"/>
    <w:rsid w:val="00694AAA"/>
    <w:rsid w:val="00694B90"/>
    <w:rsid w:val="00694BE5"/>
    <w:rsid w:val="00695184"/>
    <w:rsid w:val="00696728"/>
    <w:rsid w:val="006968C7"/>
    <w:rsid w:val="00697456"/>
    <w:rsid w:val="00697CC8"/>
    <w:rsid w:val="00697DA7"/>
    <w:rsid w:val="00697EF8"/>
    <w:rsid w:val="00697F8A"/>
    <w:rsid w:val="006A0B3C"/>
    <w:rsid w:val="006A0B51"/>
    <w:rsid w:val="006A0F3F"/>
    <w:rsid w:val="006A17E2"/>
    <w:rsid w:val="006A2191"/>
    <w:rsid w:val="006A25C2"/>
    <w:rsid w:val="006A2B42"/>
    <w:rsid w:val="006A35E9"/>
    <w:rsid w:val="006A3AB2"/>
    <w:rsid w:val="006A4254"/>
    <w:rsid w:val="006A4348"/>
    <w:rsid w:val="006A4A25"/>
    <w:rsid w:val="006A4BE5"/>
    <w:rsid w:val="006A4D01"/>
    <w:rsid w:val="006A63FB"/>
    <w:rsid w:val="006A6640"/>
    <w:rsid w:val="006A6A1E"/>
    <w:rsid w:val="006A6A38"/>
    <w:rsid w:val="006A7367"/>
    <w:rsid w:val="006A7890"/>
    <w:rsid w:val="006A78C3"/>
    <w:rsid w:val="006B01A1"/>
    <w:rsid w:val="006B02BB"/>
    <w:rsid w:val="006B090C"/>
    <w:rsid w:val="006B0E0B"/>
    <w:rsid w:val="006B0F80"/>
    <w:rsid w:val="006B1195"/>
    <w:rsid w:val="006B12FF"/>
    <w:rsid w:val="006B130E"/>
    <w:rsid w:val="006B1628"/>
    <w:rsid w:val="006B1E44"/>
    <w:rsid w:val="006B2E19"/>
    <w:rsid w:val="006B31A2"/>
    <w:rsid w:val="006B3312"/>
    <w:rsid w:val="006B35F6"/>
    <w:rsid w:val="006B369F"/>
    <w:rsid w:val="006B3AE7"/>
    <w:rsid w:val="006B3CAD"/>
    <w:rsid w:val="006B3FF0"/>
    <w:rsid w:val="006B4057"/>
    <w:rsid w:val="006B4314"/>
    <w:rsid w:val="006B4D84"/>
    <w:rsid w:val="006B4E9E"/>
    <w:rsid w:val="006B587A"/>
    <w:rsid w:val="006B614E"/>
    <w:rsid w:val="006B6278"/>
    <w:rsid w:val="006B65C2"/>
    <w:rsid w:val="006B78FE"/>
    <w:rsid w:val="006B7BA1"/>
    <w:rsid w:val="006C0372"/>
    <w:rsid w:val="006C0492"/>
    <w:rsid w:val="006C09B0"/>
    <w:rsid w:val="006C09FA"/>
    <w:rsid w:val="006C0C27"/>
    <w:rsid w:val="006C12F0"/>
    <w:rsid w:val="006C15B0"/>
    <w:rsid w:val="006C164E"/>
    <w:rsid w:val="006C2278"/>
    <w:rsid w:val="006C2595"/>
    <w:rsid w:val="006C2D58"/>
    <w:rsid w:val="006C2D84"/>
    <w:rsid w:val="006C342D"/>
    <w:rsid w:val="006C3B53"/>
    <w:rsid w:val="006C3D23"/>
    <w:rsid w:val="006C3ED3"/>
    <w:rsid w:val="006C3FCC"/>
    <w:rsid w:val="006C3FE0"/>
    <w:rsid w:val="006C4290"/>
    <w:rsid w:val="006C4746"/>
    <w:rsid w:val="006C483D"/>
    <w:rsid w:val="006C4968"/>
    <w:rsid w:val="006C4F7B"/>
    <w:rsid w:val="006C5041"/>
    <w:rsid w:val="006C56CF"/>
    <w:rsid w:val="006C6D40"/>
    <w:rsid w:val="006C6F39"/>
    <w:rsid w:val="006C7097"/>
    <w:rsid w:val="006C7243"/>
    <w:rsid w:val="006C7774"/>
    <w:rsid w:val="006C78D3"/>
    <w:rsid w:val="006C79AB"/>
    <w:rsid w:val="006C7AC5"/>
    <w:rsid w:val="006C7F43"/>
    <w:rsid w:val="006D03ED"/>
    <w:rsid w:val="006D04BA"/>
    <w:rsid w:val="006D0C5F"/>
    <w:rsid w:val="006D132D"/>
    <w:rsid w:val="006D1B10"/>
    <w:rsid w:val="006D1BFD"/>
    <w:rsid w:val="006D1D7A"/>
    <w:rsid w:val="006D1FE5"/>
    <w:rsid w:val="006D2837"/>
    <w:rsid w:val="006D2BD3"/>
    <w:rsid w:val="006D2DCC"/>
    <w:rsid w:val="006D317C"/>
    <w:rsid w:val="006D3251"/>
    <w:rsid w:val="006D3BD4"/>
    <w:rsid w:val="006D4D2E"/>
    <w:rsid w:val="006D61CC"/>
    <w:rsid w:val="006D6697"/>
    <w:rsid w:val="006D6774"/>
    <w:rsid w:val="006D6963"/>
    <w:rsid w:val="006D6B83"/>
    <w:rsid w:val="006D7616"/>
    <w:rsid w:val="006D76F1"/>
    <w:rsid w:val="006D7D1C"/>
    <w:rsid w:val="006E00BC"/>
    <w:rsid w:val="006E0EAE"/>
    <w:rsid w:val="006E0F38"/>
    <w:rsid w:val="006E10A2"/>
    <w:rsid w:val="006E197E"/>
    <w:rsid w:val="006E214A"/>
    <w:rsid w:val="006E22A8"/>
    <w:rsid w:val="006E3780"/>
    <w:rsid w:val="006E3AB3"/>
    <w:rsid w:val="006E3E68"/>
    <w:rsid w:val="006E4686"/>
    <w:rsid w:val="006E475A"/>
    <w:rsid w:val="006E4ADF"/>
    <w:rsid w:val="006E4E86"/>
    <w:rsid w:val="006E5304"/>
    <w:rsid w:val="006E5872"/>
    <w:rsid w:val="006E5DCF"/>
    <w:rsid w:val="006E63CD"/>
    <w:rsid w:val="006E65F9"/>
    <w:rsid w:val="006E690F"/>
    <w:rsid w:val="006E6F3C"/>
    <w:rsid w:val="006E79BC"/>
    <w:rsid w:val="006E7BC9"/>
    <w:rsid w:val="006E7D98"/>
    <w:rsid w:val="006F0B5D"/>
    <w:rsid w:val="006F2056"/>
    <w:rsid w:val="006F25C2"/>
    <w:rsid w:val="006F2C42"/>
    <w:rsid w:val="006F3044"/>
    <w:rsid w:val="006F3140"/>
    <w:rsid w:val="006F34A0"/>
    <w:rsid w:val="006F4E38"/>
    <w:rsid w:val="006F5846"/>
    <w:rsid w:val="006F64B4"/>
    <w:rsid w:val="006F665F"/>
    <w:rsid w:val="006F6A4B"/>
    <w:rsid w:val="006F6A4F"/>
    <w:rsid w:val="006F7131"/>
    <w:rsid w:val="006F71D0"/>
    <w:rsid w:val="007000FB"/>
    <w:rsid w:val="0070044C"/>
    <w:rsid w:val="0070047A"/>
    <w:rsid w:val="007008A0"/>
    <w:rsid w:val="00700F0E"/>
    <w:rsid w:val="00700F18"/>
    <w:rsid w:val="0070174E"/>
    <w:rsid w:val="0070196D"/>
    <w:rsid w:val="00701A76"/>
    <w:rsid w:val="00701B3D"/>
    <w:rsid w:val="00701BF7"/>
    <w:rsid w:val="00702588"/>
    <w:rsid w:val="00702682"/>
    <w:rsid w:val="0070356E"/>
    <w:rsid w:val="00703B26"/>
    <w:rsid w:val="00703DAC"/>
    <w:rsid w:val="00703F55"/>
    <w:rsid w:val="00704158"/>
    <w:rsid w:val="007044D5"/>
    <w:rsid w:val="00704B94"/>
    <w:rsid w:val="00704C0A"/>
    <w:rsid w:val="007059F3"/>
    <w:rsid w:val="00706146"/>
    <w:rsid w:val="00706586"/>
    <w:rsid w:val="007067A4"/>
    <w:rsid w:val="0070695E"/>
    <w:rsid w:val="007074DC"/>
    <w:rsid w:val="0070765D"/>
    <w:rsid w:val="00707F07"/>
    <w:rsid w:val="00707FFE"/>
    <w:rsid w:val="00710271"/>
    <w:rsid w:val="00710544"/>
    <w:rsid w:val="00710662"/>
    <w:rsid w:val="00710AC3"/>
    <w:rsid w:val="00710B1B"/>
    <w:rsid w:val="0071155B"/>
    <w:rsid w:val="00711ABF"/>
    <w:rsid w:val="00711C31"/>
    <w:rsid w:val="0071249A"/>
    <w:rsid w:val="00712740"/>
    <w:rsid w:val="00712750"/>
    <w:rsid w:val="0071279C"/>
    <w:rsid w:val="00712DB6"/>
    <w:rsid w:val="00713070"/>
    <w:rsid w:val="00713871"/>
    <w:rsid w:val="007142F2"/>
    <w:rsid w:val="007146E9"/>
    <w:rsid w:val="007147CF"/>
    <w:rsid w:val="00715243"/>
    <w:rsid w:val="00715412"/>
    <w:rsid w:val="00716323"/>
    <w:rsid w:val="00716654"/>
    <w:rsid w:val="007167A1"/>
    <w:rsid w:val="00716EA1"/>
    <w:rsid w:val="00716F17"/>
    <w:rsid w:val="0071795B"/>
    <w:rsid w:val="00717EAD"/>
    <w:rsid w:val="007206AF"/>
    <w:rsid w:val="007207DC"/>
    <w:rsid w:val="00720A2D"/>
    <w:rsid w:val="00720F9B"/>
    <w:rsid w:val="00721AE0"/>
    <w:rsid w:val="00721B8B"/>
    <w:rsid w:val="007220AE"/>
    <w:rsid w:val="00722370"/>
    <w:rsid w:val="007227E9"/>
    <w:rsid w:val="00722815"/>
    <w:rsid w:val="007229E4"/>
    <w:rsid w:val="00722D53"/>
    <w:rsid w:val="00722D9B"/>
    <w:rsid w:val="00723449"/>
    <w:rsid w:val="0072363A"/>
    <w:rsid w:val="00723AE6"/>
    <w:rsid w:val="00723EBE"/>
    <w:rsid w:val="00724536"/>
    <w:rsid w:val="0072453A"/>
    <w:rsid w:val="00724AF7"/>
    <w:rsid w:val="00724E3A"/>
    <w:rsid w:val="00724FFC"/>
    <w:rsid w:val="007256F3"/>
    <w:rsid w:val="00725718"/>
    <w:rsid w:val="0072593B"/>
    <w:rsid w:val="00725E96"/>
    <w:rsid w:val="00725FE8"/>
    <w:rsid w:val="007261B8"/>
    <w:rsid w:val="007268AF"/>
    <w:rsid w:val="00726D61"/>
    <w:rsid w:val="007270AC"/>
    <w:rsid w:val="007270D5"/>
    <w:rsid w:val="00727148"/>
    <w:rsid w:val="00727178"/>
    <w:rsid w:val="007272EE"/>
    <w:rsid w:val="00727592"/>
    <w:rsid w:val="00727E64"/>
    <w:rsid w:val="00727EC1"/>
    <w:rsid w:val="0073088E"/>
    <w:rsid w:val="00730D40"/>
    <w:rsid w:val="00731152"/>
    <w:rsid w:val="00731380"/>
    <w:rsid w:val="007313EC"/>
    <w:rsid w:val="007316E0"/>
    <w:rsid w:val="00731734"/>
    <w:rsid w:val="0073180E"/>
    <w:rsid w:val="007319DD"/>
    <w:rsid w:val="00731ED9"/>
    <w:rsid w:val="00732024"/>
    <w:rsid w:val="00732D2E"/>
    <w:rsid w:val="00732EB3"/>
    <w:rsid w:val="00732F17"/>
    <w:rsid w:val="00732F31"/>
    <w:rsid w:val="00733147"/>
    <w:rsid w:val="007331C3"/>
    <w:rsid w:val="007338A7"/>
    <w:rsid w:val="00734206"/>
    <w:rsid w:val="0073441D"/>
    <w:rsid w:val="007348B4"/>
    <w:rsid w:val="00734928"/>
    <w:rsid w:val="00734D44"/>
    <w:rsid w:val="0073526E"/>
    <w:rsid w:val="0073575A"/>
    <w:rsid w:val="00735F61"/>
    <w:rsid w:val="007362A7"/>
    <w:rsid w:val="00736538"/>
    <w:rsid w:val="007366B0"/>
    <w:rsid w:val="00736BA5"/>
    <w:rsid w:val="00736E58"/>
    <w:rsid w:val="007376B2"/>
    <w:rsid w:val="00737FFE"/>
    <w:rsid w:val="00740AE0"/>
    <w:rsid w:val="00740C79"/>
    <w:rsid w:val="007413C1"/>
    <w:rsid w:val="007414DE"/>
    <w:rsid w:val="007418C5"/>
    <w:rsid w:val="007418EC"/>
    <w:rsid w:val="00742AB1"/>
    <w:rsid w:val="00742CF1"/>
    <w:rsid w:val="00742EA4"/>
    <w:rsid w:val="00742F2F"/>
    <w:rsid w:val="007432F2"/>
    <w:rsid w:val="00743583"/>
    <w:rsid w:val="00743959"/>
    <w:rsid w:val="00743A58"/>
    <w:rsid w:val="00743CCC"/>
    <w:rsid w:val="00744259"/>
    <w:rsid w:val="0074446B"/>
    <w:rsid w:val="00744626"/>
    <w:rsid w:val="00744787"/>
    <w:rsid w:val="00744F51"/>
    <w:rsid w:val="0074502A"/>
    <w:rsid w:val="007450D0"/>
    <w:rsid w:val="007451AD"/>
    <w:rsid w:val="00745734"/>
    <w:rsid w:val="00745970"/>
    <w:rsid w:val="00745B7B"/>
    <w:rsid w:val="007464D5"/>
    <w:rsid w:val="00746989"/>
    <w:rsid w:val="00746CAC"/>
    <w:rsid w:val="00746F9A"/>
    <w:rsid w:val="00746FCB"/>
    <w:rsid w:val="007475F8"/>
    <w:rsid w:val="00747697"/>
    <w:rsid w:val="0074799C"/>
    <w:rsid w:val="007506B6"/>
    <w:rsid w:val="0075085A"/>
    <w:rsid w:val="007508AF"/>
    <w:rsid w:val="00750CCD"/>
    <w:rsid w:val="00751785"/>
    <w:rsid w:val="00751A8F"/>
    <w:rsid w:val="00751ADE"/>
    <w:rsid w:val="007525E2"/>
    <w:rsid w:val="007527A5"/>
    <w:rsid w:val="00752CCB"/>
    <w:rsid w:val="00752FD5"/>
    <w:rsid w:val="0075338A"/>
    <w:rsid w:val="00753A8B"/>
    <w:rsid w:val="0075444A"/>
    <w:rsid w:val="00754A39"/>
    <w:rsid w:val="00754B37"/>
    <w:rsid w:val="00754E63"/>
    <w:rsid w:val="00754F7E"/>
    <w:rsid w:val="00754FA5"/>
    <w:rsid w:val="0075501C"/>
    <w:rsid w:val="007550D8"/>
    <w:rsid w:val="0075521A"/>
    <w:rsid w:val="00755B7E"/>
    <w:rsid w:val="00755C56"/>
    <w:rsid w:val="007566A8"/>
    <w:rsid w:val="00756734"/>
    <w:rsid w:val="0075690D"/>
    <w:rsid w:val="00756916"/>
    <w:rsid w:val="00756A39"/>
    <w:rsid w:val="00757F8F"/>
    <w:rsid w:val="00760643"/>
    <w:rsid w:val="00760946"/>
    <w:rsid w:val="00760B87"/>
    <w:rsid w:val="00760C3D"/>
    <w:rsid w:val="0076104A"/>
    <w:rsid w:val="00761F93"/>
    <w:rsid w:val="00762DB2"/>
    <w:rsid w:val="007634CF"/>
    <w:rsid w:val="00764AF6"/>
    <w:rsid w:val="00764C60"/>
    <w:rsid w:val="00764CEA"/>
    <w:rsid w:val="00764E87"/>
    <w:rsid w:val="00764EC5"/>
    <w:rsid w:val="00764ED9"/>
    <w:rsid w:val="007658FA"/>
    <w:rsid w:val="00765E83"/>
    <w:rsid w:val="00766E3A"/>
    <w:rsid w:val="00766F93"/>
    <w:rsid w:val="00767138"/>
    <w:rsid w:val="007677F0"/>
    <w:rsid w:val="00767888"/>
    <w:rsid w:val="00767BF7"/>
    <w:rsid w:val="00767D6B"/>
    <w:rsid w:val="007702DE"/>
    <w:rsid w:val="00770535"/>
    <w:rsid w:val="00770724"/>
    <w:rsid w:val="00770AAF"/>
    <w:rsid w:val="00771516"/>
    <w:rsid w:val="0077159D"/>
    <w:rsid w:val="00771651"/>
    <w:rsid w:val="007718B9"/>
    <w:rsid w:val="00772283"/>
    <w:rsid w:val="0077290D"/>
    <w:rsid w:val="00772ED2"/>
    <w:rsid w:val="0077375D"/>
    <w:rsid w:val="00773E9E"/>
    <w:rsid w:val="00773EA7"/>
    <w:rsid w:val="00774860"/>
    <w:rsid w:val="00774896"/>
    <w:rsid w:val="00774B99"/>
    <w:rsid w:val="00774BD7"/>
    <w:rsid w:val="00775B9E"/>
    <w:rsid w:val="00775ED8"/>
    <w:rsid w:val="00776440"/>
    <w:rsid w:val="00776836"/>
    <w:rsid w:val="0077694E"/>
    <w:rsid w:val="00776AD5"/>
    <w:rsid w:val="007800E2"/>
    <w:rsid w:val="007802EF"/>
    <w:rsid w:val="0078088C"/>
    <w:rsid w:val="00780B96"/>
    <w:rsid w:val="00781059"/>
    <w:rsid w:val="00781157"/>
    <w:rsid w:val="00781B0E"/>
    <w:rsid w:val="00781D63"/>
    <w:rsid w:val="00781E48"/>
    <w:rsid w:val="0078230A"/>
    <w:rsid w:val="0078259F"/>
    <w:rsid w:val="00782CE7"/>
    <w:rsid w:val="0078359C"/>
    <w:rsid w:val="007835D6"/>
    <w:rsid w:val="0078389F"/>
    <w:rsid w:val="00783F02"/>
    <w:rsid w:val="00783FB9"/>
    <w:rsid w:val="00784346"/>
    <w:rsid w:val="0078452A"/>
    <w:rsid w:val="007853B7"/>
    <w:rsid w:val="00785E5A"/>
    <w:rsid w:val="00785EA6"/>
    <w:rsid w:val="007862B2"/>
    <w:rsid w:val="00786509"/>
    <w:rsid w:val="00786D69"/>
    <w:rsid w:val="007902D3"/>
    <w:rsid w:val="0079092C"/>
    <w:rsid w:val="00790B30"/>
    <w:rsid w:val="0079163C"/>
    <w:rsid w:val="00791FE8"/>
    <w:rsid w:val="0079221B"/>
    <w:rsid w:val="0079229C"/>
    <w:rsid w:val="007925FD"/>
    <w:rsid w:val="00792C0B"/>
    <w:rsid w:val="00793025"/>
    <w:rsid w:val="00793A5F"/>
    <w:rsid w:val="00793A94"/>
    <w:rsid w:val="00793ACD"/>
    <w:rsid w:val="00793E6F"/>
    <w:rsid w:val="007948C7"/>
    <w:rsid w:val="007948F4"/>
    <w:rsid w:val="00794C82"/>
    <w:rsid w:val="007953EC"/>
    <w:rsid w:val="00795407"/>
    <w:rsid w:val="0079575B"/>
    <w:rsid w:val="0079576A"/>
    <w:rsid w:val="007957AF"/>
    <w:rsid w:val="00795829"/>
    <w:rsid w:val="00795A5C"/>
    <w:rsid w:val="0079649C"/>
    <w:rsid w:val="007965F6"/>
    <w:rsid w:val="007967B3"/>
    <w:rsid w:val="00796879"/>
    <w:rsid w:val="00796EC5"/>
    <w:rsid w:val="0079730B"/>
    <w:rsid w:val="007976E6"/>
    <w:rsid w:val="007A01B3"/>
    <w:rsid w:val="007A01D4"/>
    <w:rsid w:val="007A061E"/>
    <w:rsid w:val="007A086E"/>
    <w:rsid w:val="007A0CEF"/>
    <w:rsid w:val="007A0DC0"/>
    <w:rsid w:val="007A0E4D"/>
    <w:rsid w:val="007A0FB8"/>
    <w:rsid w:val="007A18BE"/>
    <w:rsid w:val="007A196E"/>
    <w:rsid w:val="007A1CF8"/>
    <w:rsid w:val="007A1D1A"/>
    <w:rsid w:val="007A1E54"/>
    <w:rsid w:val="007A2415"/>
    <w:rsid w:val="007A2535"/>
    <w:rsid w:val="007A2777"/>
    <w:rsid w:val="007A28CA"/>
    <w:rsid w:val="007A2C57"/>
    <w:rsid w:val="007A43D5"/>
    <w:rsid w:val="007A4469"/>
    <w:rsid w:val="007A4625"/>
    <w:rsid w:val="007A5F03"/>
    <w:rsid w:val="007A6291"/>
    <w:rsid w:val="007A6821"/>
    <w:rsid w:val="007A7A51"/>
    <w:rsid w:val="007A7DD3"/>
    <w:rsid w:val="007B03BA"/>
    <w:rsid w:val="007B0CFA"/>
    <w:rsid w:val="007B1285"/>
    <w:rsid w:val="007B1904"/>
    <w:rsid w:val="007B1F64"/>
    <w:rsid w:val="007B2840"/>
    <w:rsid w:val="007B2B30"/>
    <w:rsid w:val="007B2BC9"/>
    <w:rsid w:val="007B2BD5"/>
    <w:rsid w:val="007B2F75"/>
    <w:rsid w:val="007B375D"/>
    <w:rsid w:val="007B3A07"/>
    <w:rsid w:val="007B3C9F"/>
    <w:rsid w:val="007B42A6"/>
    <w:rsid w:val="007B44D6"/>
    <w:rsid w:val="007B4AD9"/>
    <w:rsid w:val="007B51F8"/>
    <w:rsid w:val="007B56F1"/>
    <w:rsid w:val="007B5A8E"/>
    <w:rsid w:val="007B5F0F"/>
    <w:rsid w:val="007B6678"/>
    <w:rsid w:val="007B670D"/>
    <w:rsid w:val="007B6C1F"/>
    <w:rsid w:val="007B6CD2"/>
    <w:rsid w:val="007B6D20"/>
    <w:rsid w:val="007B6EE1"/>
    <w:rsid w:val="007B6F7D"/>
    <w:rsid w:val="007B76BA"/>
    <w:rsid w:val="007B79D5"/>
    <w:rsid w:val="007B7A44"/>
    <w:rsid w:val="007B7C96"/>
    <w:rsid w:val="007B7CC5"/>
    <w:rsid w:val="007B7E2A"/>
    <w:rsid w:val="007B7FAB"/>
    <w:rsid w:val="007C04AA"/>
    <w:rsid w:val="007C0B86"/>
    <w:rsid w:val="007C0D66"/>
    <w:rsid w:val="007C0F1C"/>
    <w:rsid w:val="007C1108"/>
    <w:rsid w:val="007C12F8"/>
    <w:rsid w:val="007C1723"/>
    <w:rsid w:val="007C17EC"/>
    <w:rsid w:val="007C1A2B"/>
    <w:rsid w:val="007C1B92"/>
    <w:rsid w:val="007C1C89"/>
    <w:rsid w:val="007C20BF"/>
    <w:rsid w:val="007C279D"/>
    <w:rsid w:val="007C2A37"/>
    <w:rsid w:val="007C2B77"/>
    <w:rsid w:val="007C2D69"/>
    <w:rsid w:val="007C2F6B"/>
    <w:rsid w:val="007C33B4"/>
    <w:rsid w:val="007C35BE"/>
    <w:rsid w:val="007C37C0"/>
    <w:rsid w:val="007C3BD7"/>
    <w:rsid w:val="007C3C32"/>
    <w:rsid w:val="007C4B11"/>
    <w:rsid w:val="007C524D"/>
    <w:rsid w:val="007C589D"/>
    <w:rsid w:val="007C5E18"/>
    <w:rsid w:val="007C62C7"/>
    <w:rsid w:val="007C6B8A"/>
    <w:rsid w:val="007C6C40"/>
    <w:rsid w:val="007C7070"/>
    <w:rsid w:val="007C737F"/>
    <w:rsid w:val="007C7814"/>
    <w:rsid w:val="007C793F"/>
    <w:rsid w:val="007C797E"/>
    <w:rsid w:val="007C7AEE"/>
    <w:rsid w:val="007C7BD0"/>
    <w:rsid w:val="007C7DA0"/>
    <w:rsid w:val="007D02E2"/>
    <w:rsid w:val="007D0BA5"/>
    <w:rsid w:val="007D113F"/>
    <w:rsid w:val="007D140E"/>
    <w:rsid w:val="007D15AB"/>
    <w:rsid w:val="007D1732"/>
    <w:rsid w:val="007D1A6D"/>
    <w:rsid w:val="007D20E2"/>
    <w:rsid w:val="007D23A5"/>
    <w:rsid w:val="007D23CE"/>
    <w:rsid w:val="007D25CD"/>
    <w:rsid w:val="007D2DB9"/>
    <w:rsid w:val="007D2EB3"/>
    <w:rsid w:val="007D309A"/>
    <w:rsid w:val="007D339A"/>
    <w:rsid w:val="007D444F"/>
    <w:rsid w:val="007D4D72"/>
    <w:rsid w:val="007D591E"/>
    <w:rsid w:val="007D5F90"/>
    <w:rsid w:val="007D6287"/>
    <w:rsid w:val="007D6363"/>
    <w:rsid w:val="007D699E"/>
    <w:rsid w:val="007D6A0A"/>
    <w:rsid w:val="007D6CBE"/>
    <w:rsid w:val="007D72B0"/>
    <w:rsid w:val="007D7928"/>
    <w:rsid w:val="007E0160"/>
    <w:rsid w:val="007E055A"/>
    <w:rsid w:val="007E081F"/>
    <w:rsid w:val="007E0879"/>
    <w:rsid w:val="007E095F"/>
    <w:rsid w:val="007E1375"/>
    <w:rsid w:val="007E1943"/>
    <w:rsid w:val="007E1DB9"/>
    <w:rsid w:val="007E249B"/>
    <w:rsid w:val="007E29CF"/>
    <w:rsid w:val="007E3435"/>
    <w:rsid w:val="007E3983"/>
    <w:rsid w:val="007E438C"/>
    <w:rsid w:val="007E442F"/>
    <w:rsid w:val="007E523A"/>
    <w:rsid w:val="007E5525"/>
    <w:rsid w:val="007E5FCB"/>
    <w:rsid w:val="007E615D"/>
    <w:rsid w:val="007E7130"/>
    <w:rsid w:val="007E7974"/>
    <w:rsid w:val="007E7BE4"/>
    <w:rsid w:val="007E7C0D"/>
    <w:rsid w:val="007E7C56"/>
    <w:rsid w:val="007F032D"/>
    <w:rsid w:val="007F0482"/>
    <w:rsid w:val="007F10BE"/>
    <w:rsid w:val="007F1599"/>
    <w:rsid w:val="007F162A"/>
    <w:rsid w:val="007F17BB"/>
    <w:rsid w:val="007F1979"/>
    <w:rsid w:val="007F1E38"/>
    <w:rsid w:val="007F2C7D"/>
    <w:rsid w:val="007F2E0E"/>
    <w:rsid w:val="007F35F7"/>
    <w:rsid w:val="007F3661"/>
    <w:rsid w:val="007F36ED"/>
    <w:rsid w:val="007F3A4B"/>
    <w:rsid w:val="007F472D"/>
    <w:rsid w:val="007F4AF0"/>
    <w:rsid w:val="007F57A8"/>
    <w:rsid w:val="007F58D8"/>
    <w:rsid w:val="007F5D8C"/>
    <w:rsid w:val="007F5D93"/>
    <w:rsid w:val="007F6C32"/>
    <w:rsid w:val="007F6DB3"/>
    <w:rsid w:val="007F726E"/>
    <w:rsid w:val="007F728C"/>
    <w:rsid w:val="007F74F5"/>
    <w:rsid w:val="00800BA4"/>
    <w:rsid w:val="00801788"/>
    <w:rsid w:val="00801ACC"/>
    <w:rsid w:val="00802033"/>
    <w:rsid w:val="008021A1"/>
    <w:rsid w:val="00802CD5"/>
    <w:rsid w:val="00803358"/>
    <w:rsid w:val="008035A5"/>
    <w:rsid w:val="008039D8"/>
    <w:rsid w:val="00803DA0"/>
    <w:rsid w:val="00804062"/>
    <w:rsid w:val="008042E3"/>
    <w:rsid w:val="00805A96"/>
    <w:rsid w:val="00806559"/>
    <w:rsid w:val="00806575"/>
    <w:rsid w:val="00806619"/>
    <w:rsid w:val="00806E87"/>
    <w:rsid w:val="00806E94"/>
    <w:rsid w:val="00807825"/>
    <w:rsid w:val="00807ACA"/>
    <w:rsid w:val="008107FA"/>
    <w:rsid w:val="00810E31"/>
    <w:rsid w:val="00810EBC"/>
    <w:rsid w:val="008110DA"/>
    <w:rsid w:val="008112B1"/>
    <w:rsid w:val="008112D2"/>
    <w:rsid w:val="0081147F"/>
    <w:rsid w:val="00811E50"/>
    <w:rsid w:val="0081221C"/>
    <w:rsid w:val="0081230C"/>
    <w:rsid w:val="00812A44"/>
    <w:rsid w:val="00813176"/>
    <w:rsid w:val="00813EEE"/>
    <w:rsid w:val="008142CF"/>
    <w:rsid w:val="008142F8"/>
    <w:rsid w:val="008143AD"/>
    <w:rsid w:val="0081498B"/>
    <w:rsid w:val="00815308"/>
    <w:rsid w:val="008154B4"/>
    <w:rsid w:val="0081646F"/>
    <w:rsid w:val="00816511"/>
    <w:rsid w:val="008166FA"/>
    <w:rsid w:val="00816BE3"/>
    <w:rsid w:val="00817254"/>
    <w:rsid w:val="0081767F"/>
    <w:rsid w:val="00817742"/>
    <w:rsid w:val="00817885"/>
    <w:rsid w:val="0082066C"/>
    <w:rsid w:val="00820BE4"/>
    <w:rsid w:val="00820E3C"/>
    <w:rsid w:val="00821CA9"/>
    <w:rsid w:val="0082207A"/>
    <w:rsid w:val="00822E96"/>
    <w:rsid w:val="00823604"/>
    <w:rsid w:val="00823637"/>
    <w:rsid w:val="00823C3A"/>
    <w:rsid w:val="00824679"/>
    <w:rsid w:val="008249B7"/>
    <w:rsid w:val="00824DC4"/>
    <w:rsid w:val="00824F1D"/>
    <w:rsid w:val="00825289"/>
    <w:rsid w:val="008252CC"/>
    <w:rsid w:val="00825432"/>
    <w:rsid w:val="008258B1"/>
    <w:rsid w:val="00825B95"/>
    <w:rsid w:val="0082633C"/>
    <w:rsid w:val="008267A8"/>
    <w:rsid w:val="00826810"/>
    <w:rsid w:val="00826BC2"/>
    <w:rsid w:val="00826E34"/>
    <w:rsid w:val="00826FCA"/>
    <w:rsid w:val="008270F2"/>
    <w:rsid w:val="0082726D"/>
    <w:rsid w:val="008272B1"/>
    <w:rsid w:val="0082737C"/>
    <w:rsid w:val="0082755A"/>
    <w:rsid w:val="00827593"/>
    <w:rsid w:val="00827636"/>
    <w:rsid w:val="00827A0E"/>
    <w:rsid w:val="0083046B"/>
    <w:rsid w:val="00830872"/>
    <w:rsid w:val="00830C43"/>
    <w:rsid w:val="00830EB4"/>
    <w:rsid w:val="00831F55"/>
    <w:rsid w:val="0083308E"/>
    <w:rsid w:val="00833101"/>
    <w:rsid w:val="0083312E"/>
    <w:rsid w:val="0083331E"/>
    <w:rsid w:val="00833C4C"/>
    <w:rsid w:val="00833C69"/>
    <w:rsid w:val="00833E24"/>
    <w:rsid w:val="0083429E"/>
    <w:rsid w:val="0083431F"/>
    <w:rsid w:val="00834E6F"/>
    <w:rsid w:val="00835143"/>
    <w:rsid w:val="00836004"/>
    <w:rsid w:val="00836875"/>
    <w:rsid w:val="00837051"/>
    <w:rsid w:val="008371D6"/>
    <w:rsid w:val="008371EC"/>
    <w:rsid w:val="0083745F"/>
    <w:rsid w:val="0084020D"/>
    <w:rsid w:val="0084036C"/>
    <w:rsid w:val="008408C9"/>
    <w:rsid w:val="00840940"/>
    <w:rsid w:val="008415DB"/>
    <w:rsid w:val="008417F5"/>
    <w:rsid w:val="00841C03"/>
    <w:rsid w:val="00842176"/>
    <w:rsid w:val="008425C3"/>
    <w:rsid w:val="00842716"/>
    <w:rsid w:val="00842996"/>
    <w:rsid w:val="00843302"/>
    <w:rsid w:val="0084440C"/>
    <w:rsid w:val="00844986"/>
    <w:rsid w:val="00844A56"/>
    <w:rsid w:val="00844B99"/>
    <w:rsid w:val="0084537F"/>
    <w:rsid w:val="00845C80"/>
    <w:rsid w:val="00845CC8"/>
    <w:rsid w:val="00845D5C"/>
    <w:rsid w:val="00846502"/>
    <w:rsid w:val="00846906"/>
    <w:rsid w:val="00846CFC"/>
    <w:rsid w:val="00846E7B"/>
    <w:rsid w:val="008472C4"/>
    <w:rsid w:val="0084741F"/>
    <w:rsid w:val="00847936"/>
    <w:rsid w:val="00847DB8"/>
    <w:rsid w:val="00847FBA"/>
    <w:rsid w:val="008504DD"/>
    <w:rsid w:val="00850505"/>
    <w:rsid w:val="00851555"/>
    <w:rsid w:val="0085198C"/>
    <w:rsid w:val="00851D16"/>
    <w:rsid w:val="00851F45"/>
    <w:rsid w:val="0085211E"/>
    <w:rsid w:val="00852324"/>
    <w:rsid w:val="008529C5"/>
    <w:rsid w:val="00852B39"/>
    <w:rsid w:val="00852E9C"/>
    <w:rsid w:val="00853049"/>
    <w:rsid w:val="008530A4"/>
    <w:rsid w:val="0085325F"/>
    <w:rsid w:val="00853B0E"/>
    <w:rsid w:val="00853F57"/>
    <w:rsid w:val="00853FE6"/>
    <w:rsid w:val="00853FFE"/>
    <w:rsid w:val="008549A6"/>
    <w:rsid w:val="00854D8A"/>
    <w:rsid w:val="00854DA3"/>
    <w:rsid w:val="00854F46"/>
    <w:rsid w:val="008551ED"/>
    <w:rsid w:val="00855434"/>
    <w:rsid w:val="008557A2"/>
    <w:rsid w:val="00855CC4"/>
    <w:rsid w:val="00855EAC"/>
    <w:rsid w:val="00855FDB"/>
    <w:rsid w:val="0085652F"/>
    <w:rsid w:val="00856ADB"/>
    <w:rsid w:val="00856C75"/>
    <w:rsid w:val="00856DF2"/>
    <w:rsid w:val="00857224"/>
    <w:rsid w:val="00857401"/>
    <w:rsid w:val="00857B5E"/>
    <w:rsid w:val="00857B6F"/>
    <w:rsid w:val="00860151"/>
    <w:rsid w:val="0086037B"/>
    <w:rsid w:val="0086076E"/>
    <w:rsid w:val="00861172"/>
    <w:rsid w:val="00861650"/>
    <w:rsid w:val="0086172F"/>
    <w:rsid w:val="0086207B"/>
    <w:rsid w:val="00862729"/>
    <w:rsid w:val="00862A34"/>
    <w:rsid w:val="00862DE0"/>
    <w:rsid w:val="00862E8B"/>
    <w:rsid w:val="0086339E"/>
    <w:rsid w:val="008637C1"/>
    <w:rsid w:val="00863C97"/>
    <w:rsid w:val="00865582"/>
    <w:rsid w:val="008656A0"/>
    <w:rsid w:val="00865837"/>
    <w:rsid w:val="0086593A"/>
    <w:rsid w:val="00865A6E"/>
    <w:rsid w:val="008662B3"/>
    <w:rsid w:val="008669D2"/>
    <w:rsid w:val="00866B5A"/>
    <w:rsid w:val="00866BAC"/>
    <w:rsid w:val="00866EC3"/>
    <w:rsid w:val="00866F4A"/>
    <w:rsid w:val="00867167"/>
    <w:rsid w:val="00867B49"/>
    <w:rsid w:val="00867F23"/>
    <w:rsid w:val="00870237"/>
    <w:rsid w:val="00870883"/>
    <w:rsid w:val="008708E1"/>
    <w:rsid w:val="00870EC7"/>
    <w:rsid w:val="00871328"/>
    <w:rsid w:val="008713C1"/>
    <w:rsid w:val="00871C16"/>
    <w:rsid w:val="00871EE4"/>
    <w:rsid w:val="008724C4"/>
    <w:rsid w:val="0087261B"/>
    <w:rsid w:val="00873115"/>
    <w:rsid w:val="00873A6C"/>
    <w:rsid w:val="00873BC6"/>
    <w:rsid w:val="0087403A"/>
    <w:rsid w:val="008742B5"/>
    <w:rsid w:val="00874466"/>
    <w:rsid w:val="0087486F"/>
    <w:rsid w:val="00874C05"/>
    <w:rsid w:val="00874EBE"/>
    <w:rsid w:val="008754E3"/>
    <w:rsid w:val="008759E3"/>
    <w:rsid w:val="00875BE3"/>
    <w:rsid w:val="00876507"/>
    <w:rsid w:val="0087690C"/>
    <w:rsid w:val="0087691A"/>
    <w:rsid w:val="008769C8"/>
    <w:rsid w:val="008773CA"/>
    <w:rsid w:val="008775AD"/>
    <w:rsid w:val="00877D39"/>
    <w:rsid w:val="00880838"/>
    <w:rsid w:val="00880B06"/>
    <w:rsid w:val="00880CAE"/>
    <w:rsid w:val="00880EAC"/>
    <w:rsid w:val="00880F3C"/>
    <w:rsid w:val="008810AD"/>
    <w:rsid w:val="00881C14"/>
    <w:rsid w:val="008828AB"/>
    <w:rsid w:val="00882ADF"/>
    <w:rsid w:val="00882F57"/>
    <w:rsid w:val="00883CCD"/>
    <w:rsid w:val="00883DCF"/>
    <w:rsid w:val="00883DF4"/>
    <w:rsid w:val="00884579"/>
    <w:rsid w:val="0088478C"/>
    <w:rsid w:val="00884960"/>
    <w:rsid w:val="00884962"/>
    <w:rsid w:val="00884C7D"/>
    <w:rsid w:val="00884F9B"/>
    <w:rsid w:val="008852A5"/>
    <w:rsid w:val="0088531E"/>
    <w:rsid w:val="00885878"/>
    <w:rsid w:val="00885A8C"/>
    <w:rsid w:val="00885C2F"/>
    <w:rsid w:val="00886A84"/>
    <w:rsid w:val="00887308"/>
    <w:rsid w:val="008877BF"/>
    <w:rsid w:val="00887839"/>
    <w:rsid w:val="00887FEE"/>
    <w:rsid w:val="00890905"/>
    <w:rsid w:val="0089101E"/>
    <w:rsid w:val="0089158C"/>
    <w:rsid w:val="008916E5"/>
    <w:rsid w:val="00891786"/>
    <w:rsid w:val="008933E9"/>
    <w:rsid w:val="008934D4"/>
    <w:rsid w:val="008938E6"/>
    <w:rsid w:val="00894049"/>
    <w:rsid w:val="008942CB"/>
    <w:rsid w:val="00894466"/>
    <w:rsid w:val="008948B8"/>
    <w:rsid w:val="00894A88"/>
    <w:rsid w:val="00894AF1"/>
    <w:rsid w:val="00894CF1"/>
    <w:rsid w:val="008950C6"/>
    <w:rsid w:val="00896861"/>
    <w:rsid w:val="00896DB1"/>
    <w:rsid w:val="00896EC0"/>
    <w:rsid w:val="00896F84"/>
    <w:rsid w:val="00896F95"/>
    <w:rsid w:val="00897073"/>
    <w:rsid w:val="008975EB"/>
    <w:rsid w:val="00897710"/>
    <w:rsid w:val="00897E4D"/>
    <w:rsid w:val="008A0131"/>
    <w:rsid w:val="008A0A7C"/>
    <w:rsid w:val="008A0B73"/>
    <w:rsid w:val="008A0C6B"/>
    <w:rsid w:val="008A0E88"/>
    <w:rsid w:val="008A0ECC"/>
    <w:rsid w:val="008A0FC7"/>
    <w:rsid w:val="008A142F"/>
    <w:rsid w:val="008A1F69"/>
    <w:rsid w:val="008A2B86"/>
    <w:rsid w:val="008A2DD9"/>
    <w:rsid w:val="008A35A4"/>
    <w:rsid w:val="008A3A12"/>
    <w:rsid w:val="008A3AB1"/>
    <w:rsid w:val="008A4526"/>
    <w:rsid w:val="008A48C2"/>
    <w:rsid w:val="008A55F7"/>
    <w:rsid w:val="008A57F8"/>
    <w:rsid w:val="008A5A1A"/>
    <w:rsid w:val="008A6105"/>
    <w:rsid w:val="008A6197"/>
    <w:rsid w:val="008A63FF"/>
    <w:rsid w:val="008A656F"/>
    <w:rsid w:val="008A65F3"/>
    <w:rsid w:val="008A6AFB"/>
    <w:rsid w:val="008A6C7A"/>
    <w:rsid w:val="008A7025"/>
    <w:rsid w:val="008A71F4"/>
    <w:rsid w:val="008A757A"/>
    <w:rsid w:val="008B02A6"/>
    <w:rsid w:val="008B03B6"/>
    <w:rsid w:val="008B05DE"/>
    <w:rsid w:val="008B08AF"/>
    <w:rsid w:val="008B18A4"/>
    <w:rsid w:val="008B1C1C"/>
    <w:rsid w:val="008B228C"/>
    <w:rsid w:val="008B234A"/>
    <w:rsid w:val="008B244F"/>
    <w:rsid w:val="008B26B5"/>
    <w:rsid w:val="008B32DB"/>
    <w:rsid w:val="008B42D9"/>
    <w:rsid w:val="008B4F22"/>
    <w:rsid w:val="008B60EB"/>
    <w:rsid w:val="008B636F"/>
    <w:rsid w:val="008B63EB"/>
    <w:rsid w:val="008B652D"/>
    <w:rsid w:val="008B6656"/>
    <w:rsid w:val="008B6EF1"/>
    <w:rsid w:val="008B74D6"/>
    <w:rsid w:val="008C0037"/>
    <w:rsid w:val="008C03AD"/>
    <w:rsid w:val="008C04C8"/>
    <w:rsid w:val="008C0919"/>
    <w:rsid w:val="008C11CD"/>
    <w:rsid w:val="008C14D1"/>
    <w:rsid w:val="008C2A63"/>
    <w:rsid w:val="008C2AB9"/>
    <w:rsid w:val="008C2DDF"/>
    <w:rsid w:val="008C32B9"/>
    <w:rsid w:val="008C3BA9"/>
    <w:rsid w:val="008C3D61"/>
    <w:rsid w:val="008C3D75"/>
    <w:rsid w:val="008C3DA5"/>
    <w:rsid w:val="008C3EAB"/>
    <w:rsid w:val="008C3EFB"/>
    <w:rsid w:val="008C440F"/>
    <w:rsid w:val="008C4740"/>
    <w:rsid w:val="008C48BA"/>
    <w:rsid w:val="008C48F7"/>
    <w:rsid w:val="008C49F5"/>
    <w:rsid w:val="008C4A8B"/>
    <w:rsid w:val="008C4ACA"/>
    <w:rsid w:val="008C5A97"/>
    <w:rsid w:val="008C5B8C"/>
    <w:rsid w:val="008C63C1"/>
    <w:rsid w:val="008C67D3"/>
    <w:rsid w:val="008C6955"/>
    <w:rsid w:val="008C6D37"/>
    <w:rsid w:val="008C6F47"/>
    <w:rsid w:val="008C76FE"/>
    <w:rsid w:val="008C7CDC"/>
    <w:rsid w:val="008D0061"/>
    <w:rsid w:val="008D02F7"/>
    <w:rsid w:val="008D0382"/>
    <w:rsid w:val="008D0456"/>
    <w:rsid w:val="008D0A39"/>
    <w:rsid w:val="008D14B4"/>
    <w:rsid w:val="008D1F95"/>
    <w:rsid w:val="008D23E0"/>
    <w:rsid w:val="008D26D6"/>
    <w:rsid w:val="008D27CD"/>
    <w:rsid w:val="008D2DEF"/>
    <w:rsid w:val="008D3A9E"/>
    <w:rsid w:val="008D3C96"/>
    <w:rsid w:val="008D3E58"/>
    <w:rsid w:val="008D476A"/>
    <w:rsid w:val="008D48CB"/>
    <w:rsid w:val="008D4DF4"/>
    <w:rsid w:val="008D567E"/>
    <w:rsid w:val="008D5DDE"/>
    <w:rsid w:val="008D5E7D"/>
    <w:rsid w:val="008D6046"/>
    <w:rsid w:val="008D634B"/>
    <w:rsid w:val="008D64C1"/>
    <w:rsid w:val="008D65A4"/>
    <w:rsid w:val="008D682D"/>
    <w:rsid w:val="008D6925"/>
    <w:rsid w:val="008D6C65"/>
    <w:rsid w:val="008D6F08"/>
    <w:rsid w:val="008D74A5"/>
    <w:rsid w:val="008D79B7"/>
    <w:rsid w:val="008D7A94"/>
    <w:rsid w:val="008E0189"/>
    <w:rsid w:val="008E01A9"/>
    <w:rsid w:val="008E0D4E"/>
    <w:rsid w:val="008E0EBC"/>
    <w:rsid w:val="008E0EFC"/>
    <w:rsid w:val="008E146D"/>
    <w:rsid w:val="008E1EE8"/>
    <w:rsid w:val="008E21F0"/>
    <w:rsid w:val="008E2C67"/>
    <w:rsid w:val="008E2D48"/>
    <w:rsid w:val="008E2E29"/>
    <w:rsid w:val="008E32E9"/>
    <w:rsid w:val="008E333C"/>
    <w:rsid w:val="008E38F8"/>
    <w:rsid w:val="008E46F4"/>
    <w:rsid w:val="008E47FA"/>
    <w:rsid w:val="008E4973"/>
    <w:rsid w:val="008E4C17"/>
    <w:rsid w:val="008E53AD"/>
    <w:rsid w:val="008E59A1"/>
    <w:rsid w:val="008E6392"/>
    <w:rsid w:val="008E64E5"/>
    <w:rsid w:val="008E7147"/>
    <w:rsid w:val="008E714A"/>
    <w:rsid w:val="008E7A59"/>
    <w:rsid w:val="008E7F89"/>
    <w:rsid w:val="008F0274"/>
    <w:rsid w:val="008F04E6"/>
    <w:rsid w:val="008F05C7"/>
    <w:rsid w:val="008F0A16"/>
    <w:rsid w:val="008F0FF3"/>
    <w:rsid w:val="008F12E6"/>
    <w:rsid w:val="008F1BE2"/>
    <w:rsid w:val="008F2C1F"/>
    <w:rsid w:val="008F3116"/>
    <w:rsid w:val="008F340D"/>
    <w:rsid w:val="008F364A"/>
    <w:rsid w:val="008F3957"/>
    <w:rsid w:val="008F3AAB"/>
    <w:rsid w:val="008F3C6E"/>
    <w:rsid w:val="008F3EAE"/>
    <w:rsid w:val="008F4078"/>
    <w:rsid w:val="008F4855"/>
    <w:rsid w:val="008F4C72"/>
    <w:rsid w:val="008F5CE1"/>
    <w:rsid w:val="008F62ED"/>
    <w:rsid w:val="008F6DD2"/>
    <w:rsid w:val="008F7087"/>
    <w:rsid w:val="008F79FA"/>
    <w:rsid w:val="009001C0"/>
    <w:rsid w:val="00900A07"/>
    <w:rsid w:val="00900EFE"/>
    <w:rsid w:val="00901197"/>
    <w:rsid w:val="009022AC"/>
    <w:rsid w:val="00902A09"/>
    <w:rsid w:val="00902A67"/>
    <w:rsid w:val="00903232"/>
    <w:rsid w:val="009033B9"/>
    <w:rsid w:val="00903CDF"/>
    <w:rsid w:val="009045F7"/>
    <w:rsid w:val="00905038"/>
    <w:rsid w:val="0090589C"/>
    <w:rsid w:val="0090591E"/>
    <w:rsid w:val="00905ECE"/>
    <w:rsid w:val="0090603D"/>
    <w:rsid w:val="00906D10"/>
    <w:rsid w:val="00907217"/>
    <w:rsid w:val="009101DD"/>
    <w:rsid w:val="00910238"/>
    <w:rsid w:val="0091087D"/>
    <w:rsid w:val="00910A33"/>
    <w:rsid w:val="00910BEF"/>
    <w:rsid w:val="00911798"/>
    <w:rsid w:val="00911BA5"/>
    <w:rsid w:val="00911C62"/>
    <w:rsid w:val="00912668"/>
    <w:rsid w:val="00912BBA"/>
    <w:rsid w:val="00912E23"/>
    <w:rsid w:val="009130D2"/>
    <w:rsid w:val="009133EA"/>
    <w:rsid w:val="00913B1E"/>
    <w:rsid w:val="00914338"/>
    <w:rsid w:val="00914494"/>
    <w:rsid w:val="0091480C"/>
    <w:rsid w:val="009157BE"/>
    <w:rsid w:val="00915C98"/>
    <w:rsid w:val="0091603F"/>
    <w:rsid w:val="009161B8"/>
    <w:rsid w:val="009163E5"/>
    <w:rsid w:val="009170EE"/>
    <w:rsid w:val="00917781"/>
    <w:rsid w:val="00917857"/>
    <w:rsid w:val="00917DBB"/>
    <w:rsid w:val="00917FF7"/>
    <w:rsid w:val="0092015A"/>
    <w:rsid w:val="0092018E"/>
    <w:rsid w:val="009203BD"/>
    <w:rsid w:val="009205E5"/>
    <w:rsid w:val="00920809"/>
    <w:rsid w:val="00920D14"/>
    <w:rsid w:val="009212F6"/>
    <w:rsid w:val="00921874"/>
    <w:rsid w:val="00922116"/>
    <w:rsid w:val="009222E5"/>
    <w:rsid w:val="009228FB"/>
    <w:rsid w:val="00922D90"/>
    <w:rsid w:val="00922F4C"/>
    <w:rsid w:val="009233BD"/>
    <w:rsid w:val="0092387A"/>
    <w:rsid w:val="00923ADF"/>
    <w:rsid w:val="00923C1A"/>
    <w:rsid w:val="00924427"/>
    <w:rsid w:val="009247D9"/>
    <w:rsid w:val="00924C5E"/>
    <w:rsid w:val="00924F35"/>
    <w:rsid w:val="0092536F"/>
    <w:rsid w:val="00925BB4"/>
    <w:rsid w:val="00925BD9"/>
    <w:rsid w:val="00925BDB"/>
    <w:rsid w:val="00927E06"/>
    <w:rsid w:val="009301A8"/>
    <w:rsid w:val="0093079B"/>
    <w:rsid w:val="00931185"/>
    <w:rsid w:val="0093143E"/>
    <w:rsid w:val="00931D56"/>
    <w:rsid w:val="00932421"/>
    <w:rsid w:val="00932A02"/>
    <w:rsid w:val="00932EB3"/>
    <w:rsid w:val="00933039"/>
    <w:rsid w:val="00933869"/>
    <w:rsid w:val="00934111"/>
    <w:rsid w:val="009349C9"/>
    <w:rsid w:val="00934CFE"/>
    <w:rsid w:val="0093502C"/>
    <w:rsid w:val="009351AB"/>
    <w:rsid w:val="00935365"/>
    <w:rsid w:val="0093580E"/>
    <w:rsid w:val="00935A93"/>
    <w:rsid w:val="00936060"/>
    <w:rsid w:val="00936560"/>
    <w:rsid w:val="009371AD"/>
    <w:rsid w:val="009377F9"/>
    <w:rsid w:val="009379AA"/>
    <w:rsid w:val="00937CC9"/>
    <w:rsid w:val="00940976"/>
    <w:rsid w:val="00940E4A"/>
    <w:rsid w:val="009412B3"/>
    <w:rsid w:val="0094131D"/>
    <w:rsid w:val="00941698"/>
    <w:rsid w:val="0094190A"/>
    <w:rsid w:val="00941D74"/>
    <w:rsid w:val="00942643"/>
    <w:rsid w:val="009429FE"/>
    <w:rsid w:val="00942B39"/>
    <w:rsid w:val="00942CD8"/>
    <w:rsid w:val="00942D13"/>
    <w:rsid w:val="009430F1"/>
    <w:rsid w:val="0094311B"/>
    <w:rsid w:val="009433D2"/>
    <w:rsid w:val="009434E6"/>
    <w:rsid w:val="00944008"/>
    <w:rsid w:val="0094419B"/>
    <w:rsid w:val="00944427"/>
    <w:rsid w:val="0094471A"/>
    <w:rsid w:val="0094537E"/>
    <w:rsid w:val="00945414"/>
    <w:rsid w:val="009458A1"/>
    <w:rsid w:val="00946BE8"/>
    <w:rsid w:val="00946C11"/>
    <w:rsid w:val="00946EF2"/>
    <w:rsid w:val="00946F47"/>
    <w:rsid w:val="00946F57"/>
    <w:rsid w:val="00947074"/>
    <w:rsid w:val="0095027F"/>
    <w:rsid w:val="00950790"/>
    <w:rsid w:val="00950928"/>
    <w:rsid w:val="009509F6"/>
    <w:rsid w:val="00950B93"/>
    <w:rsid w:val="00950CB2"/>
    <w:rsid w:val="00952880"/>
    <w:rsid w:val="00952978"/>
    <w:rsid w:val="00952B08"/>
    <w:rsid w:val="00952F15"/>
    <w:rsid w:val="00953960"/>
    <w:rsid w:val="0095396D"/>
    <w:rsid w:val="00953D89"/>
    <w:rsid w:val="009544FC"/>
    <w:rsid w:val="00954AAD"/>
    <w:rsid w:val="009557B4"/>
    <w:rsid w:val="00955D3C"/>
    <w:rsid w:val="00955F81"/>
    <w:rsid w:val="009562BE"/>
    <w:rsid w:val="00956460"/>
    <w:rsid w:val="00956B1D"/>
    <w:rsid w:val="00957292"/>
    <w:rsid w:val="009576C9"/>
    <w:rsid w:val="00957938"/>
    <w:rsid w:val="00957BB8"/>
    <w:rsid w:val="00957BDF"/>
    <w:rsid w:val="00957DD0"/>
    <w:rsid w:val="00957F5E"/>
    <w:rsid w:val="00960259"/>
    <w:rsid w:val="00960876"/>
    <w:rsid w:val="009609A7"/>
    <w:rsid w:val="00960BD4"/>
    <w:rsid w:val="00960C4A"/>
    <w:rsid w:val="00961141"/>
    <w:rsid w:val="00961211"/>
    <w:rsid w:val="00961DE3"/>
    <w:rsid w:val="009625DD"/>
    <w:rsid w:val="0096286B"/>
    <w:rsid w:val="009629FB"/>
    <w:rsid w:val="00962C5A"/>
    <w:rsid w:val="009630C8"/>
    <w:rsid w:val="00963345"/>
    <w:rsid w:val="00963C2B"/>
    <w:rsid w:val="00964296"/>
    <w:rsid w:val="00964539"/>
    <w:rsid w:val="0096513B"/>
    <w:rsid w:val="00965898"/>
    <w:rsid w:val="00965DA4"/>
    <w:rsid w:val="009665A5"/>
    <w:rsid w:val="009669B5"/>
    <w:rsid w:val="009676F3"/>
    <w:rsid w:val="0096782E"/>
    <w:rsid w:val="00967E18"/>
    <w:rsid w:val="00970080"/>
    <w:rsid w:val="0097013A"/>
    <w:rsid w:val="00970CAD"/>
    <w:rsid w:val="00970D13"/>
    <w:rsid w:val="00970D19"/>
    <w:rsid w:val="009717E1"/>
    <w:rsid w:val="00971BB2"/>
    <w:rsid w:val="00971C7D"/>
    <w:rsid w:val="0097210B"/>
    <w:rsid w:val="00972E03"/>
    <w:rsid w:val="00972F70"/>
    <w:rsid w:val="009730A6"/>
    <w:rsid w:val="009732A4"/>
    <w:rsid w:val="009732E3"/>
    <w:rsid w:val="00973654"/>
    <w:rsid w:val="009737EE"/>
    <w:rsid w:val="009745C7"/>
    <w:rsid w:val="0097521A"/>
    <w:rsid w:val="009753AB"/>
    <w:rsid w:val="00976224"/>
    <w:rsid w:val="009768B0"/>
    <w:rsid w:val="00976CC9"/>
    <w:rsid w:val="009773DD"/>
    <w:rsid w:val="0097742A"/>
    <w:rsid w:val="00977471"/>
    <w:rsid w:val="00977783"/>
    <w:rsid w:val="00977A7C"/>
    <w:rsid w:val="00977AC1"/>
    <w:rsid w:val="00980103"/>
    <w:rsid w:val="009804B7"/>
    <w:rsid w:val="00980E11"/>
    <w:rsid w:val="0098149A"/>
    <w:rsid w:val="0098162C"/>
    <w:rsid w:val="00982255"/>
    <w:rsid w:val="00982308"/>
    <w:rsid w:val="0098272F"/>
    <w:rsid w:val="00982943"/>
    <w:rsid w:val="00982A6B"/>
    <w:rsid w:val="00982F05"/>
    <w:rsid w:val="0098307D"/>
    <w:rsid w:val="00983F32"/>
    <w:rsid w:val="00983F7D"/>
    <w:rsid w:val="00983FED"/>
    <w:rsid w:val="0098401B"/>
    <w:rsid w:val="009843C7"/>
    <w:rsid w:val="0098494E"/>
    <w:rsid w:val="00984C18"/>
    <w:rsid w:val="00985181"/>
    <w:rsid w:val="009851B3"/>
    <w:rsid w:val="009855F1"/>
    <w:rsid w:val="00985A02"/>
    <w:rsid w:val="00985A13"/>
    <w:rsid w:val="00985B59"/>
    <w:rsid w:val="009860F1"/>
    <w:rsid w:val="00986846"/>
    <w:rsid w:val="00986C50"/>
    <w:rsid w:val="00986C6C"/>
    <w:rsid w:val="00987018"/>
    <w:rsid w:val="00987675"/>
    <w:rsid w:val="009876C5"/>
    <w:rsid w:val="00990091"/>
    <w:rsid w:val="0099032F"/>
    <w:rsid w:val="0099035A"/>
    <w:rsid w:val="00990966"/>
    <w:rsid w:val="00991236"/>
    <w:rsid w:val="00991756"/>
    <w:rsid w:val="0099245B"/>
    <w:rsid w:val="00992DAB"/>
    <w:rsid w:val="00992E9B"/>
    <w:rsid w:val="00993105"/>
    <w:rsid w:val="009950EE"/>
    <w:rsid w:val="00995260"/>
    <w:rsid w:val="009953C3"/>
    <w:rsid w:val="0099544C"/>
    <w:rsid w:val="00995F84"/>
    <w:rsid w:val="00996816"/>
    <w:rsid w:val="0099695D"/>
    <w:rsid w:val="00996CE1"/>
    <w:rsid w:val="009975A2"/>
    <w:rsid w:val="00997727"/>
    <w:rsid w:val="0099786C"/>
    <w:rsid w:val="009A05CB"/>
    <w:rsid w:val="009A0730"/>
    <w:rsid w:val="009A0771"/>
    <w:rsid w:val="009A07F7"/>
    <w:rsid w:val="009A099C"/>
    <w:rsid w:val="009A0A8D"/>
    <w:rsid w:val="009A0E66"/>
    <w:rsid w:val="009A1000"/>
    <w:rsid w:val="009A1521"/>
    <w:rsid w:val="009A1B1E"/>
    <w:rsid w:val="009A1E57"/>
    <w:rsid w:val="009A2055"/>
    <w:rsid w:val="009A24B3"/>
    <w:rsid w:val="009A254B"/>
    <w:rsid w:val="009A274D"/>
    <w:rsid w:val="009A36AC"/>
    <w:rsid w:val="009A385C"/>
    <w:rsid w:val="009A3922"/>
    <w:rsid w:val="009A3932"/>
    <w:rsid w:val="009A3B48"/>
    <w:rsid w:val="009A4133"/>
    <w:rsid w:val="009A414E"/>
    <w:rsid w:val="009A4917"/>
    <w:rsid w:val="009A539D"/>
    <w:rsid w:val="009A53E3"/>
    <w:rsid w:val="009A56FD"/>
    <w:rsid w:val="009A59E1"/>
    <w:rsid w:val="009A6777"/>
    <w:rsid w:val="009A695F"/>
    <w:rsid w:val="009A6A60"/>
    <w:rsid w:val="009A6AA9"/>
    <w:rsid w:val="009A6E3C"/>
    <w:rsid w:val="009A709F"/>
    <w:rsid w:val="009A716F"/>
    <w:rsid w:val="009A72BF"/>
    <w:rsid w:val="009A7AB1"/>
    <w:rsid w:val="009A7EBA"/>
    <w:rsid w:val="009A7F5F"/>
    <w:rsid w:val="009B01B7"/>
    <w:rsid w:val="009B086B"/>
    <w:rsid w:val="009B108C"/>
    <w:rsid w:val="009B11CB"/>
    <w:rsid w:val="009B1445"/>
    <w:rsid w:val="009B1520"/>
    <w:rsid w:val="009B185E"/>
    <w:rsid w:val="009B18C3"/>
    <w:rsid w:val="009B1DFD"/>
    <w:rsid w:val="009B2082"/>
    <w:rsid w:val="009B232A"/>
    <w:rsid w:val="009B2333"/>
    <w:rsid w:val="009B2BE1"/>
    <w:rsid w:val="009B338A"/>
    <w:rsid w:val="009B35FE"/>
    <w:rsid w:val="009B3E45"/>
    <w:rsid w:val="009B3FC5"/>
    <w:rsid w:val="009B44CA"/>
    <w:rsid w:val="009B482E"/>
    <w:rsid w:val="009B4C74"/>
    <w:rsid w:val="009B5382"/>
    <w:rsid w:val="009B570F"/>
    <w:rsid w:val="009B5A20"/>
    <w:rsid w:val="009B5C48"/>
    <w:rsid w:val="009B5CDC"/>
    <w:rsid w:val="009B60BE"/>
    <w:rsid w:val="009B62CF"/>
    <w:rsid w:val="009B633F"/>
    <w:rsid w:val="009B6397"/>
    <w:rsid w:val="009B6763"/>
    <w:rsid w:val="009B67CE"/>
    <w:rsid w:val="009B67D1"/>
    <w:rsid w:val="009B6A14"/>
    <w:rsid w:val="009B6B0A"/>
    <w:rsid w:val="009B6C4C"/>
    <w:rsid w:val="009B6EC0"/>
    <w:rsid w:val="009B72CA"/>
    <w:rsid w:val="009B7636"/>
    <w:rsid w:val="009B795A"/>
    <w:rsid w:val="009B7B0C"/>
    <w:rsid w:val="009C09FB"/>
    <w:rsid w:val="009C0BE4"/>
    <w:rsid w:val="009C1374"/>
    <w:rsid w:val="009C172B"/>
    <w:rsid w:val="009C177A"/>
    <w:rsid w:val="009C191F"/>
    <w:rsid w:val="009C2318"/>
    <w:rsid w:val="009C24B8"/>
    <w:rsid w:val="009C2583"/>
    <w:rsid w:val="009C359E"/>
    <w:rsid w:val="009C45CB"/>
    <w:rsid w:val="009C5197"/>
    <w:rsid w:val="009C52B7"/>
    <w:rsid w:val="009C5385"/>
    <w:rsid w:val="009C5CF8"/>
    <w:rsid w:val="009C763F"/>
    <w:rsid w:val="009C76E3"/>
    <w:rsid w:val="009C7FF1"/>
    <w:rsid w:val="009D013D"/>
    <w:rsid w:val="009D0611"/>
    <w:rsid w:val="009D0BCF"/>
    <w:rsid w:val="009D0CFB"/>
    <w:rsid w:val="009D0FDF"/>
    <w:rsid w:val="009D1090"/>
    <w:rsid w:val="009D1743"/>
    <w:rsid w:val="009D1B0C"/>
    <w:rsid w:val="009D1B11"/>
    <w:rsid w:val="009D1CF7"/>
    <w:rsid w:val="009D21FD"/>
    <w:rsid w:val="009D23E1"/>
    <w:rsid w:val="009D254B"/>
    <w:rsid w:val="009D3CD2"/>
    <w:rsid w:val="009D3D59"/>
    <w:rsid w:val="009D3FF8"/>
    <w:rsid w:val="009D490E"/>
    <w:rsid w:val="009D4C62"/>
    <w:rsid w:val="009D5244"/>
    <w:rsid w:val="009D5FBC"/>
    <w:rsid w:val="009D61DC"/>
    <w:rsid w:val="009D74FD"/>
    <w:rsid w:val="009D7B84"/>
    <w:rsid w:val="009D7F56"/>
    <w:rsid w:val="009E021C"/>
    <w:rsid w:val="009E0732"/>
    <w:rsid w:val="009E0AF5"/>
    <w:rsid w:val="009E1399"/>
    <w:rsid w:val="009E1410"/>
    <w:rsid w:val="009E17E1"/>
    <w:rsid w:val="009E1DB9"/>
    <w:rsid w:val="009E203D"/>
    <w:rsid w:val="009E2314"/>
    <w:rsid w:val="009E2629"/>
    <w:rsid w:val="009E2683"/>
    <w:rsid w:val="009E27C3"/>
    <w:rsid w:val="009E282D"/>
    <w:rsid w:val="009E315C"/>
    <w:rsid w:val="009E37C4"/>
    <w:rsid w:val="009E37D1"/>
    <w:rsid w:val="009E3ADB"/>
    <w:rsid w:val="009E3B01"/>
    <w:rsid w:val="009E3DD2"/>
    <w:rsid w:val="009E4597"/>
    <w:rsid w:val="009E45C7"/>
    <w:rsid w:val="009E4615"/>
    <w:rsid w:val="009E4A58"/>
    <w:rsid w:val="009E4BD2"/>
    <w:rsid w:val="009E5266"/>
    <w:rsid w:val="009E5487"/>
    <w:rsid w:val="009E54D6"/>
    <w:rsid w:val="009E5548"/>
    <w:rsid w:val="009E5A61"/>
    <w:rsid w:val="009E5ECF"/>
    <w:rsid w:val="009E6A0E"/>
    <w:rsid w:val="009E707B"/>
    <w:rsid w:val="009E72E4"/>
    <w:rsid w:val="009E77E0"/>
    <w:rsid w:val="009E77F7"/>
    <w:rsid w:val="009E78ED"/>
    <w:rsid w:val="009F060E"/>
    <w:rsid w:val="009F0708"/>
    <w:rsid w:val="009F0A1C"/>
    <w:rsid w:val="009F0E46"/>
    <w:rsid w:val="009F0E64"/>
    <w:rsid w:val="009F0F44"/>
    <w:rsid w:val="009F117F"/>
    <w:rsid w:val="009F1CE5"/>
    <w:rsid w:val="009F1DD4"/>
    <w:rsid w:val="009F1FC0"/>
    <w:rsid w:val="009F2677"/>
    <w:rsid w:val="009F30E6"/>
    <w:rsid w:val="009F32E5"/>
    <w:rsid w:val="009F3302"/>
    <w:rsid w:val="009F36DD"/>
    <w:rsid w:val="009F3789"/>
    <w:rsid w:val="009F37E1"/>
    <w:rsid w:val="009F3FC5"/>
    <w:rsid w:val="009F4748"/>
    <w:rsid w:val="009F4D2E"/>
    <w:rsid w:val="009F4D44"/>
    <w:rsid w:val="009F5E5C"/>
    <w:rsid w:val="009F7502"/>
    <w:rsid w:val="009F76E0"/>
    <w:rsid w:val="009F7885"/>
    <w:rsid w:val="009F7F34"/>
    <w:rsid w:val="00A00070"/>
    <w:rsid w:val="00A000C2"/>
    <w:rsid w:val="00A005CF"/>
    <w:rsid w:val="00A00A90"/>
    <w:rsid w:val="00A01160"/>
    <w:rsid w:val="00A01299"/>
    <w:rsid w:val="00A01424"/>
    <w:rsid w:val="00A01B47"/>
    <w:rsid w:val="00A02754"/>
    <w:rsid w:val="00A02782"/>
    <w:rsid w:val="00A027CE"/>
    <w:rsid w:val="00A0296D"/>
    <w:rsid w:val="00A034AC"/>
    <w:rsid w:val="00A0366E"/>
    <w:rsid w:val="00A03E98"/>
    <w:rsid w:val="00A040E5"/>
    <w:rsid w:val="00A044C0"/>
    <w:rsid w:val="00A05AA9"/>
    <w:rsid w:val="00A05D9A"/>
    <w:rsid w:val="00A0604E"/>
    <w:rsid w:val="00A0608D"/>
    <w:rsid w:val="00A06786"/>
    <w:rsid w:val="00A06930"/>
    <w:rsid w:val="00A070BC"/>
    <w:rsid w:val="00A073F2"/>
    <w:rsid w:val="00A07DC0"/>
    <w:rsid w:val="00A07E54"/>
    <w:rsid w:val="00A07E8F"/>
    <w:rsid w:val="00A1006A"/>
    <w:rsid w:val="00A10161"/>
    <w:rsid w:val="00A11306"/>
    <w:rsid w:val="00A113D6"/>
    <w:rsid w:val="00A11D3F"/>
    <w:rsid w:val="00A11D61"/>
    <w:rsid w:val="00A11E85"/>
    <w:rsid w:val="00A1237E"/>
    <w:rsid w:val="00A1274F"/>
    <w:rsid w:val="00A127BB"/>
    <w:rsid w:val="00A12AB9"/>
    <w:rsid w:val="00A12D3D"/>
    <w:rsid w:val="00A12EFD"/>
    <w:rsid w:val="00A13256"/>
    <w:rsid w:val="00A1326C"/>
    <w:rsid w:val="00A1371D"/>
    <w:rsid w:val="00A141E5"/>
    <w:rsid w:val="00A145DE"/>
    <w:rsid w:val="00A148C9"/>
    <w:rsid w:val="00A14A24"/>
    <w:rsid w:val="00A15AAA"/>
    <w:rsid w:val="00A15CAC"/>
    <w:rsid w:val="00A1602F"/>
    <w:rsid w:val="00A16589"/>
    <w:rsid w:val="00A1660B"/>
    <w:rsid w:val="00A16910"/>
    <w:rsid w:val="00A169B9"/>
    <w:rsid w:val="00A16C5A"/>
    <w:rsid w:val="00A16EB4"/>
    <w:rsid w:val="00A17176"/>
    <w:rsid w:val="00A171E6"/>
    <w:rsid w:val="00A171F2"/>
    <w:rsid w:val="00A1763F"/>
    <w:rsid w:val="00A17B64"/>
    <w:rsid w:val="00A20BEA"/>
    <w:rsid w:val="00A20CCB"/>
    <w:rsid w:val="00A21397"/>
    <w:rsid w:val="00A2165C"/>
    <w:rsid w:val="00A21DF6"/>
    <w:rsid w:val="00A2298A"/>
    <w:rsid w:val="00A22BB4"/>
    <w:rsid w:val="00A22CDA"/>
    <w:rsid w:val="00A233B6"/>
    <w:rsid w:val="00A23C99"/>
    <w:rsid w:val="00A24933"/>
    <w:rsid w:val="00A2495D"/>
    <w:rsid w:val="00A24DCA"/>
    <w:rsid w:val="00A25103"/>
    <w:rsid w:val="00A25473"/>
    <w:rsid w:val="00A25DF8"/>
    <w:rsid w:val="00A2610D"/>
    <w:rsid w:val="00A26195"/>
    <w:rsid w:val="00A26B14"/>
    <w:rsid w:val="00A26E90"/>
    <w:rsid w:val="00A27ECB"/>
    <w:rsid w:val="00A27F6D"/>
    <w:rsid w:val="00A27F84"/>
    <w:rsid w:val="00A3049A"/>
    <w:rsid w:val="00A30596"/>
    <w:rsid w:val="00A30804"/>
    <w:rsid w:val="00A3115C"/>
    <w:rsid w:val="00A318A6"/>
    <w:rsid w:val="00A31B64"/>
    <w:rsid w:val="00A31BDB"/>
    <w:rsid w:val="00A31C01"/>
    <w:rsid w:val="00A31C9E"/>
    <w:rsid w:val="00A32396"/>
    <w:rsid w:val="00A32B9B"/>
    <w:rsid w:val="00A33705"/>
    <w:rsid w:val="00A337AF"/>
    <w:rsid w:val="00A33A11"/>
    <w:rsid w:val="00A33D49"/>
    <w:rsid w:val="00A33E58"/>
    <w:rsid w:val="00A34FA7"/>
    <w:rsid w:val="00A350CD"/>
    <w:rsid w:val="00A355E3"/>
    <w:rsid w:val="00A356BA"/>
    <w:rsid w:val="00A35722"/>
    <w:rsid w:val="00A35872"/>
    <w:rsid w:val="00A35F73"/>
    <w:rsid w:val="00A36120"/>
    <w:rsid w:val="00A3766A"/>
    <w:rsid w:val="00A3773B"/>
    <w:rsid w:val="00A378BA"/>
    <w:rsid w:val="00A37C67"/>
    <w:rsid w:val="00A37C7E"/>
    <w:rsid w:val="00A37FD3"/>
    <w:rsid w:val="00A41117"/>
    <w:rsid w:val="00A41315"/>
    <w:rsid w:val="00A4142A"/>
    <w:rsid w:val="00A4184F"/>
    <w:rsid w:val="00A4282F"/>
    <w:rsid w:val="00A42AC7"/>
    <w:rsid w:val="00A42B68"/>
    <w:rsid w:val="00A431CE"/>
    <w:rsid w:val="00A4341F"/>
    <w:rsid w:val="00A43D3B"/>
    <w:rsid w:val="00A43E80"/>
    <w:rsid w:val="00A4487C"/>
    <w:rsid w:val="00A44D91"/>
    <w:rsid w:val="00A458FC"/>
    <w:rsid w:val="00A45978"/>
    <w:rsid w:val="00A45AE0"/>
    <w:rsid w:val="00A45B56"/>
    <w:rsid w:val="00A45C96"/>
    <w:rsid w:val="00A45D56"/>
    <w:rsid w:val="00A464E3"/>
    <w:rsid w:val="00A46A09"/>
    <w:rsid w:val="00A46C3A"/>
    <w:rsid w:val="00A46D27"/>
    <w:rsid w:val="00A47335"/>
    <w:rsid w:val="00A47848"/>
    <w:rsid w:val="00A47D3B"/>
    <w:rsid w:val="00A5069B"/>
    <w:rsid w:val="00A506C4"/>
    <w:rsid w:val="00A5076E"/>
    <w:rsid w:val="00A51685"/>
    <w:rsid w:val="00A51A27"/>
    <w:rsid w:val="00A51DB1"/>
    <w:rsid w:val="00A523B9"/>
    <w:rsid w:val="00A52735"/>
    <w:rsid w:val="00A52773"/>
    <w:rsid w:val="00A52ACC"/>
    <w:rsid w:val="00A52E25"/>
    <w:rsid w:val="00A52E85"/>
    <w:rsid w:val="00A5314C"/>
    <w:rsid w:val="00A53D0E"/>
    <w:rsid w:val="00A53D13"/>
    <w:rsid w:val="00A54203"/>
    <w:rsid w:val="00A551E6"/>
    <w:rsid w:val="00A55AAC"/>
    <w:rsid w:val="00A55B36"/>
    <w:rsid w:val="00A55F2E"/>
    <w:rsid w:val="00A56581"/>
    <w:rsid w:val="00A56AEE"/>
    <w:rsid w:val="00A56DA8"/>
    <w:rsid w:val="00A57AA6"/>
    <w:rsid w:val="00A57CFC"/>
    <w:rsid w:val="00A6011F"/>
    <w:rsid w:val="00A604E3"/>
    <w:rsid w:val="00A608CE"/>
    <w:rsid w:val="00A60D42"/>
    <w:rsid w:val="00A6136F"/>
    <w:rsid w:val="00A61BD2"/>
    <w:rsid w:val="00A62496"/>
    <w:rsid w:val="00A624B1"/>
    <w:rsid w:val="00A62645"/>
    <w:rsid w:val="00A62668"/>
    <w:rsid w:val="00A62844"/>
    <w:rsid w:val="00A62C56"/>
    <w:rsid w:val="00A6301A"/>
    <w:rsid w:val="00A630E1"/>
    <w:rsid w:val="00A636F6"/>
    <w:rsid w:val="00A64184"/>
    <w:rsid w:val="00A64F8C"/>
    <w:rsid w:val="00A65B5C"/>
    <w:rsid w:val="00A66425"/>
    <w:rsid w:val="00A6656F"/>
    <w:rsid w:val="00A66913"/>
    <w:rsid w:val="00A66D5B"/>
    <w:rsid w:val="00A66F0B"/>
    <w:rsid w:val="00A67500"/>
    <w:rsid w:val="00A675CD"/>
    <w:rsid w:val="00A6768F"/>
    <w:rsid w:val="00A67D78"/>
    <w:rsid w:val="00A67DAD"/>
    <w:rsid w:val="00A67FC0"/>
    <w:rsid w:val="00A714CF"/>
    <w:rsid w:val="00A718C2"/>
    <w:rsid w:val="00A719B6"/>
    <w:rsid w:val="00A71A9C"/>
    <w:rsid w:val="00A71FE0"/>
    <w:rsid w:val="00A72126"/>
    <w:rsid w:val="00A72457"/>
    <w:rsid w:val="00A72655"/>
    <w:rsid w:val="00A72CD4"/>
    <w:rsid w:val="00A73788"/>
    <w:rsid w:val="00A7389F"/>
    <w:rsid w:val="00A73961"/>
    <w:rsid w:val="00A739BD"/>
    <w:rsid w:val="00A73A12"/>
    <w:rsid w:val="00A740F0"/>
    <w:rsid w:val="00A7445F"/>
    <w:rsid w:val="00A7489A"/>
    <w:rsid w:val="00A755B1"/>
    <w:rsid w:val="00A75C5A"/>
    <w:rsid w:val="00A75DAF"/>
    <w:rsid w:val="00A76105"/>
    <w:rsid w:val="00A76212"/>
    <w:rsid w:val="00A76332"/>
    <w:rsid w:val="00A76806"/>
    <w:rsid w:val="00A76D54"/>
    <w:rsid w:val="00A76F08"/>
    <w:rsid w:val="00A76F7C"/>
    <w:rsid w:val="00A772DD"/>
    <w:rsid w:val="00A77517"/>
    <w:rsid w:val="00A7751D"/>
    <w:rsid w:val="00A77AB7"/>
    <w:rsid w:val="00A77ED5"/>
    <w:rsid w:val="00A804C1"/>
    <w:rsid w:val="00A80966"/>
    <w:rsid w:val="00A80A6D"/>
    <w:rsid w:val="00A810CD"/>
    <w:rsid w:val="00A8167B"/>
    <w:rsid w:val="00A816A5"/>
    <w:rsid w:val="00A818B5"/>
    <w:rsid w:val="00A81D7C"/>
    <w:rsid w:val="00A81E0F"/>
    <w:rsid w:val="00A82080"/>
    <w:rsid w:val="00A82109"/>
    <w:rsid w:val="00A821D2"/>
    <w:rsid w:val="00A829CA"/>
    <w:rsid w:val="00A830D4"/>
    <w:rsid w:val="00A83AFE"/>
    <w:rsid w:val="00A83E75"/>
    <w:rsid w:val="00A83F26"/>
    <w:rsid w:val="00A84016"/>
    <w:rsid w:val="00A840BE"/>
    <w:rsid w:val="00A8419D"/>
    <w:rsid w:val="00A8457B"/>
    <w:rsid w:val="00A84665"/>
    <w:rsid w:val="00A84CB8"/>
    <w:rsid w:val="00A862DB"/>
    <w:rsid w:val="00A86D0B"/>
    <w:rsid w:val="00A86DC8"/>
    <w:rsid w:val="00A87B93"/>
    <w:rsid w:val="00A87DAD"/>
    <w:rsid w:val="00A90147"/>
    <w:rsid w:val="00A905DA"/>
    <w:rsid w:val="00A90843"/>
    <w:rsid w:val="00A90DDB"/>
    <w:rsid w:val="00A91246"/>
    <w:rsid w:val="00A91F0B"/>
    <w:rsid w:val="00A92A49"/>
    <w:rsid w:val="00A92CE8"/>
    <w:rsid w:val="00A92CF5"/>
    <w:rsid w:val="00A9379F"/>
    <w:rsid w:val="00A93BE2"/>
    <w:rsid w:val="00A942DC"/>
    <w:rsid w:val="00A94856"/>
    <w:rsid w:val="00A94C3E"/>
    <w:rsid w:val="00A95043"/>
    <w:rsid w:val="00A9504B"/>
    <w:rsid w:val="00A96D7D"/>
    <w:rsid w:val="00A976A8"/>
    <w:rsid w:val="00A97D52"/>
    <w:rsid w:val="00A97FC3"/>
    <w:rsid w:val="00AA01FC"/>
    <w:rsid w:val="00AA05C5"/>
    <w:rsid w:val="00AA0840"/>
    <w:rsid w:val="00AA0847"/>
    <w:rsid w:val="00AA0BC2"/>
    <w:rsid w:val="00AA0F32"/>
    <w:rsid w:val="00AA165C"/>
    <w:rsid w:val="00AA1963"/>
    <w:rsid w:val="00AA261F"/>
    <w:rsid w:val="00AA35F0"/>
    <w:rsid w:val="00AA36A4"/>
    <w:rsid w:val="00AA3792"/>
    <w:rsid w:val="00AA3A0F"/>
    <w:rsid w:val="00AA3CC2"/>
    <w:rsid w:val="00AA3E2B"/>
    <w:rsid w:val="00AA440B"/>
    <w:rsid w:val="00AA4B6F"/>
    <w:rsid w:val="00AA4F8D"/>
    <w:rsid w:val="00AA5242"/>
    <w:rsid w:val="00AA5455"/>
    <w:rsid w:val="00AA57BF"/>
    <w:rsid w:val="00AA5971"/>
    <w:rsid w:val="00AA5BF6"/>
    <w:rsid w:val="00AA5F6D"/>
    <w:rsid w:val="00AA60C8"/>
    <w:rsid w:val="00AA6368"/>
    <w:rsid w:val="00AA65EF"/>
    <w:rsid w:val="00AA6A04"/>
    <w:rsid w:val="00AA6EFB"/>
    <w:rsid w:val="00AA7238"/>
    <w:rsid w:val="00AA7359"/>
    <w:rsid w:val="00AA73AF"/>
    <w:rsid w:val="00AA75A3"/>
    <w:rsid w:val="00AA7650"/>
    <w:rsid w:val="00AA76AB"/>
    <w:rsid w:val="00AB06D1"/>
    <w:rsid w:val="00AB0C51"/>
    <w:rsid w:val="00AB11C0"/>
    <w:rsid w:val="00AB14B7"/>
    <w:rsid w:val="00AB170A"/>
    <w:rsid w:val="00AB1C1E"/>
    <w:rsid w:val="00AB1E8D"/>
    <w:rsid w:val="00AB1EB3"/>
    <w:rsid w:val="00AB226B"/>
    <w:rsid w:val="00AB2324"/>
    <w:rsid w:val="00AB2404"/>
    <w:rsid w:val="00AB25D8"/>
    <w:rsid w:val="00AB2839"/>
    <w:rsid w:val="00AB303B"/>
    <w:rsid w:val="00AB3653"/>
    <w:rsid w:val="00AB3B9E"/>
    <w:rsid w:val="00AB40DC"/>
    <w:rsid w:val="00AB427E"/>
    <w:rsid w:val="00AB4542"/>
    <w:rsid w:val="00AB4927"/>
    <w:rsid w:val="00AB4AE0"/>
    <w:rsid w:val="00AB4FD4"/>
    <w:rsid w:val="00AB52F7"/>
    <w:rsid w:val="00AB5316"/>
    <w:rsid w:val="00AB56EC"/>
    <w:rsid w:val="00AB59D7"/>
    <w:rsid w:val="00AB62EC"/>
    <w:rsid w:val="00AB63CF"/>
    <w:rsid w:val="00AB6A81"/>
    <w:rsid w:val="00AB6A8E"/>
    <w:rsid w:val="00AB6D14"/>
    <w:rsid w:val="00AB6E8F"/>
    <w:rsid w:val="00AB72FE"/>
    <w:rsid w:val="00AB7DC1"/>
    <w:rsid w:val="00AC04A4"/>
    <w:rsid w:val="00AC0619"/>
    <w:rsid w:val="00AC08F0"/>
    <w:rsid w:val="00AC0A71"/>
    <w:rsid w:val="00AC0D82"/>
    <w:rsid w:val="00AC0DF1"/>
    <w:rsid w:val="00AC1AE6"/>
    <w:rsid w:val="00AC3346"/>
    <w:rsid w:val="00AC35BD"/>
    <w:rsid w:val="00AC416B"/>
    <w:rsid w:val="00AC43EC"/>
    <w:rsid w:val="00AC442A"/>
    <w:rsid w:val="00AC496A"/>
    <w:rsid w:val="00AC49E1"/>
    <w:rsid w:val="00AC5944"/>
    <w:rsid w:val="00AC5F4C"/>
    <w:rsid w:val="00AC5F5F"/>
    <w:rsid w:val="00AC6033"/>
    <w:rsid w:val="00AC6602"/>
    <w:rsid w:val="00AC6EF1"/>
    <w:rsid w:val="00AD00AC"/>
    <w:rsid w:val="00AD04C4"/>
    <w:rsid w:val="00AD05B7"/>
    <w:rsid w:val="00AD06C5"/>
    <w:rsid w:val="00AD07D5"/>
    <w:rsid w:val="00AD087D"/>
    <w:rsid w:val="00AD11FF"/>
    <w:rsid w:val="00AD12CC"/>
    <w:rsid w:val="00AD1A35"/>
    <w:rsid w:val="00AD1E9B"/>
    <w:rsid w:val="00AD24BB"/>
    <w:rsid w:val="00AD30E9"/>
    <w:rsid w:val="00AD3A0A"/>
    <w:rsid w:val="00AD3A93"/>
    <w:rsid w:val="00AD46F0"/>
    <w:rsid w:val="00AD5228"/>
    <w:rsid w:val="00AD527A"/>
    <w:rsid w:val="00AD5CBE"/>
    <w:rsid w:val="00AD64FD"/>
    <w:rsid w:val="00AD65C7"/>
    <w:rsid w:val="00AD6A09"/>
    <w:rsid w:val="00AD6ECA"/>
    <w:rsid w:val="00AD74FD"/>
    <w:rsid w:val="00AD7BAC"/>
    <w:rsid w:val="00AE0185"/>
    <w:rsid w:val="00AE0BC8"/>
    <w:rsid w:val="00AE0F2D"/>
    <w:rsid w:val="00AE0FAF"/>
    <w:rsid w:val="00AE1868"/>
    <w:rsid w:val="00AE1D10"/>
    <w:rsid w:val="00AE25BB"/>
    <w:rsid w:val="00AE291C"/>
    <w:rsid w:val="00AE2962"/>
    <w:rsid w:val="00AE2A17"/>
    <w:rsid w:val="00AE2B71"/>
    <w:rsid w:val="00AE2BA7"/>
    <w:rsid w:val="00AE2BCF"/>
    <w:rsid w:val="00AE3AC3"/>
    <w:rsid w:val="00AE3CB9"/>
    <w:rsid w:val="00AE42EF"/>
    <w:rsid w:val="00AE45F4"/>
    <w:rsid w:val="00AE491F"/>
    <w:rsid w:val="00AE49D0"/>
    <w:rsid w:val="00AE4CA8"/>
    <w:rsid w:val="00AE4EB4"/>
    <w:rsid w:val="00AE56A0"/>
    <w:rsid w:val="00AE5D73"/>
    <w:rsid w:val="00AE6155"/>
    <w:rsid w:val="00AE62CA"/>
    <w:rsid w:val="00AE67FC"/>
    <w:rsid w:val="00AE7305"/>
    <w:rsid w:val="00AE7376"/>
    <w:rsid w:val="00AE7DA3"/>
    <w:rsid w:val="00AF06CF"/>
    <w:rsid w:val="00AF1033"/>
    <w:rsid w:val="00AF1102"/>
    <w:rsid w:val="00AF1183"/>
    <w:rsid w:val="00AF13E2"/>
    <w:rsid w:val="00AF1BF0"/>
    <w:rsid w:val="00AF1E6E"/>
    <w:rsid w:val="00AF2904"/>
    <w:rsid w:val="00AF2B88"/>
    <w:rsid w:val="00AF31D4"/>
    <w:rsid w:val="00AF33C5"/>
    <w:rsid w:val="00AF3496"/>
    <w:rsid w:val="00AF38BD"/>
    <w:rsid w:val="00AF3B31"/>
    <w:rsid w:val="00AF3F02"/>
    <w:rsid w:val="00AF44FD"/>
    <w:rsid w:val="00AF4BA1"/>
    <w:rsid w:val="00AF4EBF"/>
    <w:rsid w:val="00AF5852"/>
    <w:rsid w:val="00AF5BB9"/>
    <w:rsid w:val="00AF62E7"/>
    <w:rsid w:val="00AF67B0"/>
    <w:rsid w:val="00AF691C"/>
    <w:rsid w:val="00AF6C40"/>
    <w:rsid w:val="00AF6E1A"/>
    <w:rsid w:val="00AF7296"/>
    <w:rsid w:val="00AF783C"/>
    <w:rsid w:val="00AF7843"/>
    <w:rsid w:val="00AF7D14"/>
    <w:rsid w:val="00AF7DA4"/>
    <w:rsid w:val="00AF7DCA"/>
    <w:rsid w:val="00B004E1"/>
    <w:rsid w:val="00B015F1"/>
    <w:rsid w:val="00B01744"/>
    <w:rsid w:val="00B018D9"/>
    <w:rsid w:val="00B01C2D"/>
    <w:rsid w:val="00B01DAA"/>
    <w:rsid w:val="00B01E9D"/>
    <w:rsid w:val="00B0245D"/>
    <w:rsid w:val="00B02720"/>
    <w:rsid w:val="00B02A2E"/>
    <w:rsid w:val="00B02F75"/>
    <w:rsid w:val="00B035E8"/>
    <w:rsid w:val="00B0489D"/>
    <w:rsid w:val="00B04935"/>
    <w:rsid w:val="00B05527"/>
    <w:rsid w:val="00B057D4"/>
    <w:rsid w:val="00B059C4"/>
    <w:rsid w:val="00B05CF3"/>
    <w:rsid w:val="00B05E1A"/>
    <w:rsid w:val="00B06523"/>
    <w:rsid w:val="00B06A81"/>
    <w:rsid w:val="00B06FF5"/>
    <w:rsid w:val="00B073E9"/>
    <w:rsid w:val="00B076B0"/>
    <w:rsid w:val="00B076B5"/>
    <w:rsid w:val="00B07E70"/>
    <w:rsid w:val="00B10015"/>
    <w:rsid w:val="00B10359"/>
    <w:rsid w:val="00B111C6"/>
    <w:rsid w:val="00B1140E"/>
    <w:rsid w:val="00B114A9"/>
    <w:rsid w:val="00B11503"/>
    <w:rsid w:val="00B115C2"/>
    <w:rsid w:val="00B116A5"/>
    <w:rsid w:val="00B117A5"/>
    <w:rsid w:val="00B12C15"/>
    <w:rsid w:val="00B13281"/>
    <w:rsid w:val="00B133C8"/>
    <w:rsid w:val="00B13DEE"/>
    <w:rsid w:val="00B14F52"/>
    <w:rsid w:val="00B15134"/>
    <w:rsid w:val="00B154A6"/>
    <w:rsid w:val="00B15552"/>
    <w:rsid w:val="00B155E1"/>
    <w:rsid w:val="00B15F97"/>
    <w:rsid w:val="00B164CB"/>
    <w:rsid w:val="00B16737"/>
    <w:rsid w:val="00B16963"/>
    <w:rsid w:val="00B16AC4"/>
    <w:rsid w:val="00B16B6B"/>
    <w:rsid w:val="00B16BA7"/>
    <w:rsid w:val="00B17312"/>
    <w:rsid w:val="00B17792"/>
    <w:rsid w:val="00B177C8"/>
    <w:rsid w:val="00B17C9F"/>
    <w:rsid w:val="00B17D86"/>
    <w:rsid w:val="00B202B1"/>
    <w:rsid w:val="00B204EF"/>
    <w:rsid w:val="00B20796"/>
    <w:rsid w:val="00B20BFB"/>
    <w:rsid w:val="00B21104"/>
    <w:rsid w:val="00B21124"/>
    <w:rsid w:val="00B211BD"/>
    <w:rsid w:val="00B2181D"/>
    <w:rsid w:val="00B21AFF"/>
    <w:rsid w:val="00B22197"/>
    <w:rsid w:val="00B22654"/>
    <w:rsid w:val="00B22A82"/>
    <w:rsid w:val="00B22F65"/>
    <w:rsid w:val="00B2337B"/>
    <w:rsid w:val="00B2398C"/>
    <w:rsid w:val="00B23A77"/>
    <w:rsid w:val="00B23CA3"/>
    <w:rsid w:val="00B23EC8"/>
    <w:rsid w:val="00B23F5F"/>
    <w:rsid w:val="00B240B4"/>
    <w:rsid w:val="00B241C3"/>
    <w:rsid w:val="00B24ABA"/>
    <w:rsid w:val="00B24C21"/>
    <w:rsid w:val="00B25157"/>
    <w:rsid w:val="00B252EA"/>
    <w:rsid w:val="00B25A90"/>
    <w:rsid w:val="00B26691"/>
    <w:rsid w:val="00B267A2"/>
    <w:rsid w:val="00B26895"/>
    <w:rsid w:val="00B270FB"/>
    <w:rsid w:val="00B27320"/>
    <w:rsid w:val="00B27860"/>
    <w:rsid w:val="00B27A39"/>
    <w:rsid w:val="00B3030E"/>
    <w:rsid w:val="00B30384"/>
    <w:rsid w:val="00B308D2"/>
    <w:rsid w:val="00B31165"/>
    <w:rsid w:val="00B3143A"/>
    <w:rsid w:val="00B315E0"/>
    <w:rsid w:val="00B315ED"/>
    <w:rsid w:val="00B320B6"/>
    <w:rsid w:val="00B32AB1"/>
    <w:rsid w:val="00B33452"/>
    <w:rsid w:val="00B33BB3"/>
    <w:rsid w:val="00B33D6C"/>
    <w:rsid w:val="00B341BD"/>
    <w:rsid w:val="00B34C1E"/>
    <w:rsid w:val="00B34E6C"/>
    <w:rsid w:val="00B35186"/>
    <w:rsid w:val="00B35281"/>
    <w:rsid w:val="00B35C32"/>
    <w:rsid w:val="00B3659E"/>
    <w:rsid w:val="00B367AB"/>
    <w:rsid w:val="00B36D4A"/>
    <w:rsid w:val="00B36F70"/>
    <w:rsid w:val="00B37029"/>
    <w:rsid w:val="00B371DC"/>
    <w:rsid w:val="00B3774F"/>
    <w:rsid w:val="00B37CC3"/>
    <w:rsid w:val="00B37DE1"/>
    <w:rsid w:val="00B37EB5"/>
    <w:rsid w:val="00B4003A"/>
    <w:rsid w:val="00B40EB4"/>
    <w:rsid w:val="00B41471"/>
    <w:rsid w:val="00B41714"/>
    <w:rsid w:val="00B41789"/>
    <w:rsid w:val="00B41C49"/>
    <w:rsid w:val="00B41DDE"/>
    <w:rsid w:val="00B42204"/>
    <w:rsid w:val="00B429F9"/>
    <w:rsid w:val="00B431CE"/>
    <w:rsid w:val="00B43B45"/>
    <w:rsid w:val="00B44425"/>
    <w:rsid w:val="00B4489B"/>
    <w:rsid w:val="00B44D0C"/>
    <w:rsid w:val="00B44E33"/>
    <w:rsid w:val="00B45738"/>
    <w:rsid w:val="00B459DF"/>
    <w:rsid w:val="00B464D1"/>
    <w:rsid w:val="00B464D5"/>
    <w:rsid w:val="00B46676"/>
    <w:rsid w:val="00B46BFF"/>
    <w:rsid w:val="00B47338"/>
    <w:rsid w:val="00B4789E"/>
    <w:rsid w:val="00B47F3E"/>
    <w:rsid w:val="00B5134D"/>
    <w:rsid w:val="00B5192E"/>
    <w:rsid w:val="00B519AC"/>
    <w:rsid w:val="00B51DA2"/>
    <w:rsid w:val="00B52244"/>
    <w:rsid w:val="00B52363"/>
    <w:rsid w:val="00B524B8"/>
    <w:rsid w:val="00B52904"/>
    <w:rsid w:val="00B52995"/>
    <w:rsid w:val="00B530E1"/>
    <w:rsid w:val="00B532D7"/>
    <w:rsid w:val="00B53511"/>
    <w:rsid w:val="00B53BF6"/>
    <w:rsid w:val="00B53D65"/>
    <w:rsid w:val="00B54066"/>
    <w:rsid w:val="00B543C1"/>
    <w:rsid w:val="00B54453"/>
    <w:rsid w:val="00B5451E"/>
    <w:rsid w:val="00B54FB5"/>
    <w:rsid w:val="00B55584"/>
    <w:rsid w:val="00B5610F"/>
    <w:rsid w:val="00B565BB"/>
    <w:rsid w:val="00B565F1"/>
    <w:rsid w:val="00B567FF"/>
    <w:rsid w:val="00B56BEE"/>
    <w:rsid w:val="00B56DFE"/>
    <w:rsid w:val="00B573E9"/>
    <w:rsid w:val="00B57557"/>
    <w:rsid w:val="00B57588"/>
    <w:rsid w:val="00B57BC8"/>
    <w:rsid w:val="00B57CD4"/>
    <w:rsid w:val="00B57FC3"/>
    <w:rsid w:val="00B60A6B"/>
    <w:rsid w:val="00B60B75"/>
    <w:rsid w:val="00B60C2E"/>
    <w:rsid w:val="00B6196F"/>
    <w:rsid w:val="00B61B40"/>
    <w:rsid w:val="00B6202F"/>
    <w:rsid w:val="00B62069"/>
    <w:rsid w:val="00B622FA"/>
    <w:rsid w:val="00B625FC"/>
    <w:rsid w:val="00B6267D"/>
    <w:rsid w:val="00B62D2F"/>
    <w:rsid w:val="00B62E39"/>
    <w:rsid w:val="00B62ECC"/>
    <w:rsid w:val="00B62FA9"/>
    <w:rsid w:val="00B630BA"/>
    <w:rsid w:val="00B6362F"/>
    <w:rsid w:val="00B639FA"/>
    <w:rsid w:val="00B63A2A"/>
    <w:rsid w:val="00B646A2"/>
    <w:rsid w:val="00B659F4"/>
    <w:rsid w:val="00B665D9"/>
    <w:rsid w:val="00B665FD"/>
    <w:rsid w:val="00B66AC1"/>
    <w:rsid w:val="00B66C82"/>
    <w:rsid w:val="00B67E2D"/>
    <w:rsid w:val="00B7026A"/>
    <w:rsid w:val="00B70AB6"/>
    <w:rsid w:val="00B70EE4"/>
    <w:rsid w:val="00B71109"/>
    <w:rsid w:val="00B71373"/>
    <w:rsid w:val="00B71EC4"/>
    <w:rsid w:val="00B7283E"/>
    <w:rsid w:val="00B72FA3"/>
    <w:rsid w:val="00B732A0"/>
    <w:rsid w:val="00B73301"/>
    <w:rsid w:val="00B733EA"/>
    <w:rsid w:val="00B7342E"/>
    <w:rsid w:val="00B73B54"/>
    <w:rsid w:val="00B7411A"/>
    <w:rsid w:val="00B748B9"/>
    <w:rsid w:val="00B74DA3"/>
    <w:rsid w:val="00B74E2A"/>
    <w:rsid w:val="00B7510A"/>
    <w:rsid w:val="00B752E4"/>
    <w:rsid w:val="00B75930"/>
    <w:rsid w:val="00B75B76"/>
    <w:rsid w:val="00B75E20"/>
    <w:rsid w:val="00B76458"/>
    <w:rsid w:val="00B769D4"/>
    <w:rsid w:val="00B76BD9"/>
    <w:rsid w:val="00B76E7B"/>
    <w:rsid w:val="00B778F7"/>
    <w:rsid w:val="00B80555"/>
    <w:rsid w:val="00B80603"/>
    <w:rsid w:val="00B8062B"/>
    <w:rsid w:val="00B80C51"/>
    <w:rsid w:val="00B80F57"/>
    <w:rsid w:val="00B810BE"/>
    <w:rsid w:val="00B81A84"/>
    <w:rsid w:val="00B82253"/>
    <w:rsid w:val="00B822DF"/>
    <w:rsid w:val="00B834F9"/>
    <w:rsid w:val="00B84007"/>
    <w:rsid w:val="00B84140"/>
    <w:rsid w:val="00B8487A"/>
    <w:rsid w:val="00B84C4B"/>
    <w:rsid w:val="00B84D67"/>
    <w:rsid w:val="00B84F96"/>
    <w:rsid w:val="00B8510C"/>
    <w:rsid w:val="00B85939"/>
    <w:rsid w:val="00B86800"/>
    <w:rsid w:val="00B86825"/>
    <w:rsid w:val="00B86B62"/>
    <w:rsid w:val="00B873A3"/>
    <w:rsid w:val="00B878EB"/>
    <w:rsid w:val="00B8790E"/>
    <w:rsid w:val="00B87E6E"/>
    <w:rsid w:val="00B87E9B"/>
    <w:rsid w:val="00B9012F"/>
    <w:rsid w:val="00B90148"/>
    <w:rsid w:val="00B90A17"/>
    <w:rsid w:val="00B90B94"/>
    <w:rsid w:val="00B90F2F"/>
    <w:rsid w:val="00B91224"/>
    <w:rsid w:val="00B916C8"/>
    <w:rsid w:val="00B91884"/>
    <w:rsid w:val="00B91B92"/>
    <w:rsid w:val="00B92323"/>
    <w:rsid w:val="00B92632"/>
    <w:rsid w:val="00B92A1A"/>
    <w:rsid w:val="00B92C87"/>
    <w:rsid w:val="00B9367D"/>
    <w:rsid w:val="00B93AD1"/>
    <w:rsid w:val="00B93D91"/>
    <w:rsid w:val="00B93E0D"/>
    <w:rsid w:val="00B93F37"/>
    <w:rsid w:val="00B94741"/>
    <w:rsid w:val="00B94BF9"/>
    <w:rsid w:val="00B95942"/>
    <w:rsid w:val="00B959BB"/>
    <w:rsid w:val="00B95C62"/>
    <w:rsid w:val="00B9665E"/>
    <w:rsid w:val="00B966B5"/>
    <w:rsid w:val="00B96874"/>
    <w:rsid w:val="00B97802"/>
    <w:rsid w:val="00B978BF"/>
    <w:rsid w:val="00B97EC8"/>
    <w:rsid w:val="00B97F8E"/>
    <w:rsid w:val="00BA0770"/>
    <w:rsid w:val="00BA0940"/>
    <w:rsid w:val="00BA0DD3"/>
    <w:rsid w:val="00BA1997"/>
    <w:rsid w:val="00BA19E3"/>
    <w:rsid w:val="00BA1CE3"/>
    <w:rsid w:val="00BA1D99"/>
    <w:rsid w:val="00BA2299"/>
    <w:rsid w:val="00BA2469"/>
    <w:rsid w:val="00BA2517"/>
    <w:rsid w:val="00BA251B"/>
    <w:rsid w:val="00BA2E4D"/>
    <w:rsid w:val="00BA2E8D"/>
    <w:rsid w:val="00BA37B1"/>
    <w:rsid w:val="00BA4833"/>
    <w:rsid w:val="00BA4EF8"/>
    <w:rsid w:val="00BA4F34"/>
    <w:rsid w:val="00BA570D"/>
    <w:rsid w:val="00BA57DE"/>
    <w:rsid w:val="00BA59C3"/>
    <w:rsid w:val="00BA5CD1"/>
    <w:rsid w:val="00BA5D1C"/>
    <w:rsid w:val="00BA6255"/>
    <w:rsid w:val="00BA6498"/>
    <w:rsid w:val="00BA67D5"/>
    <w:rsid w:val="00BA68AF"/>
    <w:rsid w:val="00BA6EBD"/>
    <w:rsid w:val="00BA775A"/>
    <w:rsid w:val="00BA7C83"/>
    <w:rsid w:val="00BA7C9F"/>
    <w:rsid w:val="00BA7CD1"/>
    <w:rsid w:val="00BA7D52"/>
    <w:rsid w:val="00BB00AC"/>
    <w:rsid w:val="00BB0335"/>
    <w:rsid w:val="00BB056D"/>
    <w:rsid w:val="00BB0F02"/>
    <w:rsid w:val="00BB103E"/>
    <w:rsid w:val="00BB1065"/>
    <w:rsid w:val="00BB1186"/>
    <w:rsid w:val="00BB12CE"/>
    <w:rsid w:val="00BB1502"/>
    <w:rsid w:val="00BB23E7"/>
    <w:rsid w:val="00BB2BAA"/>
    <w:rsid w:val="00BB3291"/>
    <w:rsid w:val="00BB3E46"/>
    <w:rsid w:val="00BB443E"/>
    <w:rsid w:val="00BB473F"/>
    <w:rsid w:val="00BB4BB4"/>
    <w:rsid w:val="00BB52B1"/>
    <w:rsid w:val="00BB6F51"/>
    <w:rsid w:val="00BB71B3"/>
    <w:rsid w:val="00BB7781"/>
    <w:rsid w:val="00BB790E"/>
    <w:rsid w:val="00BB7F27"/>
    <w:rsid w:val="00BB7FF7"/>
    <w:rsid w:val="00BC060A"/>
    <w:rsid w:val="00BC157F"/>
    <w:rsid w:val="00BC1B60"/>
    <w:rsid w:val="00BC217B"/>
    <w:rsid w:val="00BC22A0"/>
    <w:rsid w:val="00BC275A"/>
    <w:rsid w:val="00BC2FB8"/>
    <w:rsid w:val="00BC30E2"/>
    <w:rsid w:val="00BC352D"/>
    <w:rsid w:val="00BC3CCE"/>
    <w:rsid w:val="00BC4020"/>
    <w:rsid w:val="00BC43E8"/>
    <w:rsid w:val="00BC4527"/>
    <w:rsid w:val="00BC45B4"/>
    <w:rsid w:val="00BC47CC"/>
    <w:rsid w:val="00BC492A"/>
    <w:rsid w:val="00BC4A6D"/>
    <w:rsid w:val="00BC4CCD"/>
    <w:rsid w:val="00BC51E1"/>
    <w:rsid w:val="00BC5A2B"/>
    <w:rsid w:val="00BC5C90"/>
    <w:rsid w:val="00BC63B5"/>
    <w:rsid w:val="00BC6C56"/>
    <w:rsid w:val="00BC6D6D"/>
    <w:rsid w:val="00BC75AA"/>
    <w:rsid w:val="00BC77ED"/>
    <w:rsid w:val="00BC7BD2"/>
    <w:rsid w:val="00BD078F"/>
    <w:rsid w:val="00BD0B2B"/>
    <w:rsid w:val="00BD1196"/>
    <w:rsid w:val="00BD12C8"/>
    <w:rsid w:val="00BD14AD"/>
    <w:rsid w:val="00BD15A8"/>
    <w:rsid w:val="00BD172B"/>
    <w:rsid w:val="00BD177F"/>
    <w:rsid w:val="00BD17B5"/>
    <w:rsid w:val="00BD17DB"/>
    <w:rsid w:val="00BD1C38"/>
    <w:rsid w:val="00BD1FB3"/>
    <w:rsid w:val="00BD25BB"/>
    <w:rsid w:val="00BD2E35"/>
    <w:rsid w:val="00BD3813"/>
    <w:rsid w:val="00BD489B"/>
    <w:rsid w:val="00BD4AC4"/>
    <w:rsid w:val="00BD4C8C"/>
    <w:rsid w:val="00BD5603"/>
    <w:rsid w:val="00BD58C9"/>
    <w:rsid w:val="00BD5A9E"/>
    <w:rsid w:val="00BD5D0C"/>
    <w:rsid w:val="00BD5EE6"/>
    <w:rsid w:val="00BD667B"/>
    <w:rsid w:val="00BD67BB"/>
    <w:rsid w:val="00BD7557"/>
    <w:rsid w:val="00BD7FD2"/>
    <w:rsid w:val="00BE0BD5"/>
    <w:rsid w:val="00BE0CD6"/>
    <w:rsid w:val="00BE0D82"/>
    <w:rsid w:val="00BE171E"/>
    <w:rsid w:val="00BE1A1A"/>
    <w:rsid w:val="00BE1A6A"/>
    <w:rsid w:val="00BE246C"/>
    <w:rsid w:val="00BE2A45"/>
    <w:rsid w:val="00BE2E99"/>
    <w:rsid w:val="00BE340D"/>
    <w:rsid w:val="00BE3783"/>
    <w:rsid w:val="00BE37B4"/>
    <w:rsid w:val="00BE38E3"/>
    <w:rsid w:val="00BE38E4"/>
    <w:rsid w:val="00BE3A29"/>
    <w:rsid w:val="00BE41E2"/>
    <w:rsid w:val="00BE41E5"/>
    <w:rsid w:val="00BE4301"/>
    <w:rsid w:val="00BE4EE3"/>
    <w:rsid w:val="00BE517A"/>
    <w:rsid w:val="00BE5749"/>
    <w:rsid w:val="00BE586E"/>
    <w:rsid w:val="00BE5A0D"/>
    <w:rsid w:val="00BE5DA1"/>
    <w:rsid w:val="00BE6564"/>
    <w:rsid w:val="00BE65A0"/>
    <w:rsid w:val="00BE6C7A"/>
    <w:rsid w:val="00BE6E41"/>
    <w:rsid w:val="00BE7096"/>
    <w:rsid w:val="00BE7949"/>
    <w:rsid w:val="00BF00AF"/>
    <w:rsid w:val="00BF04D2"/>
    <w:rsid w:val="00BF0747"/>
    <w:rsid w:val="00BF0890"/>
    <w:rsid w:val="00BF125F"/>
    <w:rsid w:val="00BF15AE"/>
    <w:rsid w:val="00BF163D"/>
    <w:rsid w:val="00BF184A"/>
    <w:rsid w:val="00BF1B1A"/>
    <w:rsid w:val="00BF1C81"/>
    <w:rsid w:val="00BF2059"/>
    <w:rsid w:val="00BF24D8"/>
    <w:rsid w:val="00BF253D"/>
    <w:rsid w:val="00BF280C"/>
    <w:rsid w:val="00BF2856"/>
    <w:rsid w:val="00BF2D84"/>
    <w:rsid w:val="00BF2E93"/>
    <w:rsid w:val="00BF369E"/>
    <w:rsid w:val="00BF388C"/>
    <w:rsid w:val="00BF3B68"/>
    <w:rsid w:val="00BF446E"/>
    <w:rsid w:val="00BF4B8A"/>
    <w:rsid w:val="00BF4C32"/>
    <w:rsid w:val="00BF4D51"/>
    <w:rsid w:val="00BF5221"/>
    <w:rsid w:val="00BF58E6"/>
    <w:rsid w:val="00BF5EEE"/>
    <w:rsid w:val="00BF5F2C"/>
    <w:rsid w:val="00BF62F4"/>
    <w:rsid w:val="00BF68F7"/>
    <w:rsid w:val="00BF6926"/>
    <w:rsid w:val="00BF6BDC"/>
    <w:rsid w:val="00BF7622"/>
    <w:rsid w:val="00BF7FC9"/>
    <w:rsid w:val="00C003F0"/>
    <w:rsid w:val="00C01ADF"/>
    <w:rsid w:val="00C01DCB"/>
    <w:rsid w:val="00C02DE7"/>
    <w:rsid w:val="00C02E7E"/>
    <w:rsid w:val="00C0300F"/>
    <w:rsid w:val="00C03118"/>
    <w:rsid w:val="00C03205"/>
    <w:rsid w:val="00C03547"/>
    <w:rsid w:val="00C0398F"/>
    <w:rsid w:val="00C03B71"/>
    <w:rsid w:val="00C05F6E"/>
    <w:rsid w:val="00C0647B"/>
    <w:rsid w:val="00C06633"/>
    <w:rsid w:val="00C0699C"/>
    <w:rsid w:val="00C06DE8"/>
    <w:rsid w:val="00C0700C"/>
    <w:rsid w:val="00C0725A"/>
    <w:rsid w:val="00C07D39"/>
    <w:rsid w:val="00C103A7"/>
    <w:rsid w:val="00C10CAF"/>
    <w:rsid w:val="00C10EB3"/>
    <w:rsid w:val="00C111F5"/>
    <w:rsid w:val="00C113B7"/>
    <w:rsid w:val="00C114B6"/>
    <w:rsid w:val="00C11829"/>
    <w:rsid w:val="00C119BF"/>
    <w:rsid w:val="00C11F76"/>
    <w:rsid w:val="00C122EE"/>
    <w:rsid w:val="00C1244A"/>
    <w:rsid w:val="00C125B1"/>
    <w:rsid w:val="00C12687"/>
    <w:rsid w:val="00C12A09"/>
    <w:rsid w:val="00C12E93"/>
    <w:rsid w:val="00C12FE5"/>
    <w:rsid w:val="00C131EE"/>
    <w:rsid w:val="00C13290"/>
    <w:rsid w:val="00C13907"/>
    <w:rsid w:val="00C13FBB"/>
    <w:rsid w:val="00C13FD6"/>
    <w:rsid w:val="00C14376"/>
    <w:rsid w:val="00C14A91"/>
    <w:rsid w:val="00C15B93"/>
    <w:rsid w:val="00C15CFE"/>
    <w:rsid w:val="00C16517"/>
    <w:rsid w:val="00C1694F"/>
    <w:rsid w:val="00C1695E"/>
    <w:rsid w:val="00C16C4A"/>
    <w:rsid w:val="00C17899"/>
    <w:rsid w:val="00C17D96"/>
    <w:rsid w:val="00C17E61"/>
    <w:rsid w:val="00C200C9"/>
    <w:rsid w:val="00C202CE"/>
    <w:rsid w:val="00C20450"/>
    <w:rsid w:val="00C20D4D"/>
    <w:rsid w:val="00C20EE9"/>
    <w:rsid w:val="00C20FD0"/>
    <w:rsid w:val="00C21AE8"/>
    <w:rsid w:val="00C22441"/>
    <w:rsid w:val="00C22982"/>
    <w:rsid w:val="00C230A2"/>
    <w:rsid w:val="00C23C5A"/>
    <w:rsid w:val="00C23EB6"/>
    <w:rsid w:val="00C23F67"/>
    <w:rsid w:val="00C242C0"/>
    <w:rsid w:val="00C258A7"/>
    <w:rsid w:val="00C25965"/>
    <w:rsid w:val="00C26E67"/>
    <w:rsid w:val="00C26F04"/>
    <w:rsid w:val="00C27102"/>
    <w:rsid w:val="00C276D6"/>
    <w:rsid w:val="00C277A3"/>
    <w:rsid w:val="00C3047C"/>
    <w:rsid w:val="00C3066F"/>
    <w:rsid w:val="00C30B80"/>
    <w:rsid w:val="00C31C60"/>
    <w:rsid w:val="00C322C8"/>
    <w:rsid w:val="00C32407"/>
    <w:rsid w:val="00C32651"/>
    <w:rsid w:val="00C32B5D"/>
    <w:rsid w:val="00C3333F"/>
    <w:rsid w:val="00C33508"/>
    <w:rsid w:val="00C335F0"/>
    <w:rsid w:val="00C33B55"/>
    <w:rsid w:val="00C33C0C"/>
    <w:rsid w:val="00C33C79"/>
    <w:rsid w:val="00C33D5A"/>
    <w:rsid w:val="00C340F8"/>
    <w:rsid w:val="00C34473"/>
    <w:rsid w:val="00C350ED"/>
    <w:rsid w:val="00C35237"/>
    <w:rsid w:val="00C35680"/>
    <w:rsid w:val="00C362EC"/>
    <w:rsid w:val="00C36665"/>
    <w:rsid w:val="00C36EAF"/>
    <w:rsid w:val="00C3702A"/>
    <w:rsid w:val="00C379E0"/>
    <w:rsid w:val="00C40702"/>
    <w:rsid w:val="00C40733"/>
    <w:rsid w:val="00C40B69"/>
    <w:rsid w:val="00C416AF"/>
    <w:rsid w:val="00C41B5D"/>
    <w:rsid w:val="00C42839"/>
    <w:rsid w:val="00C42865"/>
    <w:rsid w:val="00C4315B"/>
    <w:rsid w:val="00C4316C"/>
    <w:rsid w:val="00C4336C"/>
    <w:rsid w:val="00C43491"/>
    <w:rsid w:val="00C43E77"/>
    <w:rsid w:val="00C4451E"/>
    <w:rsid w:val="00C44727"/>
    <w:rsid w:val="00C44F55"/>
    <w:rsid w:val="00C45375"/>
    <w:rsid w:val="00C45A4D"/>
    <w:rsid w:val="00C45DE2"/>
    <w:rsid w:val="00C45F0E"/>
    <w:rsid w:val="00C463F1"/>
    <w:rsid w:val="00C46AC9"/>
    <w:rsid w:val="00C47CCE"/>
    <w:rsid w:val="00C47E07"/>
    <w:rsid w:val="00C50C2F"/>
    <w:rsid w:val="00C50EA9"/>
    <w:rsid w:val="00C510D5"/>
    <w:rsid w:val="00C515BB"/>
    <w:rsid w:val="00C51A28"/>
    <w:rsid w:val="00C51ACE"/>
    <w:rsid w:val="00C520D1"/>
    <w:rsid w:val="00C5245B"/>
    <w:rsid w:val="00C52D7C"/>
    <w:rsid w:val="00C532A2"/>
    <w:rsid w:val="00C532A8"/>
    <w:rsid w:val="00C53CDF"/>
    <w:rsid w:val="00C53E73"/>
    <w:rsid w:val="00C54001"/>
    <w:rsid w:val="00C54954"/>
    <w:rsid w:val="00C54BE9"/>
    <w:rsid w:val="00C54D3C"/>
    <w:rsid w:val="00C54DF2"/>
    <w:rsid w:val="00C5524B"/>
    <w:rsid w:val="00C55334"/>
    <w:rsid w:val="00C55348"/>
    <w:rsid w:val="00C55B97"/>
    <w:rsid w:val="00C56597"/>
    <w:rsid w:val="00C56617"/>
    <w:rsid w:val="00C56D35"/>
    <w:rsid w:val="00C56F1D"/>
    <w:rsid w:val="00C5710F"/>
    <w:rsid w:val="00C57AB8"/>
    <w:rsid w:val="00C60170"/>
    <w:rsid w:val="00C604D0"/>
    <w:rsid w:val="00C608F7"/>
    <w:rsid w:val="00C6099B"/>
    <w:rsid w:val="00C60E6E"/>
    <w:rsid w:val="00C60F38"/>
    <w:rsid w:val="00C613A1"/>
    <w:rsid w:val="00C61635"/>
    <w:rsid w:val="00C618B3"/>
    <w:rsid w:val="00C61B5F"/>
    <w:rsid w:val="00C62990"/>
    <w:rsid w:val="00C629F9"/>
    <w:rsid w:val="00C636CF"/>
    <w:rsid w:val="00C63A6C"/>
    <w:rsid w:val="00C63E3A"/>
    <w:rsid w:val="00C63F23"/>
    <w:rsid w:val="00C64A1A"/>
    <w:rsid w:val="00C64CFC"/>
    <w:rsid w:val="00C64E62"/>
    <w:rsid w:val="00C64E6F"/>
    <w:rsid w:val="00C65481"/>
    <w:rsid w:val="00C65E1A"/>
    <w:rsid w:val="00C66A10"/>
    <w:rsid w:val="00C672DE"/>
    <w:rsid w:val="00C673BB"/>
    <w:rsid w:val="00C676D6"/>
    <w:rsid w:val="00C6772B"/>
    <w:rsid w:val="00C67EC2"/>
    <w:rsid w:val="00C67EFE"/>
    <w:rsid w:val="00C705CB"/>
    <w:rsid w:val="00C709C5"/>
    <w:rsid w:val="00C70B4F"/>
    <w:rsid w:val="00C70E1B"/>
    <w:rsid w:val="00C70FB8"/>
    <w:rsid w:val="00C71518"/>
    <w:rsid w:val="00C7197D"/>
    <w:rsid w:val="00C71C46"/>
    <w:rsid w:val="00C721AE"/>
    <w:rsid w:val="00C7274C"/>
    <w:rsid w:val="00C730F6"/>
    <w:rsid w:val="00C73A01"/>
    <w:rsid w:val="00C73D8F"/>
    <w:rsid w:val="00C74776"/>
    <w:rsid w:val="00C74866"/>
    <w:rsid w:val="00C74BDF"/>
    <w:rsid w:val="00C74CA8"/>
    <w:rsid w:val="00C75499"/>
    <w:rsid w:val="00C757C3"/>
    <w:rsid w:val="00C75FB2"/>
    <w:rsid w:val="00C761D1"/>
    <w:rsid w:val="00C77111"/>
    <w:rsid w:val="00C7716A"/>
    <w:rsid w:val="00C772E3"/>
    <w:rsid w:val="00C774CD"/>
    <w:rsid w:val="00C77574"/>
    <w:rsid w:val="00C777D7"/>
    <w:rsid w:val="00C77A2D"/>
    <w:rsid w:val="00C77B0F"/>
    <w:rsid w:val="00C805F7"/>
    <w:rsid w:val="00C806A0"/>
    <w:rsid w:val="00C80870"/>
    <w:rsid w:val="00C80A97"/>
    <w:rsid w:val="00C80DC2"/>
    <w:rsid w:val="00C81C80"/>
    <w:rsid w:val="00C81DB5"/>
    <w:rsid w:val="00C81E82"/>
    <w:rsid w:val="00C82813"/>
    <w:rsid w:val="00C82A24"/>
    <w:rsid w:val="00C82FD5"/>
    <w:rsid w:val="00C830BC"/>
    <w:rsid w:val="00C83CC0"/>
    <w:rsid w:val="00C84323"/>
    <w:rsid w:val="00C84C16"/>
    <w:rsid w:val="00C84E1A"/>
    <w:rsid w:val="00C84F73"/>
    <w:rsid w:val="00C85D26"/>
    <w:rsid w:val="00C85E00"/>
    <w:rsid w:val="00C861CA"/>
    <w:rsid w:val="00C8694A"/>
    <w:rsid w:val="00C86A38"/>
    <w:rsid w:val="00C86C4F"/>
    <w:rsid w:val="00C872D9"/>
    <w:rsid w:val="00C875B2"/>
    <w:rsid w:val="00C87905"/>
    <w:rsid w:val="00C87CBD"/>
    <w:rsid w:val="00C87D5A"/>
    <w:rsid w:val="00C907CA"/>
    <w:rsid w:val="00C90BE6"/>
    <w:rsid w:val="00C90DD9"/>
    <w:rsid w:val="00C91013"/>
    <w:rsid w:val="00C9187E"/>
    <w:rsid w:val="00C925E1"/>
    <w:rsid w:val="00C92960"/>
    <w:rsid w:val="00C93346"/>
    <w:rsid w:val="00C9347E"/>
    <w:rsid w:val="00C94287"/>
    <w:rsid w:val="00C94B15"/>
    <w:rsid w:val="00C9508B"/>
    <w:rsid w:val="00C959EB"/>
    <w:rsid w:val="00C95BA7"/>
    <w:rsid w:val="00C961C3"/>
    <w:rsid w:val="00C962CA"/>
    <w:rsid w:val="00C963FD"/>
    <w:rsid w:val="00C9692A"/>
    <w:rsid w:val="00C97988"/>
    <w:rsid w:val="00CA051C"/>
    <w:rsid w:val="00CA0819"/>
    <w:rsid w:val="00CA0B4A"/>
    <w:rsid w:val="00CA0C38"/>
    <w:rsid w:val="00CA0E6F"/>
    <w:rsid w:val="00CA0FB6"/>
    <w:rsid w:val="00CA1672"/>
    <w:rsid w:val="00CA1921"/>
    <w:rsid w:val="00CA1D08"/>
    <w:rsid w:val="00CA2185"/>
    <w:rsid w:val="00CA2962"/>
    <w:rsid w:val="00CA2D42"/>
    <w:rsid w:val="00CA2D62"/>
    <w:rsid w:val="00CA2F92"/>
    <w:rsid w:val="00CA3471"/>
    <w:rsid w:val="00CA357A"/>
    <w:rsid w:val="00CA3CE0"/>
    <w:rsid w:val="00CA419F"/>
    <w:rsid w:val="00CA433D"/>
    <w:rsid w:val="00CA4C46"/>
    <w:rsid w:val="00CA55B2"/>
    <w:rsid w:val="00CA570B"/>
    <w:rsid w:val="00CA60FD"/>
    <w:rsid w:val="00CA62C3"/>
    <w:rsid w:val="00CA6CCD"/>
    <w:rsid w:val="00CA6F9E"/>
    <w:rsid w:val="00CA773D"/>
    <w:rsid w:val="00CA7D6F"/>
    <w:rsid w:val="00CB0009"/>
    <w:rsid w:val="00CB0B3B"/>
    <w:rsid w:val="00CB1285"/>
    <w:rsid w:val="00CB14ED"/>
    <w:rsid w:val="00CB192D"/>
    <w:rsid w:val="00CB1C2E"/>
    <w:rsid w:val="00CB1FC7"/>
    <w:rsid w:val="00CB28AC"/>
    <w:rsid w:val="00CB352C"/>
    <w:rsid w:val="00CB5841"/>
    <w:rsid w:val="00CB6225"/>
    <w:rsid w:val="00CB623F"/>
    <w:rsid w:val="00CB63A5"/>
    <w:rsid w:val="00CB653A"/>
    <w:rsid w:val="00CB686A"/>
    <w:rsid w:val="00CB6FCA"/>
    <w:rsid w:val="00CB74B0"/>
    <w:rsid w:val="00CB7555"/>
    <w:rsid w:val="00CB78F4"/>
    <w:rsid w:val="00CB7AD2"/>
    <w:rsid w:val="00CB7C47"/>
    <w:rsid w:val="00CC019F"/>
    <w:rsid w:val="00CC094E"/>
    <w:rsid w:val="00CC1071"/>
    <w:rsid w:val="00CC121D"/>
    <w:rsid w:val="00CC1AD3"/>
    <w:rsid w:val="00CC27C4"/>
    <w:rsid w:val="00CC2848"/>
    <w:rsid w:val="00CC2C33"/>
    <w:rsid w:val="00CC2C77"/>
    <w:rsid w:val="00CC2FE5"/>
    <w:rsid w:val="00CC31AB"/>
    <w:rsid w:val="00CC35CB"/>
    <w:rsid w:val="00CC3D51"/>
    <w:rsid w:val="00CC3EBC"/>
    <w:rsid w:val="00CC4010"/>
    <w:rsid w:val="00CC46BD"/>
    <w:rsid w:val="00CC5225"/>
    <w:rsid w:val="00CC557C"/>
    <w:rsid w:val="00CC5608"/>
    <w:rsid w:val="00CC629F"/>
    <w:rsid w:val="00CC63F5"/>
    <w:rsid w:val="00CC72D0"/>
    <w:rsid w:val="00CC7B63"/>
    <w:rsid w:val="00CD1167"/>
    <w:rsid w:val="00CD12CF"/>
    <w:rsid w:val="00CD1C19"/>
    <w:rsid w:val="00CD1FED"/>
    <w:rsid w:val="00CD22BD"/>
    <w:rsid w:val="00CD2802"/>
    <w:rsid w:val="00CD2920"/>
    <w:rsid w:val="00CD2B69"/>
    <w:rsid w:val="00CD2BB4"/>
    <w:rsid w:val="00CD357B"/>
    <w:rsid w:val="00CD3CEC"/>
    <w:rsid w:val="00CD3DFC"/>
    <w:rsid w:val="00CD464A"/>
    <w:rsid w:val="00CD4880"/>
    <w:rsid w:val="00CD543F"/>
    <w:rsid w:val="00CD585C"/>
    <w:rsid w:val="00CD5B33"/>
    <w:rsid w:val="00CD5D47"/>
    <w:rsid w:val="00CD61DB"/>
    <w:rsid w:val="00CD69C3"/>
    <w:rsid w:val="00CD6B96"/>
    <w:rsid w:val="00CD6D5D"/>
    <w:rsid w:val="00CD6D9D"/>
    <w:rsid w:val="00CD6E90"/>
    <w:rsid w:val="00CD758D"/>
    <w:rsid w:val="00CD79D3"/>
    <w:rsid w:val="00CD7B21"/>
    <w:rsid w:val="00CD7CCF"/>
    <w:rsid w:val="00CD7ECE"/>
    <w:rsid w:val="00CE0157"/>
    <w:rsid w:val="00CE0386"/>
    <w:rsid w:val="00CE0FB3"/>
    <w:rsid w:val="00CE17EB"/>
    <w:rsid w:val="00CE1CC3"/>
    <w:rsid w:val="00CE24B3"/>
    <w:rsid w:val="00CE272F"/>
    <w:rsid w:val="00CE2A31"/>
    <w:rsid w:val="00CE3409"/>
    <w:rsid w:val="00CE4B64"/>
    <w:rsid w:val="00CE4D7D"/>
    <w:rsid w:val="00CE4DBE"/>
    <w:rsid w:val="00CE61D8"/>
    <w:rsid w:val="00CE7003"/>
    <w:rsid w:val="00CE70D5"/>
    <w:rsid w:val="00CE7145"/>
    <w:rsid w:val="00CE751D"/>
    <w:rsid w:val="00CE7725"/>
    <w:rsid w:val="00CE778B"/>
    <w:rsid w:val="00CE78C4"/>
    <w:rsid w:val="00CE78C6"/>
    <w:rsid w:val="00CE7C75"/>
    <w:rsid w:val="00CF012C"/>
    <w:rsid w:val="00CF06F5"/>
    <w:rsid w:val="00CF0894"/>
    <w:rsid w:val="00CF0EC7"/>
    <w:rsid w:val="00CF13C0"/>
    <w:rsid w:val="00CF14A8"/>
    <w:rsid w:val="00CF160C"/>
    <w:rsid w:val="00CF18D7"/>
    <w:rsid w:val="00CF1AED"/>
    <w:rsid w:val="00CF1BA6"/>
    <w:rsid w:val="00CF2834"/>
    <w:rsid w:val="00CF2866"/>
    <w:rsid w:val="00CF2A1F"/>
    <w:rsid w:val="00CF32FE"/>
    <w:rsid w:val="00CF3446"/>
    <w:rsid w:val="00CF3839"/>
    <w:rsid w:val="00CF3E3C"/>
    <w:rsid w:val="00CF463B"/>
    <w:rsid w:val="00CF4D09"/>
    <w:rsid w:val="00CF4F0E"/>
    <w:rsid w:val="00CF56DD"/>
    <w:rsid w:val="00CF6F31"/>
    <w:rsid w:val="00CF71C6"/>
    <w:rsid w:val="00CF748E"/>
    <w:rsid w:val="00CF7996"/>
    <w:rsid w:val="00CF7CFE"/>
    <w:rsid w:val="00D0076C"/>
    <w:rsid w:val="00D00947"/>
    <w:rsid w:val="00D014A3"/>
    <w:rsid w:val="00D01A77"/>
    <w:rsid w:val="00D01B4A"/>
    <w:rsid w:val="00D01C65"/>
    <w:rsid w:val="00D01E02"/>
    <w:rsid w:val="00D020E5"/>
    <w:rsid w:val="00D025E8"/>
    <w:rsid w:val="00D0268F"/>
    <w:rsid w:val="00D0315A"/>
    <w:rsid w:val="00D03C3C"/>
    <w:rsid w:val="00D03E23"/>
    <w:rsid w:val="00D04095"/>
    <w:rsid w:val="00D047BD"/>
    <w:rsid w:val="00D04819"/>
    <w:rsid w:val="00D04895"/>
    <w:rsid w:val="00D04F96"/>
    <w:rsid w:val="00D05291"/>
    <w:rsid w:val="00D05302"/>
    <w:rsid w:val="00D05632"/>
    <w:rsid w:val="00D058BB"/>
    <w:rsid w:val="00D05E76"/>
    <w:rsid w:val="00D06150"/>
    <w:rsid w:val="00D0699B"/>
    <w:rsid w:val="00D06A35"/>
    <w:rsid w:val="00D06C7F"/>
    <w:rsid w:val="00D07089"/>
    <w:rsid w:val="00D072D8"/>
    <w:rsid w:val="00D07B02"/>
    <w:rsid w:val="00D10164"/>
    <w:rsid w:val="00D10553"/>
    <w:rsid w:val="00D10E00"/>
    <w:rsid w:val="00D1166A"/>
    <w:rsid w:val="00D11894"/>
    <w:rsid w:val="00D11D52"/>
    <w:rsid w:val="00D12196"/>
    <w:rsid w:val="00D1225A"/>
    <w:rsid w:val="00D128DB"/>
    <w:rsid w:val="00D12EB3"/>
    <w:rsid w:val="00D12F7C"/>
    <w:rsid w:val="00D1311C"/>
    <w:rsid w:val="00D1392C"/>
    <w:rsid w:val="00D13A62"/>
    <w:rsid w:val="00D148EA"/>
    <w:rsid w:val="00D14BAC"/>
    <w:rsid w:val="00D14F4A"/>
    <w:rsid w:val="00D152E8"/>
    <w:rsid w:val="00D16CE6"/>
    <w:rsid w:val="00D17099"/>
    <w:rsid w:val="00D17267"/>
    <w:rsid w:val="00D173EB"/>
    <w:rsid w:val="00D17A22"/>
    <w:rsid w:val="00D20049"/>
    <w:rsid w:val="00D203D7"/>
    <w:rsid w:val="00D20437"/>
    <w:rsid w:val="00D20543"/>
    <w:rsid w:val="00D20C8B"/>
    <w:rsid w:val="00D20D43"/>
    <w:rsid w:val="00D20E9B"/>
    <w:rsid w:val="00D211DD"/>
    <w:rsid w:val="00D21948"/>
    <w:rsid w:val="00D224B1"/>
    <w:rsid w:val="00D2267C"/>
    <w:rsid w:val="00D232AD"/>
    <w:rsid w:val="00D233D6"/>
    <w:rsid w:val="00D244C0"/>
    <w:rsid w:val="00D24A05"/>
    <w:rsid w:val="00D24F5B"/>
    <w:rsid w:val="00D252CC"/>
    <w:rsid w:val="00D2569E"/>
    <w:rsid w:val="00D256E6"/>
    <w:rsid w:val="00D25E94"/>
    <w:rsid w:val="00D25FFE"/>
    <w:rsid w:val="00D26F27"/>
    <w:rsid w:val="00D274D6"/>
    <w:rsid w:val="00D27924"/>
    <w:rsid w:val="00D301B8"/>
    <w:rsid w:val="00D30BA5"/>
    <w:rsid w:val="00D30F8E"/>
    <w:rsid w:val="00D30FEE"/>
    <w:rsid w:val="00D31413"/>
    <w:rsid w:val="00D314E5"/>
    <w:rsid w:val="00D31622"/>
    <w:rsid w:val="00D31C59"/>
    <w:rsid w:val="00D325F7"/>
    <w:rsid w:val="00D32FBE"/>
    <w:rsid w:val="00D33594"/>
    <w:rsid w:val="00D338EA"/>
    <w:rsid w:val="00D33B21"/>
    <w:rsid w:val="00D3443A"/>
    <w:rsid w:val="00D344C4"/>
    <w:rsid w:val="00D35560"/>
    <w:rsid w:val="00D3566D"/>
    <w:rsid w:val="00D35689"/>
    <w:rsid w:val="00D35790"/>
    <w:rsid w:val="00D35B2D"/>
    <w:rsid w:val="00D35E1C"/>
    <w:rsid w:val="00D35E67"/>
    <w:rsid w:val="00D35EB3"/>
    <w:rsid w:val="00D35FF5"/>
    <w:rsid w:val="00D3656F"/>
    <w:rsid w:val="00D36AC4"/>
    <w:rsid w:val="00D3703B"/>
    <w:rsid w:val="00D3781F"/>
    <w:rsid w:val="00D378F2"/>
    <w:rsid w:val="00D37A30"/>
    <w:rsid w:val="00D40446"/>
    <w:rsid w:val="00D4063B"/>
    <w:rsid w:val="00D406E7"/>
    <w:rsid w:val="00D41251"/>
    <w:rsid w:val="00D41668"/>
    <w:rsid w:val="00D4170F"/>
    <w:rsid w:val="00D41968"/>
    <w:rsid w:val="00D42052"/>
    <w:rsid w:val="00D42BEE"/>
    <w:rsid w:val="00D42E51"/>
    <w:rsid w:val="00D43120"/>
    <w:rsid w:val="00D43251"/>
    <w:rsid w:val="00D43395"/>
    <w:rsid w:val="00D433A7"/>
    <w:rsid w:val="00D434D3"/>
    <w:rsid w:val="00D43B33"/>
    <w:rsid w:val="00D44DCA"/>
    <w:rsid w:val="00D45774"/>
    <w:rsid w:val="00D458E7"/>
    <w:rsid w:val="00D45C4F"/>
    <w:rsid w:val="00D46009"/>
    <w:rsid w:val="00D46567"/>
    <w:rsid w:val="00D46728"/>
    <w:rsid w:val="00D47688"/>
    <w:rsid w:val="00D47B94"/>
    <w:rsid w:val="00D501F1"/>
    <w:rsid w:val="00D50230"/>
    <w:rsid w:val="00D50A87"/>
    <w:rsid w:val="00D5132C"/>
    <w:rsid w:val="00D51885"/>
    <w:rsid w:val="00D51B09"/>
    <w:rsid w:val="00D52594"/>
    <w:rsid w:val="00D527AA"/>
    <w:rsid w:val="00D52D63"/>
    <w:rsid w:val="00D5429E"/>
    <w:rsid w:val="00D54C50"/>
    <w:rsid w:val="00D54CB4"/>
    <w:rsid w:val="00D54FBB"/>
    <w:rsid w:val="00D5514B"/>
    <w:rsid w:val="00D5545F"/>
    <w:rsid w:val="00D555EF"/>
    <w:rsid w:val="00D55816"/>
    <w:rsid w:val="00D5593F"/>
    <w:rsid w:val="00D559FA"/>
    <w:rsid w:val="00D5602F"/>
    <w:rsid w:val="00D5619D"/>
    <w:rsid w:val="00D56631"/>
    <w:rsid w:val="00D56713"/>
    <w:rsid w:val="00D57052"/>
    <w:rsid w:val="00D57321"/>
    <w:rsid w:val="00D575F4"/>
    <w:rsid w:val="00D57725"/>
    <w:rsid w:val="00D57F92"/>
    <w:rsid w:val="00D6038A"/>
    <w:rsid w:val="00D603F2"/>
    <w:rsid w:val="00D60947"/>
    <w:rsid w:val="00D61464"/>
    <w:rsid w:val="00D61E08"/>
    <w:rsid w:val="00D61F3B"/>
    <w:rsid w:val="00D61F60"/>
    <w:rsid w:val="00D620AA"/>
    <w:rsid w:val="00D62696"/>
    <w:rsid w:val="00D6272C"/>
    <w:rsid w:val="00D62899"/>
    <w:rsid w:val="00D62915"/>
    <w:rsid w:val="00D62C79"/>
    <w:rsid w:val="00D62E96"/>
    <w:rsid w:val="00D62EBB"/>
    <w:rsid w:val="00D62FD1"/>
    <w:rsid w:val="00D64A59"/>
    <w:rsid w:val="00D65462"/>
    <w:rsid w:val="00D65602"/>
    <w:rsid w:val="00D65991"/>
    <w:rsid w:val="00D65BC3"/>
    <w:rsid w:val="00D6687F"/>
    <w:rsid w:val="00D673F1"/>
    <w:rsid w:val="00D6773D"/>
    <w:rsid w:val="00D6783A"/>
    <w:rsid w:val="00D67B05"/>
    <w:rsid w:val="00D67BD5"/>
    <w:rsid w:val="00D7037E"/>
    <w:rsid w:val="00D70535"/>
    <w:rsid w:val="00D7086E"/>
    <w:rsid w:val="00D70932"/>
    <w:rsid w:val="00D71086"/>
    <w:rsid w:val="00D71837"/>
    <w:rsid w:val="00D71C2B"/>
    <w:rsid w:val="00D72481"/>
    <w:rsid w:val="00D7267B"/>
    <w:rsid w:val="00D72C3A"/>
    <w:rsid w:val="00D72E37"/>
    <w:rsid w:val="00D72E3E"/>
    <w:rsid w:val="00D73928"/>
    <w:rsid w:val="00D73CE4"/>
    <w:rsid w:val="00D7487A"/>
    <w:rsid w:val="00D749EB"/>
    <w:rsid w:val="00D74A0B"/>
    <w:rsid w:val="00D74D86"/>
    <w:rsid w:val="00D74F86"/>
    <w:rsid w:val="00D756B2"/>
    <w:rsid w:val="00D7587E"/>
    <w:rsid w:val="00D7595F"/>
    <w:rsid w:val="00D76F04"/>
    <w:rsid w:val="00D76FD1"/>
    <w:rsid w:val="00D7769D"/>
    <w:rsid w:val="00D77C63"/>
    <w:rsid w:val="00D77D31"/>
    <w:rsid w:val="00D77E41"/>
    <w:rsid w:val="00D77ED0"/>
    <w:rsid w:val="00D80049"/>
    <w:rsid w:val="00D80845"/>
    <w:rsid w:val="00D80EC2"/>
    <w:rsid w:val="00D81542"/>
    <w:rsid w:val="00D816B1"/>
    <w:rsid w:val="00D81B3D"/>
    <w:rsid w:val="00D823FF"/>
    <w:rsid w:val="00D83679"/>
    <w:rsid w:val="00D848E9"/>
    <w:rsid w:val="00D849AD"/>
    <w:rsid w:val="00D84FD4"/>
    <w:rsid w:val="00D853DB"/>
    <w:rsid w:val="00D85A29"/>
    <w:rsid w:val="00D865BF"/>
    <w:rsid w:val="00D8667C"/>
    <w:rsid w:val="00D86893"/>
    <w:rsid w:val="00D86898"/>
    <w:rsid w:val="00D86B17"/>
    <w:rsid w:val="00D86CEE"/>
    <w:rsid w:val="00D86E1C"/>
    <w:rsid w:val="00D871E6"/>
    <w:rsid w:val="00D875B7"/>
    <w:rsid w:val="00D87A18"/>
    <w:rsid w:val="00D87F86"/>
    <w:rsid w:val="00D901D1"/>
    <w:rsid w:val="00D90401"/>
    <w:rsid w:val="00D90733"/>
    <w:rsid w:val="00D90885"/>
    <w:rsid w:val="00D90A17"/>
    <w:rsid w:val="00D90BE9"/>
    <w:rsid w:val="00D90EB2"/>
    <w:rsid w:val="00D9137C"/>
    <w:rsid w:val="00D91864"/>
    <w:rsid w:val="00D91C32"/>
    <w:rsid w:val="00D91ECD"/>
    <w:rsid w:val="00D927C9"/>
    <w:rsid w:val="00D92883"/>
    <w:rsid w:val="00D92BDD"/>
    <w:rsid w:val="00D92C60"/>
    <w:rsid w:val="00D93139"/>
    <w:rsid w:val="00D93DA7"/>
    <w:rsid w:val="00D940FF"/>
    <w:rsid w:val="00D94C05"/>
    <w:rsid w:val="00D94CE7"/>
    <w:rsid w:val="00D94E07"/>
    <w:rsid w:val="00D95112"/>
    <w:rsid w:val="00D95206"/>
    <w:rsid w:val="00D952BB"/>
    <w:rsid w:val="00D95B0F"/>
    <w:rsid w:val="00D96245"/>
    <w:rsid w:val="00D96A72"/>
    <w:rsid w:val="00D96F09"/>
    <w:rsid w:val="00D97435"/>
    <w:rsid w:val="00D97858"/>
    <w:rsid w:val="00D97A79"/>
    <w:rsid w:val="00D97B5A"/>
    <w:rsid w:val="00D97F7A"/>
    <w:rsid w:val="00DA0075"/>
    <w:rsid w:val="00DA050D"/>
    <w:rsid w:val="00DA0631"/>
    <w:rsid w:val="00DA09D4"/>
    <w:rsid w:val="00DA0B6F"/>
    <w:rsid w:val="00DA14F8"/>
    <w:rsid w:val="00DA15F7"/>
    <w:rsid w:val="00DA1E9E"/>
    <w:rsid w:val="00DA1F7C"/>
    <w:rsid w:val="00DA1FB1"/>
    <w:rsid w:val="00DA25E4"/>
    <w:rsid w:val="00DA2602"/>
    <w:rsid w:val="00DA275E"/>
    <w:rsid w:val="00DA2812"/>
    <w:rsid w:val="00DA2DBE"/>
    <w:rsid w:val="00DA3AB2"/>
    <w:rsid w:val="00DA3D11"/>
    <w:rsid w:val="00DA3D17"/>
    <w:rsid w:val="00DA4A5E"/>
    <w:rsid w:val="00DA4FA6"/>
    <w:rsid w:val="00DA5107"/>
    <w:rsid w:val="00DA540E"/>
    <w:rsid w:val="00DA624D"/>
    <w:rsid w:val="00DB0818"/>
    <w:rsid w:val="00DB0A90"/>
    <w:rsid w:val="00DB0AA6"/>
    <w:rsid w:val="00DB1835"/>
    <w:rsid w:val="00DB21D8"/>
    <w:rsid w:val="00DB2401"/>
    <w:rsid w:val="00DB2634"/>
    <w:rsid w:val="00DB2693"/>
    <w:rsid w:val="00DB269C"/>
    <w:rsid w:val="00DB3057"/>
    <w:rsid w:val="00DB3227"/>
    <w:rsid w:val="00DB336E"/>
    <w:rsid w:val="00DB349F"/>
    <w:rsid w:val="00DB3D61"/>
    <w:rsid w:val="00DB3F54"/>
    <w:rsid w:val="00DB4140"/>
    <w:rsid w:val="00DB418C"/>
    <w:rsid w:val="00DB43C3"/>
    <w:rsid w:val="00DB45D8"/>
    <w:rsid w:val="00DB4999"/>
    <w:rsid w:val="00DB4CB3"/>
    <w:rsid w:val="00DB4E75"/>
    <w:rsid w:val="00DB5320"/>
    <w:rsid w:val="00DB5F4C"/>
    <w:rsid w:val="00DB6196"/>
    <w:rsid w:val="00DB6268"/>
    <w:rsid w:val="00DB628F"/>
    <w:rsid w:val="00DB6316"/>
    <w:rsid w:val="00DB6CD8"/>
    <w:rsid w:val="00DB6E47"/>
    <w:rsid w:val="00DB6F98"/>
    <w:rsid w:val="00DB7494"/>
    <w:rsid w:val="00DB7668"/>
    <w:rsid w:val="00DB79BB"/>
    <w:rsid w:val="00DB7C3E"/>
    <w:rsid w:val="00DB7D71"/>
    <w:rsid w:val="00DC0448"/>
    <w:rsid w:val="00DC0FAD"/>
    <w:rsid w:val="00DC13BF"/>
    <w:rsid w:val="00DC16D4"/>
    <w:rsid w:val="00DC1C90"/>
    <w:rsid w:val="00DC1E41"/>
    <w:rsid w:val="00DC2396"/>
    <w:rsid w:val="00DC2474"/>
    <w:rsid w:val="00DC31D2"/>
    <w:rsid w:val="00DC323C"/>
    <w:rsid w:val="00DC33B3"/>
    <w:rsid w:val="00DC3498"/>
    <w:rsid w:val="00DC4280"/>
    <w:rsid w:val="00DC5097"/>
    <w:rsid w:val="00DC50BE"/>
    <w:rsid w:val="00DC54EF"/>
    <w:rsid w:val="00DC59FA"/>
    <w:rsid w:val="00DC5F0C"/>
    <w:rsid w:val="00DC680E"/>
    <w:rsid w:val="00DC7985"/>
    <w:rsid w:val="00DC7995"/>
    <w:rsid w:val="00DC7AB6"/>
    <w:rsid w:val="00DC7EFF"/>
    <w:rsid w:val="00DC7F45"/>
    <w:rsid w:val="00DD0A3E"/>
    <w:rsid w:val="00DD0FB6"/>
    <w:rsid w:val="00DD196C"/>
    <w:rsid w:val="00DD2727"/>
    <w:rsid w:val="00DD33A3"/>
    <w:rsid w:val="00DD3677"/>
    <w:rsid w:val="00DD382A"/>
    <w:rsid w:val="00DD395A"/>
    <w:rsid w:val="00DD3C7B"/>
    <w:rsid w:val="00DD3F15"/>
    <w:rsid w:val="00DD4019"/>
    <w:rsid w:val="00DD41B8"/>
    <w:rsid w:val="00DD4318"/>
    <w:rsid w:val="00DD482B"/>
    <w:rsid w:val="00DD60A3"/>
    <w:rsid w:val="00DD6328"/>
    <w:rsid w:val="00DD64AD"/>
    <w:rsid w:val="00DD6729"/>
    <w:rsid w:val="00DD678D"/>
    <w:rsid w:val="00DD6871"/>
    <w:rsid w:val="00DD6AE2"/>
    <w:rsid w:val="00DD6C1D"/>
    <w:rsid w:val="00DD6C89"/>
    <w:rsid w:val="00DD7061"/>
    <w:rsid w:val="00DD71C9"/>
    <w:rsid w:val="00DD75F3"/>
    <w:rsid w:val="00DE0933"/>
    <w:rsid w:val="00DE10E0"/>
    <w:rsid w:val="00DE1872"/>
    <w:rsid w:val="00DE1A6A"/>
    <w:rsid w:val="00DE1DFE"/>
    <w:rsid w:val="00DE1E13"/>
    <w:rsid w:val="00DE22F7"/>
    <w:rsid w:val="00DE23CF"/>
    <w:rsid w:val="00DE2892"/>
    <w:rsid w:val="00DE2BF8"/>
    <w:rsid w:val="00DE2D37"/>
    <w:rsid w:val="00DE2E5E"/>
    <w:rsid w:val="00DE330C"/>
    <w:rsid w:val="00DE3344"/>
    <w:rsid w:val="00DE45EC"/>
    <w:rsid w:val="00DE4827"/>
    <w:rsid w:val="00DE5A20"/>
    <w:rsid w:val="00DE5AA9"/>
    <w:rsid w:val="00DE5B4F"/>
    <w:rsid w:val="00DE609A"/>
    <w:rsid w:val="00DE6559"/>
    <w:rsid w:val="00DE68F2"/>
    <w:rsid w:val="00DE7359"/>
    <w:rsid w:val="00DE7C9B"/>
    <w:rsid w:val="00DF0CD2"/>
    <w:rsid w:val="00DF0D83"/>
    <w:rsid w:val="00DF113F"/>
    <w:rsid w:val="00DF11FE"/>
    <w:rsid w:val="00DF1267"/>
    <w:rsid w:val="00DF16F1"/>
    <w:rsid w:val="00DF19B6"/>
    <w:rsid w:val="00DF19F7"/>
    <w:rsid w:val="00DF1E77"/>
    <w:rsid w:val="00DF244A"/>
    <w:rsid w:val="00DF28F2"/>
    <w:rsid w:val="00DF3256"/>
    <w:rsid w:val="00DF35E6"/>
    <w:rsid w:val="00DF381D"/>
    <w:rsid w:val="00DF39FD"/>
    <w:rsid w:val="00DF3AD4"/>
    <w:rsid w:val="00DF4527"/>
    <w:rsid w:val="00DF4B2D"/>
    <w:rsid w:val="00DF4C2F"/>
    <w:rsid w:val="00DF4F99"/>
    <w:rsid w:val="00DF5A00"/>
    <w:rsid w:val="00DF61E8"/>
    <w:rsid w:val="00DF62BE"/>
    <w:rsid w:val="00DF6509"/>
    <w:rsid w:val="00DF6684"/>
    <w:rsid w:val="00DF696C"/>
    <w:rsid w:val="00DF6CC9"/>
    <w:rsid w:val="00DF6DBA"/>
    <w:rsid w:val="00DF74FE"/>
    <w:rsid w:val="00DF7A7F"/>
    <w:rsid w:val="00DF7FBA"/>
    <w:rsid w:val="00E002C5"/>
    <w:rsid w:val="00E00902"/>
    <w:rsid w:val="00E00B1E"/>
    <w:rsid w:val="00E00C30"/>
    <w:rsid w:val="00E00C35"/>
    <w:rsid w:val="00E0127A"/>
    <w:rsid w:val="00E014F3"/>
    <w:rsid w:val="00E0226E"/>
    <w:rsid w:val="00E02E26"/>
    <w:rsid w:val="00E03537"/>
    <w:rsid w:val="00E03B5C"/>
    <w:rsid w:val="00E03D3F"/>
    <w:rsid w:val="00E03E99"/>
    <w:rsid w:val="00E0407C"/>
    <w:rsid w:val="00E045FC"/>
    <w:rsid w:val="00E04662"/>
    <w:rsid w:val="00E0483D"/>
    <w:rsid w:val="00E04909"/>
    <w:rsid w:val="00E04B2C"/>
    <w:rsid w:val="00E04BB1"/>
    <w:rsid w:val="00E052FE"/>
    <w:rsid w:val="00E053D9"/>
    <w:rsid w:val="00E05D72"/>
    <w:rsid w:val="00E06537"/>
    <w:rsid w:val="00E06D34"/>
    <w:rsid w:val="00E07259"/>
    <w:rsid w:val="00E074AA"/>
    <w:rsid w:val="00E0770F"/>
    <w:rsid w:val="00E07B36"/>
    <w:rsid w:val="00E102D8"/>
    <w:rsid w:val="00E10437"/>
    <w:rsid w:val="00E10B5B"/>
    <w:rsid w:val="00E110B0"/>
    <w:rsid w:val="00E1134C"/>
    <w:rsid w:val="00E11A71"/>
    <w:rsid w:val="00E11D01"/>
    <w:rsid w:val="00E11E19"/>
    <w:rsid w:val="00E126C0"/>
    <w:rsid w:val="00E12B37"/>
    <w:rsid w:val="00E12EDC"/>
    <w:rsid w:val="00E13171"/>
    <w:rsid w:val="00E13948"/>
    <w:rsid w:val="00E140C0"/>
    <w:rsid w:val="00E14105"/>
    <w:rsid w:val="00E14113"/>
    <w:rsid w:val="00E14190"/>
    <w:rsid w:val="00E14318"/>
    <w:rsid w:val="00E14416"/>
    <w:rsid w:val="00E1441E"/>
    <w:rsid w:val="00E148BA"/>
    <w:rsid w:val="00E14904"/>
    <w:rsid w:val="00E14A05"/>
    <w:rsid w:val="00E154F7"/>
    <w:rsid w:val="00E15803"/>
    <w:rsid w:val="00E15F43"/>
    <w:rsid w:val="00E1601A"/>
    <w:rsid w:val="00E161B8"/>
    <w:rsid w:val="00E1658A"/>
    <w:rsid w:val="00E16A14"/>
    <w:rsid w:val="00E16AAA"/>
    <w:rsid w:val="00E17CD6"/>
    <w:rsid w:val="00E207C7"/>
    <w:rsid w:val="00E208F8"/>
    <w:rsid w:val="00E20CCE"/>
    <w:rsid w:val="00E216F2"/>
    <w:rsid w:val="00E21F56"/>
    <w:rsid w:val="00E2238E"/>
    <w:rsid w:val="00E2299D"/>
    <w:rsid w:val="00E230D1"/>
    <w:rsid w:val="00E23256"/>
    <w:rsid w:val="00E2366C"/>
    <w:rsid w:val="00E23C9E"/>
    <w:rsid w:val="00E23CFA"/>
    <w:rsid w:val="00E2426D"/>
    <w:rsid w:val="00E24550"/>
    <w:rsid w:val="00E245FF"/>
    <w:rsid w:val="00E2476A"/>
    <w:rsid w:val="00E2485F"/>
    <w:rsid w:val="00E24AD8"/>
    <w:rsid w:val="00E24C6F"/>
    <w:rsid w:val="00E2531A"/>
    <w:rsid w:val="00E258B1"/>
    <w:rsid w:val="00E258FA"/>
    <w:rsid w:val="00E25D42"/>
    <w:rsid w:val="00E25FF0"/>
    <w:rsid w:val="00E26DBC"/>
    <w:rsid w:val="00E26F97"/>
    <w:rsid w:val="00E274EC"/>
    <w:rsid w:val="00E2777D"/>
    <w:rsid w:val="00E27F01"/>
    <w:rsid w:val="00E30466"/>
    <w:rsid w:val="00E309F7"/>
    <w:rsid w:val="00E30D20"/>
    <w:rsid w:val="00E3161F"/>
    <w:rsid w:val="00E31B53"/>
    <w:rsid w:val="00E31E90"/>
    <w:rsid w:val="00E32182"/>
    <w:rsid w:val="00E327B5"/>
    <w:rsid w:val="00E32E80"/>
    <w:rsid w:val="00E33B3D"/>
    <w:rsid w:val="00E33C8E"/>
    <w:rsid w:val="00E33E20"/>
    <w:rsid w:val="00E3418E"/>
    <w:rsid w:val="00E344B8"/>
    <w:rsid w:val="00E34674"/>
    <w:rsid w:val="00E34BF8"/>
    <w:rsid w:val="00E34CE3"/>
    <w:rsid w:val="00E34D57"/>
    <w:rsid w:val="00E354AF"/>
    <w:rsid w:val="00E355D3"/>
    <w:rsid w:val="00E361C8"/>
    <w:rsid w:val="00E368CF"/>
    <w:rsid w:val="00E36B6E"/>
    <w:rsid w:val="00E36E42"/>
    <w:rsid w:val="00E36E68"/>
    <w:rsid w:val="00E375C4"/>
    <w:rsid w:val="00E3787D"/>
    <w:rsid w:val="00E37A28"/>
    <w:rsid w:val="00E37FD8"/>
    <w:rsid w:val="00E404E8"/>
    <w:rsid w:val="00E4070A"/>
    <w:rsid w:val="00E40D39"/>
    <w:rsid w:val="00E412FB"/>
    <w:rsid w:val="00E419E1"/>
    <w:rsid w:val="00E41AAB"/>
    <w:rsid w:val="00E41BCA"/>
    <w:rsid w:val="00E41DBB"/>
    <w:rsid w:val="00E41F77"/>
    <w:rsid w:val="00E422DE"/>
    <w:rsid w:val="00E4237D"/>
    <w:rsid w:val="00E42A0D"/>
    <w:rsid w:val="00E42FED"/>
    <w:rsid w:val="00E43174"/>
    <w:rsid w:val="00E43327"/>
    <w:rsid w:val="00E4357A"/>
    <w:rsid w:val="00E44870"/>
    <w:rsid w:val="00E44B8E"/>
    <w:rsid w:val="00E44BA8"/>
    <w:rsid w:val="00E44C97"/>
    <w:rsid w:val="00E44CA4"/>
    <w:rsid w:val="00E45064"/>
    <w:rsid w:val="00E45183"/>
    <w:rsid w:val="00E456F8"/>
    <w:rsid w:val="00E459E7"/>
    <w:rsid w:val="00E46462"/>
    <w:rsid w:val="00E4747F"/>
    <w:rsid w:val="00E47913"/>
    <w:rsid w:val="00E479B2"/>
    <w:rsid w:val="00E47E5A"/>
    <w:rsid w:val="00E50A67"/>
    <w:rsid w:val="00E51699"/>
    <w:rsid w:val="00E517E6"/>
    <w:rsid w:val="00E517F3"/>
    <w:rsid w:val="00E51833"/>
    <w:rsid w:val="00E52B05"/>
    <w:rsid w:val="00E52D02"/>
    <w:rsid w:val="00E52DC8"/>
    <w:rsid w:val="00E5364B"/>
    <w:rsid w:val="00E53767"/>
    <w:rsid w:val="00E53D7C"/>
    <w:rsid w:val="00E54209"/>
    <w:rsid w:val="00E54826"/>
    <w:rsid w:val="00E54ABC"/>
    <w:rsid w:val="00E55066"/>
    <w:rsid w:val="00E554F2"/>
    <w:rsid w:val="00E55FB6"/>
    <w:rsid w:val="00E5633C"/>
    <w:rsid w:val="00E5635D"/>
    <w:rsid w:val="00E565F5"/>
    <w:rsid w:val="00E5671B"/>
    <w:rsid w:val="00E567D5"/>
    <w:rsid w:val="00E56B07"/>
    <w:rsid w:val="00E56E75"/>
    <w:rsid w:val="00E57897"/>
    <w:rsid w:val="00E5789E"/>
    <w:rsid w:val="00E579B7"/>
    <w:rsid w:val="00E57D8C"/>
    <w:rsid w:val="00E6053E"/>
    <w:rsid w:val="00E6082A"/>
    <w:rsid w:val="00E60B1E"/>
    <w:rsid w:val="00E60EA2"/>
    <w:rsid w:val="00E60EFB"/>
    <w:rsid w:val="00E616DD"/>
    <w:rsid w:val="00E61AB1"/>
    <w:rsid w:val="00E61E62"/>
    <w:rsid w:val="00E621B9"/>
    <w:rsid w:val="00E6246E"/>
    <w:rsid w:val="00E62BFF"/>
    <w:rsid w:val="00E6300C"/>
    <w:rsid w:val="00E634CF"/>
    <w:rsid w:val="00E63B93"/>
    <w:rsid w:val="00E63CAE"/>
    <w:rsid w:val="00E63E54"/>
    <w:rsid w:val="00E64163"/>
    <w:rsid w:val="00E64577"/>
    <w:rsid w:val="00E64D42"/>
    <w:rsid w:val="00E65153"/>
    <w:rsid w:val="00E65B6A"/>
    <w:rsid w:val="00E65EEB"/>
    <w:rsid w:val="00E664B7"/>
    <w:rsid w:val="00E668FA"/>
    <w:rsid w:val="00E66DCC"/>
    <w:rsid w:val="00E670B8"/>
    <w:rsid w:val="00E6756A"/>
    <w:rsid w:val="00E675CA"/>
    <w:rsid w:val="00E677D0"/>
    <w:rsid w:val="00E67983"/>
    <w:rsid w:val="00E706BA"/>
    <w:rsid w:val="00E70C01"/>
    <w:rsid w:val="00E71167"/>
    <w:rsid w:val="00E715A0"/>
    <w:rsid w:val="00E71A1E"/>
    <w:rsid w:val="00E71CB7"/>
    <w:rsid w:val="00E71F34"/>
    <w:rsid w:val="00E7243E"/>
    <w:rsid w:val="00E7268D"/>
    <w:rsid w:val="00E727DC"/>
    <w:rsid w:val="00E72CB8"/>
    <w:rsid w:val="00E731A2"/>
    <w:rsid w:val="00E7338D"/>
    <w:rsid w:val="00E7341A"/>
    <w:rsid w:val="00E73589"/>
    <w:rsid w:val="00E735D9"/>
    <w:rsid w:val="00E73749"/>
    <w:rsid w:val="00E73DD5"/>
    <w:rsid w:val="00E74300"/>
    <w:rsid w:val="00E74483"/>
    <w:rsid w:val="00E749AB"/>
    <w:rsid w:val="00E749D7"/>
    <w:rsid w:val="00E7578A"/>
    <w:rsid w:val="00E767E8"/>
    <w:rsid w:val="00E76C54"/>
    <w:rsid w:val="00E7700F"/>
    <w:rsid w:val="00E77336"/>
    <w:rsid w:val="00E77768"/>
    <w:rsid w:val="00E77E63"/>
    <w:rsid w:val="00E77F2E"/>
    <w:rsid w:val="00E805AB"/>
    <w:rsid w:val="00E80B0A"/>
    <w:rsid w:val="00E80B81"/>
    <w:rsid w:val="00E82312"/>
    <w:rsid w:val="00E82750"/>
    <w:rsid w:val="00E83A57"/>
    <w:rsid w:val="00E83E6C"/>
    <w:rsid w:val="00E841D1"/>
    <w:rsid w:val="00E849F3"/>
    <w:rsid w:val="00E84B50"/>
    <w:rsid w:val="00E858F2"/>
    <w:rsid w:val="00E859F6"/>
    <w:rsid w:val="00E85A2F"/>
    <w:rsid w:val="00E85F2D"/>
    <w:rsid w:val="00E86027"/>
    <w:rsid w:val="00E863E0"/>
    <w:rsid w:val="00E8644C"/>
    <w:rsid w:val="00E87BD7"/>
    <w:rsid w:val="00E90160"/>
    <w:rsid w:val="00E90B7B"/>
    <w:rsid w:val="00E913B7"/>
    <w:rsid w:val="00E91771"/>
    <w:rsid w:val="00E91B89"/>
    <w:rsid w:val="00E9244D"/>
    <w:rsid w:val="00E9309F"/>
    <w:rsid w:val="00E93195"/>
    <w:rsid w:val="00E934C1"/>
    <w:rsid w:val="00E9380D"/>
    <w:rsid w:val="00E93E08"/>
    <w:rsid w:val="00E93E5F"/>
    <w:rsid w:val="00E94179"/>
    <w:rsid w:val="00E94A4F"/>
    <w:rsid w:val="00E95081"/>
    <w:rsid w:val="00E96399"/>
    <w:rsid w:val="00E965BE"/>
    <w:rsid w:val="00E96728"/>
    <w:rsid w:val="00E968DC"/>
    <w:rsid w:val="00E97042"/>
    <w:rsid w:val="00E9723C"/>
    <w:rsid w:val="00E97267"/>
    <w:rsid w:val="00E97655"/>
    <w:rsid w:val="00E97BF0"/>
    <w:rsid w:val="00E97EBA"/>
    <w:rsid w:val="00EA025E"/>
    <w:rsid w:val="00EA0336"/>
    <w:rsid w:val="00EA034B"/>
    <w:rsid w:val="00EA03AB"/>
    <w:rsid w:val="00EA03D4"/>
    <w:rsid w:val="00EA055F"/>
    <w:rsid w:val="00EA061D"/>
    <w:rsid w:val="00EA0DCD"/>
    <w:rsid w:val="00EA127D"/>
    <w:rsid w:val="00EA1483"/>
    <w:rsid w:val="00EA1846"/>
    <w:rsid w:val="00EA1B79"/>
    <w:rsid w:val="00EA20BF"/>
    <w:rsid w:val="00EA2806"/>
    <w:rsid w:val="00EA2A92"/>
    <w:rsid w:val="00EA2C6F"/>
    <w:rsid w:val="00EA35D1"/>
    <w:rsid w:val="00EA3AD5"/>
    <w:rsid w:val="00EA3CA7"/>
    <w:rsid w:val="00EA43D3"/>
    <w:rsid w:val="00EA4E8E"/>
    <w:rsid w:val="00EA4F90"/>
    <w:rsid w:val="00EA4FFF"/>
    <w:rsid w:val="00EA5244"/>
    <w:rsid w:val="00EA53CE"/>
    <w:rsid w:val="00EA5698"/>
    <w:rsid w:val="00EA5B6E"/>
    <w:rsid w:val="00EA5DD6"/>
    <w:rsid w:val="00EA646D"/>
    <w:rsid w:val="00EA6CE4"/>
    <w:rsid w:val="00EA7169"/>
    <w:rsid w:val="00EA766F"/>
    <w:rsid w:val="00EA7687"/>
    <w:rsid w:val="00EA7A72"/>
    <w:rsid w:val="00EA7AC7"/>
    <w:rsid w:val="00EA7D5C"/>
    <w:rsid w:val="00EB05ED"/>
    <w:rsid w:val="00EB114A"/>
    <w:rsid w:val="00EB1B61"/>
    <w:rsid w:val="00EB25CA"/>
    <w:rsid w:val="00EB25D2"/>
    <w:rsid w:val="00EB29C5"/>
    <w:rsid w:val="00EB34B4"/>
    <w:rsid w:val="00EB3A34"/>
    <w:rsid w:val="00EB3B03"/>
    <w:rsid w:val="00EB534C"/>
    <w:rsid w:val="00EB6052"/>
    <w:rsid w:val="00EB6366"/>
    <w:rsid w:val="00EB648F"/>
    <w:rsid w:val="00EB6D01"/>
    <w:rsid w:val="00EB6E00"/>
    <w:rsid w:val="00EB702C"/>
    <w:rsid w:val="00EB7491"/>
    <w:rsid w:val="00EB7B65"/>
    <w:rsid w:val="00EB7F20"/>
    <w:rsid w:val="00EC0067"/>
    <w:rsid w:val="00EC0133"/>
    <w:rsid w:val="00EC057D"/>
    <w:rsid w:val="00EC0E1F"/>
    <w:rsid w:val="00EC0EC6"/>
    <w:rsid w:val="00EC159B"/>
    <w:rsid w:val="00EC2506"/>
    <w:rsid w:val="00EC2962"/>
    <w:rsid w:val="00EC2A1C"/>
    <w:rsid w:val="00EC2D40"/>
    <w:rsid w:val="00EC2EE2"/>
    <w:rsid w:val="00EC30DE"/>
    <w:rsid w:val="00EC31DB"/>
    <w:rsid w:val="00EC32FE"/>
    <w:rsid w:val="00EC34DF"/>
    <w:rsid w:val="00EC35DE"/>
    <w:rsid w:val="00EC3D0F"/>
    <w:rsid w:val="00EC3D4E"/>
    <w:rsid w:val="00EC3FA7"/>
    <w:rsid w:val="00EC44DE"/>
    <w:rsid w:val="00EC4570"/>
    <w:rsid w:val="00EC474D"/>
    <w:rsid w:val="00EC497C"/>
    <w:rsid w:val="00EC4B3C"/>
    <w:rsid w:val="00EC4D2B"/>
    <w:rsid w:val="00EC50C8"/>
    <w:rsid w:val="00EC5550"/>
    <w:rsid w:val="00EC55EA"/>
    <w:rsid w:val="00EC57FB"/>
    <w:rsid w:val="00EC5D5F"/>
    <w:rsid w:val="00EC6712"/>
    <w:rsid w:val="00EC6755"/>
    <w:rsid w:val="00EC6F52"/>
    <w:rsid w:val="00EC70FF"/>
    <w:rsid w:val="00EC7268"/>
    <w:rsid w:val="00EC73C8"/>
    <w:rsid w:val="00ED039C"/>
    <w:rsid w:val="00ED03B8"/>
    <w:rsid w:val="00ED11DF"/>
    <w:rsid w:val="00ED1247"/>
    <w:rsid w:val="00ED14FB"/>
    <w:rsid w:val="00ED234C"/>
    <w:rsid w:val="00ED29CD"/>
    <w:rsid w:val="00ED403E"/>
    <w:rsid w:val="00ED43D4"/>
    <w:rsid w:val="00ED44CA"/>
    <w:rsid w:val="00ED4902"/>
    <w:rsid w:val="00ED4A60"/>
    <w:rsid w:val="00ED52F9"/>
    <w:rsid w:val="00ED569D"/>
    <w:rsid w:val="00ED5737"/>
    <w:rsid w:val="00ED58A3"/>
    <w:rsid w:val="00ED63D5"/>
    <w:rsid w:val="00ED6769"/>
    <w:rsid w:val="00ED6C46"/>
    <w:rsid w:val="00ED6C7C"/>
    <w:rsid w:val="00ED6DE4"/>
    <w:rsid w:val="00ED75CB"/>
    <w:rsid w:val="00ED7F3A"/>
    <w:rsid w:val="00EE02A3"/>
    <w:rsid w:val="00EE03F3"/>
    <w:rsid w:val="00EE0452"/>
    <w:rsid w:val="00EE05B8"/>
    <w:rsid w:val="00EE125A"/>
    <w:rsid w:val="00EE1440"/>
    <w:rsid w:val="00EE1857"/>
    <w:rsid w:val="00EE27C8"/>
    <w:rsid w:val="00EE2886"/>
    <w:rsid w:val="00EE2ACA"/>
    <w:rsid w:val="00EE2C22"/>
    <w:rsid w:val="00EE31DF"/>
    <w:rsid w:val="00EE3ADA"/>
    <w:rsid w:val="00EE41F9"/>
    <w:rsid w:val="00EE423C"/>
    <w:rsid w:val="00EE427E"/>
    <w:rsid w:val="00EE437D"/>
    <w:rsid w:val="00EE4414"/>
    <w:rsid w:val="00EE4668"/>
    <w:rsid w:val="00EE491E"/>
    <w:rsid w:val="00EE4E8C"/>
    <w:rsid w:val="00EE52FC"/>
    <w:rsid w:val="00EE5606"/>
    <w:rsid w:val="00EE587E"/>
    <w:rsid w:val="00EE58D7"/>
    <w:rsid w:val="00EE5BD4"/>
    <w:rsid w:val="00EE6926"/>
    <w:rsid w:val="00EE6BB2"/>
    <w:rsid w:val="00EE6C4C"/>
    <w:rsid w:val="00EE6DD3"/>
    <w:rsid w:val="00EE6E77"/>
    <w:rsid w:val="00EE70FD"/>
    <w:rsid w:val="00EE7313"/>
    <w:rsid w:val="00EE7939"/>
    <w:rsid w:val="00EE79D8"/>
    <w:rsid w:val="00EE79F4"/>
    <w:rsid w:val="00EE7B26"/>
    <w:rsid w:val="00EE7D0A"/>
    <w:rsid w:val="00EF0035"/>
    <w:rsid w:val="00EF01CD"/>
    <w:rsid w:val="00EF0604"/>
    <w:rsid w:val="00EF0F9F"/>
    <w:rsid w:val="00EF1337"/>
    <w:rsid w:val="00EF1C67"/>
    <w:rsid w:val="00EF236E"/>
    <w:rsid w:val="00EF23AD"/>
    <w:rsid w:val="00EF2515"/>
    <w:rsid w:val="00EF26CD"/>
    <w:rsid w:val="00EF28F6"/>
    <w:rsid w:val="00EF2E49"/>
    <w:rsid w:val="00EF322C"/>
    <w:rsid w:val="00EF3505"/>
    <w:rsid w:val="00EF35CD"/>
    <w:rsid w:val="00EF39F0"/>
    <w:rsid w:val="00EF42D3"/>
    <w:rsid w:val="00EF4919"/>
    <w:rsid w:val="00EF4AB2"/>
    <w:rsid w:val="00EF4BBD"/>
    <w:rsid w:val="00EF4D3D"/>
    <w:rsid w:val="00EF520F"/>
    <w:rsid w:val="00EF554D"/>
    <w:rsid w:val="00EF5680"/>
    <w:rsid w:val="00EF5E6D"/>
    <w:rsid w:val="00EF5FEF"/>
    <w:rsid w:val="00EF64BB"/>
    <w:rsid w:val="00EF6A2D"/>
    <w:rsid w:val="00EF6C27"/>
    <w:rsid w:val="00EF6DD8"/>
    <w:rsid w:val="00EF714C"/>
    <w:rsid w:val="00EF7169"/>
    <w:rsid w:val="00EF71DF"/>
    <w:rsid w:val="00EF73BF"/>
    <w:rsid w:val="00EF7A0D"/>
    <w:rsid w:val="00EF7AD5"/>
    <w:rsid w:val="00F0011F"/>
    <w:rsid w:val="00F00F2D"/>
    <w:rsid w:val="00F00F74"/>
    <w:rsid w:val="00F0124D"/>
    <w:rsid w:val="00F01C19"/>
    <w:rsid w:val="00F01F64"/>
    <w:rsid w:val="00F02701"/>
    <w:rsid w:val="00F033D2"/>
    <w:rsid w:val="00F03445"/>
    <w:rsid w:val="00F0357B"/>
    <w:rsid w:val="00F035E6"/>
    <w:rsid w:val="00F03AC6"/>
    <w:rsid w:val="00F03D7D"/>
    <w:rsid w:val="00F05151"/>
    <w:rsid w:val="00F055E9"/>
    <w:rsid w:val="00F05FA2"/>
    <w:rsid w:val="00F06EC5"/>
    <w:rsid w:val="00F076DD"/>
    <w:rsid w:val="00F07A65"/>
    <w:rsid w:val="00F07C04"/>
    <w:rsid w:val="00F07D5C"/>
    <w:rsid w:val="00F10289"/>
    <w:rsid w:val="00F1047C"/>
    <w:rsid w:val="00F1063A"/>
    <w:rsid w:val="00F107CA"/>
    <w:rsid w:val="00F10AB6"/>
    <w:rsid w:val="00F10C7E"/>
    <w:rsid w:val="00F11069"/>
    <w:rsid w:val="00F111DD"/>
    <w:rsid w:val="00F111E9"/>
    <w:rsid w:val="00F1141B"/>
    <w:rsid w:val="00F11BBC"/>
    <w:rsid w:val="00F11CA4"/>
    <w:rsid w:val="00F11EE5"/>
    <w:rsid w:val="00F11FE1"/>
    <w:rsid w:val="00F1257F"/>
    <w:rsid w:val="00F125E9"/>
    <w:rsid w:val="00F12E9C"/>
    <w:rsid w:val="00F1355F"/>
    <w:rsid w:val="00F1379E"/>
    <w:rsid w:val="00F1469C"/>
    <w:rsid w:val="00F14775"/>
    <w:rsid w:val="00F15772"/>
    <w:rsid w:val="00F159AB"/>
    <w:rsid w:val="00F15F67"/>
    <w:rsid w:val="00F16058"/>
    <w:rsid w:val="00F16533"/>
    <w:rsid w:val="00F17C6E"/>
    <w:rsid w:val="00F17CCA"/>
    <w:rsid w:val="00F20AD7"/>
    <w:rsid w:val="00F20E92"/>
    <w:rsid w:val="00F20ECF"/>
    <w:rsid w:val="00F20EDD"/>
    <w:rsid w:val="00F2123E"/>
    <w:rsid w:val="00F215FF"/>
    <w:rsid w:val="00F21719"/>
    <w:rsid w:val="00F22263"/>
    <w:rsid w:val="00F2233C"/>
    <w:rsid w:val="00F2284B"/>
    <w:rsid w:val="00F228D9"/>
    <w:rsid w:val="00F22960"/>
    <w:rsid w:val="00F22DF5"/>
    <w:rsid w:val="00F22F0F"/>
    <w:rsid w:val="00F22F60"/>
    <w:rsid w:val="00F238F6"/>
    <w:rsid w:val="00F23C7B"/>
    <w:rsid w:val="00F24062"/>
    <w:rsid w:val="00F24231"/>
    <w:rsid w:val="00F246FE"/>
    <w:rsid w:val="00F24805"/>
    <w:rsid w:val="00F2486C"/>
    <w:rsid w:val="00F24C2C"/>
    <w:rsid w:val="00F25561"/>
    <w:rsid w:val="00F255C2"/>
    <w:rsid w:val="00F258F9"/>
    <w:rsid w:val="00F25A2C"/>
    <w:rsid w:val="00F25ABD"/>
    <w:rsid w:val="00F2605D"/>
    <w:rsid w:val="00F26AA1"/>
    <w:rsid w:val="00F26C10"/>
    <w:rsid w:val="00F26F39"/>
    <w:rsid w:val="00F271F8"/>
    <w:rsid w:val="00F272EE"/>
    <w:rsid w:val="00F27E93"/>
    <w:rsid w:val="00F30DED"/>
    <w:rsid w:val="00F30E7E"/>
    <w:rsid w:val="00F31C7B"/>
    <w:rsid w:val="00F31DF1"/>
    <w:rsid w:val="00F32168"/>
    <w:rsid w:val="00F32593"/>
    <w:rsid w:val="00F32702"/>
    <w:rsid w:val="00F327BD"/>
    <w:rsid w:val="00F327E3"/>
    <w:rsid w:val="00F3323C"/>
    <w:rsid w:val="00F336E7"/>
    <w:rsid w:val="00F33A3C"/>
    <w:rsid w:val="00F33A3D"/>
    <w:rsid w:val="00F343DB"/>
    <w:rsid w:val="00F348B8"/>
    <w:rsid w:val="00F349B0"/>
    <w:rsid w:val="00F35CA6"/>
    <w:rsid w:val="00F35F35"/>
    <w:rsid w:val="00F35F5F"/>
    <w:rsid w:val="00F3665E"/>
    <w:rsid w:val="00F36758"/>
    <w:rsid w:val="00F3686E"/>
    <w:rsid w:val="00F36BEA"/>
    <w:rsid w:val="00F36C37"/>
    <w:rsid w:val="00F36DCE"/>
    <w:rsid w:val="00F36DFD"/>
    <w:rsid w:val="00F377D8"/>
    <w:rsid w:val="00F37ADF"/>
    <w:rsid w:val="00F37CDC"/>
    <w:rsid w:val="00F401A8"/>
    <w:rsid w:val="00F403B4"/>
    <w:rsid w:val="00F41172"/>
    <w:rsid w:val="00F415DA"/>
    <w:rsid w:val="00F41934"/>
    <w:rsid w:val="00F41B37"/>
    <w:rsid w:val="00F41BCD"/>
    <w:rsid w:val="00F420E7"/>
    <w:rsid w:val="00F42111"/>
    <w:rsid w:val="00F4217E"/>
    <w:rsid w:val="00F43940"/>
    <w:rsid w:val="00F43EEE"/>
    <w:rsid w:val="00F44593"/>
    <w:rsid w:val="00F44D87"/>
    <w:rsid w:val="00F45021"/>
    <w:rsid w:val="00F45154"/>
    <w:rsid w:val="00F451DC"/>
    <w:rsid w:val="00F45394"/>
    <w:rsid w:val="00F46C61"/>
    <w:rsid w:val="00F475F4"/>
    <w:rsid w:val="00F47A0A"/>
    <w:rsid w:val="00F47AE1"/>
    <w:rsid w:val="00F47F3C"/>
    <w:rsid w:val="00F47F76"/>
    <w:rsid w:val="00F5032B"/>
    <w:rsid w:val="00F506B0"/>
    <w:rsid w:val="00F506EF"/>
    <w:rsid w:val="00F5098B"/>
    <w:rsid w:val="00F5164D"/>
    <w:rsid w:val="00F517F1"/>
    <w:rsid w:val="00F51DF8"/>
    <w:rsid w:val="00F51E74"/>
    <w:rsid w:val="00F52227"/>
    <w:rsid w:val="00F5229B"/>
    <w:rsid w:val="00F52641"/>
    <w:rsid w:val="00F52A8A"/>
    <w:rsid w:val="00F52C82"/>
    <w:rsid w:val="00F53187"/>
    <w:rsid w:val="00F531E9"/>
    <w:rsid w:val="00F53BB7"/>
    <w:rsid w:val="00F542B4"/>
    <w:rsid w:val="00F545CE"/>
    <w:rsid w:val="00F54988"/>
    <w:rsid w:val="00F54CFA"/>
    <w:rsid w:val="00F55C43"/>
    <w:rsid w:val="00F56170"/>
    <w:rsid w:val="00F56176"/>
    <w:rsid w:val="00F565C2"/>
    <w:rsid w:val="00F5703F"/>
    <w:rsid w:val="00F5705A"/>
    <w:rsid w:val="00F57F7E"/>
    <w:rsid w:val="00F60266"/>
    <w:rsid w:val="00F6065F"/>
    <w:rsid w:val="00F60A1F"/>
    <w:rsid w:val="00F60AEA"/>
    <w:rsid w:val="00F60B32"/>
    <w:rsid w:val="00F61071"/>
    <w:rsid w:val="00F61B04"/>
    <w:rsid w:val="00F61BE2"/>
    <w:rsid w:val="00F61D95"/>
    <w:rsid w:val="00F61FCC"/>
    <w:rsid w:val="00F62220"/>
    <w:rsid w:val="00F6272F"/>
    <w:rsid w:val="00F627E3"/>
    <w:rsid w:val="00F62DA2"/>
    <w:rsid w:val="00F630E0"/>
    <w:rsid w:val="00F63E6A"/>
    <w:rsid w:val="00F63E9E"/>
    <w:rsid w:val="00F644A7"/>
    <w:rsid w:val="00F646AB"/>
    <w:rsid w:val="00F6539A"/>
    <w:rsid w:val="00F65749"/>
    <w:rsid w:val="00F65B9F"/>
    <w:rsid w:val="00F65FEF"/>
    <w:rsid w:val="00F6635C"/>
    <w:rsid w:val="00F668F0"/>
    <w:rsid w:val="00F66D56"/>
    <w:rsid w:val="00F6714C"/>
    <w:rsid w:val="00F6750C"/>
    <w:rsid w:val="00F67A6F"/>
    <w:rsid w:val="00F7021C"/>
    <w:rsid w:val="00F70D1A"/>
    <w:rsid w:val="00F70E2C"/>
    <w:rsid w:val="00F71216"/>
    <w:rsid w:val="00F72952"/>
    <w:rsid w:val="00F72A9F"/>
    <w:rsid w:val="00F72B7A"/>
    <w:rsid w:val="00F72C79"/>
    <w:rsid w:val="00F72F3F"/>
    <w:rsid w:val="00F730A3"/>
    <w:rsid w:val="00F732E3"/>
    <w:rsid w:val="00F733E2"/>
    <w:rsid w:val="00F7372F"/>
    <w:rsid w:val="00F73B17"/>
    <w:rsid w:val="00F73D1D"/>
    <w:rsid w:val="00F74289"/>
    <w:rsid w:val="00F7469F"/>
    <w:rsid w:val="00F749F8"/>
    <w:rsid w:val="00F74E47"/>
    <w:rsid w:val="00F75138"/>
    <w:rsid w:val="00F75851"/>
    <w:rsid w:val="00F75AE6"/>
    <w:rsid w:val="00F75B5F"/>
    <w:rsid w:val="00F75E10"/>
    <w:rsid w:val="00F76C41"/>
    <w:rsid w:val="00F76CFD"/>
    <w:rsid w:val="00F76FB1"/>
    <w:rsid w:val="00F7709A"/>
    <w:rsid w:val="00F7736F"/>
    <w:rsid w:val="00F80480"/>
    <w:rsid w:val="00F80494"/>
    <w:rsid w:val="00F80A56"/>
    <w:rsid w:val="00F80EB1"/>
    <w:rsid w:val="00F8147A"/>
    <w:rsid w:val="00F815AD"/>
    <w:rsid w:val="00F81986"/>
    <w:rsid w:val="00F81A88"/>
    <w:rsid w:val="00F824B8"/>
    <w:rsid w:val="00F8260E"/>
    <w:rsid w:val="00F82725"/>
    <w:rsid w:val="00F82D46"/>
    <w:rsid w:val="00F832C9"/>
    <w:rsid w:val="00F836CF"/>
    <w:rsid w:val="00F84261"/>
    <w:rsid w:val="00F845FA"/>
    <w:rsid w:val="00F84694"/>
    <w:rsid w:val="00F84BAA"/>
    <w:rsid w:val="00F84D3B"/>
    <w:rsid w:val="00F850AF"/>
    <w:rsid w:val="00F851C5"/>
    <w:rsid w:val="00F854A1"/>
    <w:rsid w:val="00F855AA"/>
    <w:rsid w:val="00F85F12"/>
    <w:rsid w:val="00F863D6"/>
    <w:rsid w:val="00F86726"/>
    <w:rsid w:val="00F8679E"/>
    <w:rsid w:val="00F86BAA"/>
    <w:rsid w:val="00F86D69"/>
    <w:rsid w:val="00F87016"/>
    <w:rsid w:val="00F871F5"/>
    <w:rsid w:val="00F8750C"/>
    <w:rsid w:val="00F87AF8"/>
    <w:rsid w:val="00F87E98"/>
    <w:rsid w:val="00F87F70"/>
    <w:rsid w:val="00F90075"/>
    <w:rsid w:val="00F900F3"/>
    <w:rsid w:val="00F908DF"/>
    <w:rsid w:val="00F90BE0"/>
    <w:rsid w:val="00F90C43"/>
    <w:rsid w:val="00F90D43"/>
    <w:rsid w:val="00F912C8"/>
    <w:rsid w:val="00F91447"/>
    <w:rsid w:val="00F9160D"/>
    <w:rsid w:val="00F9167B"/>
    <w:rsid w:val="00F91882"/>
    <w:rsid w:val="00F91E47"/>
    <w:rsid w:val="00F920CE"/>
    <w:rsid w:val="00F92222"/>
    <w:rsid w:val="00F92223"/>
    <w:rsid w:val="00F92A3A"/>
    <w:rsid w:val="00F92A90"/>
    <w:rsid w:val="00F93059"/>
    <w:rsid w:val="00F93182"/>
    <w:rsid w:val="00F93E34"/>
    <w:rsid w:val="00F93ED3"/>
    <w:rsid w:val="00F94A45"/>
    <w:rsid w:val="00F95717"/>
    <w:rsid w:val="00F959AA"/>
    <w:rsid w:val="00F96237"/>
    <w:rsid w:val="00F964C2"/>
    <w:rsid w:val="00F96CA2"/>
    <w:rsid w:val="00F96E98"/>
    <w:rsid w:val="00F96FF7"/>
    <w:rsid w:val="00F97FCD"/>
    <w:rsid w:val="00FA0176"/>
    <w:rsid w:val="00FA02B8"/>
    <w:rsid w:val="00FA08B1"/>
    <w:rsid w:val="00FA10E2"/>
    <w:rsid w:val="00FA122D"/>
    <w:rsid w:val="00FA1532"/>
    <w:rsid w:val="00FA1601"/>
    <w:rsid w:val="00FA2307"/>
    <w:rsid w:val="00FA24A2"/>
    <w:rsid w:val="00FA2900"/>
    <w:rsid w:val="00FA2BB5"/>
    <w:rsid w:val="00FA3055"/>
    <w:rsid w:val="00FA3424"/>
    <w:rsid w:val="00FA343D"/>
    <w:rsid w:val="00FA3A9C"/>
    <w:rsid w:val="00FA4027"/>
    <w:rsid w:val="00FA46C7"/>
    <w:rsid w:val="00FA47A0"/>
    <w:rsid w:val="00FA487C"/>
    <w:rsid w:val="00FA4A12"/>
    <w:rsid w:val="00FA51A4"/>
    <w:rsid w:val="00FA5549"/>
    <w:rsid w:val="00FA5B4D"/>
    <w:rsid w:val="00FA5F84"/>
    <w:rsid w:val="00FA5FFE"/>
    <w:rsid w:val="00FA6639"/>
    <w:rsid w:val="00FA6761"/>
    <w:rsid w:val="00FA6AE4"/>
    <w:rsid w:val="00FA7060"/>
    <w:rsid w:val="00FA7284"/>
    <w:rsid w:val="00FA766A"/>
    <w:rsid w:val="00FA766E"/>
    <w:rsid w:val="00FA7B19"/>
    <w:rsid w:val="00FB001E"/>
    <w:rsid w:val="00FB0135"/>
    <w:rsid w:val="00FB097B"/>
    <w:rsid w:val="00FB12A1"/>
    <w:rsid w:val="00FB1332"/>
    <w:rsid w:val="00FB1448"/>
    <w:rsid w:val="00FB195B"/>
    <w:rsid w:val="00FB2065"/>
    <w:rsid w:val="00FB2752"/>
    <w:rsid w:val="00FB2C8E"/>
    <w:rsid w:val="00FB31BD"/>
    <w:rsid w:val="00FB32D9"/>
    <w:rsid w:val="00FB41A2"/>
    <w:rsid w:val="00FB4440"/>
    <w:rsid w:val="00FB5743"/>
    <w:rsid w:val="00FB5D07"/>
    <w:rsid w:val="00FB5F75"/>
    <w:rsid w:val="00FB6002"/>
    <w:rsid w:val="00FB62F3"/>
    <w:rsid w:val="00FB63E8"/>
    <w:rsid w:val="00FB653E"/>
    <w:rsid w:val="00FB6C07"/>
    <w:rsid w:val="00FB71CF"/>
    <w:rsid w:val="00FB7543"/>
    <w:rsid w:val="00FB799C"/>
    <w:rsid w:val="00FB7F40"/>
    <w:rsid w:val="00FC092C"/>
    <w:rsid w:val="00FC0EAC"/>
    <w:rsid w:val="00FC1408"/>
    <w:rsid w:val="00FC16B2"/>
    <w:rsid w:val="00FC17F9"/>
    <w:rsid w:val="00FC1841"/>
    <w:rsid w:val="00FC1D60"/>
    <w:rsid w:val="00FC1DF9"/>
    <w:rsid w:val="00FC21F1"/>
    <w:rsid w:val="00FC2A35"/>
    <w:rsid w:val="00FC2A49"/>
    <w:rsid w:val="00FC34C5"/>
    <w:rsid w:val="00FC3B6C"/>
    <w:rsid w:val="00FC40C5"/>
    <w:rsid w:val="00FC431C"/>
    <w:rsid w:val="00FC4716"/>
    <w:rsid w:val="00FC47BB"/>
    <w:rsid w:val="00FC546A"/>
    <w:rsid w:val="00FC56EB"/>
    <w:rsid w:val="00FC5984"/>
    <w:rsid w:val="00FC5D37"/>
    <w:rsid w:val="00FC60D8"/>
    <w:rsid w:val="00FC652F"/>
    <w:rsid w:val="00FC67AE"/>
    <w:rsid w:val="00FC6F7D"/>
    <w:rsid w:val="00FC732E"/>
    <w:rsid w:val="00FC7360"/>
    <w:rsid w:val="00FC79E3"/>
    <w:rsid w:val="00FC7DAC"/>
    <w:rsid w:val="00FC7DE6"/>
    <w:rsid w:val="00FC7F48"/>
    <w:rsid w:val="00FC7FFC"/>
    <w:rsid w:val="00FD0637"/>
    <w:rsid w:val="00FD06D3"/>
    <w:rsid w:val="00FD1023"/>
    <w:rsid w:val="00FD11F6"/>
    <w:rsid w:val="00FD148F"/>
    <w:rsid w:val="00FD1650"/>
    <w:rsid w:val="00FD1A98"/>
    <w:rsid w:val="00FD1B7F"/>
    <w:rsid w:val="00FD3AE4"/>
    <w:rsid w:val="00FD3C02"/>
    <w:rsid w:val="00FD3FDF"/>
    <w:rsid w:val="00FD40F9"/>
    <w:rsid w:val="00FD41A5"/>
    <w:rsid w:val="00FD44D5"/>
    <w:rsid w:val="00FD4A6D"/>
    <w:rsid w:val="00FD4DB0"/>
    <w:rsid w:val="00FD5231"/>
    <w:rsid w:val="00FD528E"/>
    <w:rsid w:val="00FD591C"/>
    <w:rsid w:val="00FD5B6D"/>
    <w:rsid w:val="00FD5DF0"/>
    <w:rsid w:val="00FD6251"/>
    <w:rsid w:val="00FD6295"/>
    <w:rsid w:val="00FD6322"/>
    <w:rsid w:val="00FD6458"/>
    <w:rsid w:val="00FD6686"/>
    <w:rsid w:val="00FD6851"/>
    <w:rsid w:val="00FD6BE3"/>
    <w:rsid w:val="00FD6F05"/>
    <w:rsid w:val="00FD7106"/>
    <w:rsid w:val="00FD79BA"/>
    <w:rsid w:val="00FD7F11"/>
    <w:rsid w:val="00FE019D"/>
    <w:rsid w:val="00FE04E3"/>
    <w:rsid w:val="00FE0FBF"/>
    <w:rsid w:val="00FE103D"/>
    <w:rsid w:val="00FE15ED"/>
    <w:rsid w:val="00FE175E"/>
    <w:rsid w:val="00FE1C1F"/>
    <w:rsid w:val="00FE2291"/>
    <w:rsid w:val="00FE2839"/>
    <w:rsid w:val="00FE2DC5"/>
    <w:rsid w:val="00FE2F0D"/>
    <w:rsid w:val="00FE2F2C"/>
    <w:rsid w:val="00FE3D25"/>
    <w:rsid w:val="00FE3D84"/>
    <w:rsid w:val="00FE427E"/>
    <w:rsid w:val="00FE4328"/>
    <w:rsid w:val="00FE46FA"/>
    <w:rsid w:val="00FE473A"/>
    <w:rsid w:val="00FE5391"/>
    <w:rsid w:val="00FE56EE"/>
    <w:rsid w:val="00FE5E1F"/>
    <w:rsid w:val="00FE5E9D"/>
    <w:rsid w:val="00FE621E"/>
    <w:rsid w:val="00FE6560"/>
    <w:rsid w:val="00FE6A77"/>
    <w:rsid w:val="00FE7A79"/>
    <w:rsid w:val="00FE7F0E"/>
    <w:rsid w:val="00FE7F5D"/>
    <w:rsid w:val="00FF013A"/>
    <w:rsid w:val="00FF03CA"/>
    <w:rsid w:val="00FF03F6"/>
    <w:rsid w:val="00FF127E"/>
    <w:rsid w:val="00FF1590"/>
    <w:rsid w:val="00FF1665"/>
    <w:rsid w:val="00FF1E99"/>
    <w:rsid w:val="00FF2019"/>
    <w:rsid w:val="00FF250E"/>
    <w:rsid w:val="00FF2FF2"/>
    <w:rsid w:val="00FF35D7"/>
    <w:rsid w:val="00FF3684"/>
    <w:rsid w:val="00FF3967"/>
    <w:rsid w:val="00FF4539"/>
    <w:rsid w:val="00FF4542"/>
    <w:rsid w:val="00FF4A11"/>
    <w:rsid w:val="00FF4D9E"/>
    <w:rsid w:val="00FF5550"/>
    <w:rsid w:val="00FF5938"/>
    <w:rsid w:val="00FF5A43"/>
    <w:rsid w:val="00FF5D8D"/>
    <w:rsid w:val="00FF7406"/>
    <w:rsid w:val="00FF7542"/>
    <w:rsid w:val="00FF77A2"/>
    <w:rsid w:val="00FF782E"/>
    <w:rsid w:val="00FF7BC8"/>
    <w:rsid w:val="00FF7BE6"/>
    <w:rsid w:val="00FF7C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4CFE0"/>
  <w15:docId w15:val="{EEBA52EE-6D99-2E4D-9E12-8A6980E9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544"/>
    <w:pPr>
      <w:numPr>
        <w:numId w:val="2"/>
      </w:numPr>
      <w:spacing w:after="0" w:line="360" w:lineRule="auto"/>
      <w:ind w:left="0" w:firstLine="0"/>
      <w:jc w:val="both"/>
    </w:pPr>
    <w:rPr>
      <w:rFonts w:ascii="Times New Roman" w:hAnsi="Times New Roman"/>
      <w:sz w:val="24"/>
    </w:rPr>
  </w:style>
  <w:style w:type="paragraph" w:styleId="Titre1">
    <w:name w:val="heading 1"/>
    <w:basedOn w:val="Normal"/>
    <w:next w:val="Normal"/>
    <w:link w:val="Titre1Car"/>
    <w:uiPriority w:val="9"/>
    <w:qFormat/>
    <w:rsid w:val="00AB3B9E"/>
    <w:pPr>
      <w:keepNext/>
      <w:keepLines/>
      <w:numPr>
        <w:numId w:val="0"/>
      </w:numPr>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333C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333C52"/>
    <w:pPr>
      <w:keepNext/>
      <w:keepLines/>
      <w:spacing w:before="40"/>
      <w:outlineLvl w:val="2"/>
    </w:pPr>
    <w:rPr>
      <w:rFonts w:asciiTheme="majorHAnsi" w:eastAsiaTheme="majorEastAsia" w:hAnsiTheme="majorHAnsi" w:cstheme="majorBidi"/>
      <w:color w:val="243F60" w:themeColor="accent1" w:themeShade="7F"/>
      <w:szCs w:val="24"/>
    </w:rPr>
  </w:style>
  <w:style w:type="paragraph" w:styleId="Titre4">
    <w:name w:val="heading 4"/>
    <w:basedOn w:val="Normal"/>
    <w:next w:val="Normal"/>
    <w:link w:val="Titre4Car"/>
    <w:uiPriority w:val="9"/>
    <w:semiHidden/>
    <w:unhideWhenUsed/>
    <w:qFormat/>
    <w:rsid w:val="00333C52"/>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333C52"/>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333C52"/>
    <w:pPr>
      <w:keepNext/>
      <w:keepLines/>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333C52"/>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333C5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33C5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2495D"/>
    <w:pPr>
      <w:spacing w:before="100" w:beforeAutospacing="1" w:after="100" w:afterAutospacing="1" w:line="240" w:lineRule="auto"/>
    </w:pPr>
    <w:rPr>
      <w:rFonts w:eastAsia="Times New Roman" w:cs="Times New Roman"/>
      <w:szCs w:val="24"/>
      <w:lang w:eastAsia="fr-FR"/>
    </w:rPr>
  </w:style>
  <w:style w:type="paragraph" w:styleId="Notedebasdepage">
    <w:name w:val="footnote text"/>
    <w:basedOn w:val="Normal"/>
    <w:link w:val="NotedebasdepageCar"/>
    <w:uiPriority w:val="99"/>
    <w:unhideWhenUsed/>
    <w:qFormat/>
    <w:rsid w:val="00B61B40"/>
    <w:pPr>
      <w:numPr>
        <w:numId w:val="0"/>
      </w:numPr>
      <w:spacing w:line="240" w:lineRule="auto"/>
    </w:pPr>
    <w:rPr>
      <w:sz w:val="20"/>
      <w:szCs w:val="20"/>
    </w:rPr>
  </w:style>
  <w:style w:type="character" w:customStyle="1" w:styleId="NotedebasdepageCar">
    <w:name w:val="Note de bas de page Car"/>
    <w:basedOn w:val="Policepardfaut"/>
    <w:link w:val="Notedebasdepage"/>
    <w:uiPriority w:val="99"/>
    <w:rsid w:val="00B61B40"/>
    <w:rPr>
      <w:rFonts w:ascii="Times New Roman" w:hAnsi="Times New Roman"/>
      <w:sz w:val="20"/>
      <w:szCs w:val="20"/>
    </w:rPr>
  </w:style>
  <w:style w:type="character" w:styleId="Appelnotedebasdep">
    <w:name w:val="footnote reference"/>
    <w:basedOn w:val="Policepardfaut"/>
    <w:uiPriority w:val="99"/>
    <w:unhideWhenUsed/>
    <w:rsid w:val="00570C10"/>
    <w:rPr>
      <w:vertAlign w:val="superscript"/>
    </w:rPr>
  </w:style>
  <w:style w:type="character" w:customStyle="1" w:styleId="Caractresdenotedebasdepage">
    <w:name w:val="Caractères de note de bas de page"/>
    <w:rsid w:val="0084741F"/>
  </w:style>
  <w:style w:type="character" w:customStyle="1" w:styleId="Grillecouleur-Accent1Car">
    <w:name w:val="Grille couleur - Accent 1 Car"/>
    <w:link w:val="Grillecouleur-Accent1"/>
    <w:uiPriority w:val="29"/>
    <w:rsid w:val="0084741F"/>
    <w:rPr>
      <w:rFonts w:eastAsia="Arial Unicode MS"/>
      <w:i/>
      <w:iCs/>
      <w:color w:val="000000"/>
      <w:kern w:val="1"/>
      <w:sz w:val="24"/>
      <w:szCs w:val="24"/>
    </w:rPr>
  </w:style>
  <w:style w:type="table" w:styleId="Grillecouleur-Accent1">
    <w:name w:val="Colorful Grid Accent 1"/>
    <w:basedOn w:val="TableauNormal"/>
    <w:link w:val="Grillecouleur-Accent1Car"/>
    <w:uiPriority w:val="29"/>
    <w:rsid w:val="0084741F"/>
    <w:pPr>
      <w:spacing w:after="0" w:line="240" w:lineRule="auto"/>
    </w:pPr>
    <w:rPr>
      <w:rFonts w:eastAsia="Arial Unicode MS"/>
      <w:i/>
      <w:iCs/>
      <w:color w:val="000000"/>
      <w:kern w:val="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Sansinterligne">
    <w:name w:val="No Spacing"/>
    <w:aliases w:val="CITATION"/>
    <w:basedOn w:val="Normal"/>
    <w:autoRedefine/>
    <w:uiPriority w:val="1"/>
    <w:qFormat/>
    <w:rsid w:val="009161B8"/>
    <w:pPr>
      <w:numPr>
        <w:numId w:val="0"/>
      </w:numPr>
      <w:spacing w:line="240" w:lineRule="auto"/>
      <w:ind w:left="567"/>
    </w:pPr>
    <w:rPr>
      <w:lang w:eastAsia="fr-FR"/>
    </w:rPr>
  </w:style>
  <w:style w:type="paragraph" w:styleId="Paragraphedeliste">
    <w:name w:val="List Paragraph"/>
    <w:basedOn w:val="Normal"/>
    <w:uiPriority w:val="34"/>
    <w:qFormat/>
    <w:rsid w:val="00AB3B9E"/>
    <w:pPr>
      <w:numPr>
        <w:numId w:val="0"/>
      </w:numPr>
      <w:contextualSpacing/>
    </w:pPr>
  </w:style>
  <w:style w:type="paragraph" w:styleId="En-tte">
    <w:name w:val="header"/>
    <w:basedOn w:val="Normal"/>
    <w:link w:val="En-tteCar"/>
    <w:uiPriority w:val="99"/>
    <w:unhideWhenUsed/>
    <w:rsid w:val="009161B8"/>
    <w:pPr>
      <w:numPr>
        <w:numId w:val="0"/>
      </w:numPr>
      <w:tabs>
        <w:tab w:val="center" w:pos="4536"/>
        <w:tab w:val="right" w:pos="9072"/>
      </w:tabs>
      <w:spacing w:line="240" w:lineRule="auto"/>
    </w:pPr>
  </w:style>
  <w:style w:type="character" w:customStyle="1" w:styleId="En-tteCar">
    <w:name w:val="En-tête Car"/>
    <w:basedOn w:val="Policepardfaut"/>
    <w:link w:val="En-tte"/>
    <w:uiPriority w:val="99"/>
    <w:rsid w:val="001D3FDD"/>
    <w:rPr>
      <w:rFonts w:ascii="Times New Roman" w:hAnsi="Times New Roman"/>
      <w:sz w:val="24"/>
    </w:rPr>
  </w:style>
  <w:style w:type="paragraph" w:styleId="Pieddepage">
    <w:name w:val="footer"/>
    <w:basedOn w:val="Normal"/>
    <w:link w:val="PieddepageCar"/>
    <w:uiPriority w:val="99"/>
    <w:unhideWhenUsed/>
    <w:rsid w:val="009161B8"/>
    <w:pPr>
      <w:numPr>
        <w:numId w:val="0"/>
      </w:numPr>
      <w:tabs>
        <w:tab w:val="center" w:pos="4536"/>
        <w:tab w:val="right" w:pos="9072"/>
      </w:tabs>
      <w:spacing w:line="240" w:lineRule="auto"/>
    </w:pPr>
  </w:style>
  <w:style w:type="character" w:customStyle="1" w:styleId="PieddepageCar">
    <w:name w:val="Pied de page Car"/>
    <w:basedOn w:val="Policepardfaut"/>
    <w:link w:val="Pieddepage"/>
    <w:uiPriority w:val="99"/>
    <w:rsid w:val="001D3FDD"/>
    <w:rPr>
      <w:rFonts w:ascii="Times New Roman" w:hAnsi="Times New Roman"/>
      <w:sz w:val="24"/>
    </w:rPr>
  </w:style>
  <w:style w:type="paragraph" w:styleId="Textedebulles">
    <w:name w:val="Balloon Text"/>
    <w:basedOn w:val="Normal"/>
    <w:link w:val="TextedebullesCar"/>
    <w:uiPriority w:val="99"/>
    <w:semiHidden/>
    <w:unhideWhenUsed/>
    <w:rsid w:val="001D3FD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3FDD"/>
    <w:rPr>
      <w:rFonts w:ascii="Tahoma" w:hAnsi="Tahoma" w:cs="Tahoma"/>
      <w:sz w:val="16"/>
      <w:szCs w:val="16"/>
    </w:rPr>
  </w:style>
  <w:style w:type="character" w:styleId="Lienhypertexte">
    <w:name w:val="Hyperlink"/>
    <w:basedOn w:val="Policepardfaut"/>
    <w:uiPriority w:val="99"/>
    <w:unhideWhenUsed/>
    <w:rsid w:val="00FE7A79"/>
    <w:rPr>
      <w:color w:val="0000FF" w:themeColor="hyperlink"/>
      <w:u w:val="single"/>
    </w:rPr>
  </w:style>
  <w:style w:type="character" w:styleId="Lienhypertextesuivivisit">
    <w:name w:val="FollowedHyperlink"/>
    <w:basedOn w:val="Policepardfaut"/>
    <w:uiPriority w:val="99"/>
    <w:semiHidden/>
    <w:unhideWhenUsed/>
    <w:rsid w:val="00865582"/>
    <w:rPr>
      <w:color w:val="800080" w:themeColor="followedHyperlink"/>
      <w:u w:val="single"/>
    </w:rPr>
  </w:style>
  <w:style w:type="paragraph" w:styleId="PrformatHTML">
    <w:name w:val="HTML Preformatted"/>
    <w:basedOn w:val="Normal"/>
    <w:link w:val="PrformatHTMLCar"/>
    <w:uiPriority w:val="99"/>
    <w:semiHidden/>
    <w:unhideWhenUsed/>
    <w:rsid w:val="00AC0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AC0D82"/>
    <w:rPr>
      <w:rFonts w:ascii="Courier New" w:eastAsia="Times New Roman" w:hAnsi="Courier New" w:cs="Courier New"/>
      <w:sz w:val="20"/>
      <w:szCs w:val="20"/>
      <w:lang w:eastAsia="fr-FR"/>
    </w:rPr>
  </w:style>
  <w:style w:type="paragraph" w:customStyle="1" w:styleId="THESESection">
    <w:name w:val="THESE Section"/>
    <w:basedOn w:val="Normal"/>
    <w:link w:val="THESESectionCar"/>
    <w:autoRedefine/>
    <w:qFormat/>
    <w:rsid w:val="002909DF"/>
    <w:pPr>
      <w:numPr>
        <w:numId w:val="0"/>
      </w:numPr>
      <w:spacing w:line="240" w:lineRule="auto"/>
      <w:outlineLvl w:val="3"/>
    </w:pPr>
    <w:rPr>
      <w:rFonts w:eastAsia="Times New Roman" w:cs="Times New Roman"/>
      <w:b/>
      <w:smallCaps/>
      <w:szCs w:val="24"/>
      <w:u w:val="single"/>
      <w:lang w:eastAsia="fr-FR"/>
    </w:rPr>
  </w:style>
  <w:style w:type="paragraph" w:customStyle="1" w:styleId="THESEI">
    <w:name w:val="THESE I"/>
    <w:aliases w:val="II,III"/>
    <w:basedOn w:val="THESESection"/>
    <w:link w:val="THESEICar"/>
    <w:autoRedefine/>
    <w:qFormat/>
    <w:rsid w:val="002909DF"/>
    <w:pPr>
      <w:outlineLvl w:val="4"/>
    </w:pPr>
    <w:rPr>
      <w:smallCaps w:val="0"/>
    </w:rPr>
  </w:style>
  <w:style w:type="paragraph" w:customStyle="1" w:styleId="THESEChapitre">
    <w:name w:val="THESE Chapitre"/>
    <w:basedOn w:val="THESESection"/>
    <w:link w:val="THESEChapitreCar"/>
    <w:autoRedefine/>
    <w:qFormat/>
    <w:rsid w:val="00B05CF3"/>
    <w:pPr>
      <w:jc w:val="center"/>
      <w:outlineLvl w:val="2"/>
    </w:pPr>
    <w:rPr>
      <w:sz w:val="32"/>
      <w:u w:val="none"/>
    </w:rPr>
  </w:style>
  <w:style w:type="paragraph" w:customStyle="1" w:styleId="THESETitre">
    <w:name w:val="THESE Titre"/>
    <w:basedOn w:val="THESEChapitre"/>
    <w:link w:val="THESETitreCar"/>
    <w:autoRedefine/>
    <w:qFormat/>
    <w:rsid w:val="00BF5F2C"/>
    <w:rPr>
      <w:sz w:val="36"/>
    </w:rPr>
  </w:style>
  <w:style w:type="paragraph" w:customStyle="1" w:styleId="THESEPARTIE">
    <w:name w:val="THESE PARTIE"/>
    <w:basedOn w:val="THESETitre"/>
    <w:link w:val="THESEPARTIECar"/>
    <w:autoRedefine/>
    <w:qFormat/>
    <w:rsid w:val="002909DF"/>
    <w:pPr>
      <w:outlineLvl w:val="0"/>
    </w:pPr>
    <w:rPr>
      <w:caps/>
      <w:smallCaps w:val="0"/>
      <w:sz w:val="40"/>
    </w:rPr>
  </w:style>
  <w:style w:type="paragraph" w:customStyle="1" w:styleId="THESEAMaju">
    <w:name w:val="THESE A Maju"/>
    <w:basedOn w:val="THESEI"/>
    <w:link w:val="THESEAMajuCar"/>
    <w:autoRedefine/>
    <w:qFormat/>
    <w:rsid w:val="00B308D2"/>
    <w:pPr>
      <w:outlineLvl w:val="5"/>
    </w:pPr>
    <w:rPr>
      <w:u w:val="none"/>
    </w:rPr>
  </w:style>
  <w:style w:type="paragraph" w:customStyle="1" w:styleId="THESE1">
    <w:name w:val="THESE 1"/>
    <w:aliases w:val="2,3"/>
    <w:basedOn w:val="THESEAMaju"/>
    <w:link w:val="THESE1Car"/>
    <w:autoRedefine/>
    <w:qFormat/>
    <w:rsid w:val="00FC2A35"/>
    <w:pPr>
      <w:ind w:left="851"/>
      <w:outlineLvl w:val="6"/>
    </w:pPr>
    <w:rPr>
      <w:b w:val="0"/>
      <w:u w:val="single"/>
    </w:rPr>
  </w:style>
  <w:style w:type="paragraph" w:customStyle="1" w:styleId="THESEa">
    <w:name w:val="THESE a"/>
    <w:aliases w:val="b,c"/>
    <w:basedOn w:val="THESE1"/>
    <w:link w:val="THESEaCar"/>
    <w:autoRedefine/>
    <w:qFormat/>
    <w:rsid w:val="002909DF"/>
    <w:pPr>
      <w:ind w:left="2268"/>
      <w:outlineLvl w:val="7"/>
    </w:pPr>
    <w:rPr>
      <w:i/>
      <w:u w:val="none"/>
    </w:rPr>
  </w:style>
  <w:style w:type="paragraph" w:customStyle="1" w:styleId="Standard">
    <w:name w:val="Standard"/>
    <w:rsid w:val="0083431F"/>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Footnote">
    <w:name w:val="Footnote"/>
    <w:basedOn w:val="Standard"/>
    <w:rsid w:val="0083431F"/>
    <w:pPr>
      <w:suppressLineNumbers/>
      <w:ind w:left="339" w:hanging="339"/>
      <w:jc w:val="both"/>
    </w:pPr>
    <w:rPr>
      <w:rFonts w:ascii="Times New Roman" w:eastAsia="Times New Roman" w:hAnsi="Times New Roman" w:cs="Times New Roman"/>
      <w:sz w:val="20"/>
      <w:szCs w:val="20"/>
    </w:rPr>
  </w:style>
  <w:style w:type="paragraph" w:customStyle="1" w:styleId="THSection">
    <w:name w:val="TH Section"/>
    <w:basedOn w:val="Normal"/>
    <w:link w:val="THSectionCar"/>
    <w:rsid w:val="00495D69"/>
    <w:pPr>
      <w:spacing w:after="200" w:line="276" w:lineRule="auto"/>
      <w:jc w:val="left"/>
    </w:pPr>
  </w:style>
  <w:style w:type="character" w:customStyle="1" w:styleId="THSectionCar">
    <w:name w:val="TH Section Car"/>
    <w:basedOn w:val="Policepardfaut"/>
    <w:link w:val="THSection"/>
    <w:rsid w:val="00495D69"/>
    <w:rPr>
      <w:rFonts w:ascii="Times New Roman" w:hAnsi="Times New Roman"/>
      <w:sz w:val="24"/>
    </w:rPr>
  </w:style>
  <w:style w:type="character" w:styleId="lev">
    <w:name w:val="Strong"/>
    <w:aliases w:val="Gras"/>
    <w:qFormat/>
    <w:rsid w:val="00355449"/>
    <w:rPr>
      <w:b/>
      <w:bCs/>
    </w:rPr>
  </w:style>
  <w:style w:type="character" w:styleId="Accentuation">
    <w:name w:val="Emphasis"/>
    <w:qFormat/>
    <w:rsid w:val="002514FB"/>
    <w:rPr>
      <w:i/>
      <w:iCs/>
    </w:rPr>
  </w:style>
  <w:style w:type="paragraph" w:customStyle="1" w:styleId="sdfootnote">
    <w:name w:val="sdfootnote"/>
    <w:basedOn w:val="Normal"/>
    <w:rsid w:val="009161B8"/>
    <w:pPr>
      <w:numPr>
        <w:numId w:val="0"/>
      </w:numPr>
      <w:spacing w:before="100" w:beforeAutospacing="1" w:line="240" w:lineRule="auto"/>
      <w:jc w:val="left"/>
    </w:pPr>
    <w:rPr>
      <w:rFonts w:eastAsia="Times New Roman" w:cs="Times New Roman"/>
      <w:sz w:val="20"/>
      <w:szCs w:val="20"/>
      <w:lang w:eastAsia="fr-FR"/>
    </w:rPr>
  </w:style>
  <w:style w:type="character" w:customStyle="1" w:styleId="st">
    <w:name w:val="st"/>
    <w:basedOn w:val="Policepardfaut"/>
    <w:rsid w:val="00422E03"/>
  </w:style>
  <w:style w:type="character" w:customStyle="1" w:styleId="Titre1Car">
    <w:name w:val="Titre 1 Car"/>
    <w:basedOn w:val="Policepardfaut"/>
    <w:link w:val="Titre1"/>
    <w:uiPriority w:val="9"/>
    <w:rsid w:val="008D14B4"/>
    <w:rPr>
      <w:rFonts w:asciiTheme="majorHAnsi" w:eastAsiaTheme="majorEastAsia" w:hAnsiTheme="majorHAnsi" w:cstheme="majorBidi"/>
      <w:color w:val="365F91" w:themeColor="accent1" w:themeShade="BF"/>
      <w:sz w:val="32"/>
      <w:szCs w:val="32"/>
    </w:rPr>
  </w:style>
  <w:style w:type="paragraph" w:styleId="Rvision">
    <w:name w:val="Revision"/>
    <w:hidden/>
    <w:uiPriority w:val="99"/>
    <w:semiHidden/>
    <w:rsid w:val="0013746F"/>
    <w:pPr>
      <w:spacing w:after="0" w:line="240" w:lineRule="auto"/>
    </w:pPr>
    <w:rPr>
      <w:rFonts w:ascii="Times New Roman" w:hAnsi="Times New Roman"/>
      <w:sz w:val="24"/>
    </w:rPr>
  </w:style>
  <w:style w:type="paragraph" w:customStyle="1" w:styleId="THESEChapitre1">
    <w:name w:val="THESE Chapitre1"/>
    <w:basedOn w:val="THESESection"/>
    <w:rsid w:val="00AB3B9E"/>
    <w:pPr>
      <w:jc w:val="center"/>
    </w:pPr>
    <w:rPr>
      <w:sz w:val="32"/>
      <w:u w:val="none"/>
    </w:rPr>
  </w:style>
  <w:style w:type="paragraph" w:customStyle="1" w:styleId="THESETitre1">
    <w:name w:val="THESE Titre1"/>
    <w:basedOn w:val="THESEChapitre"/>
    <w:link w:val="THESETitre1Car"/>
    <w:rsid w:val="00866F4A"/>
    <w:rPr>
      <w:sz w:val="36"/>
    </w:rPr>
  </w:style>
  <w:style w:type="paragraph" w:customStyle="1" w:styleId="THESEPARTIE1">
    <w:name w:val="THESE PARTIE1"/>
    <w:basedOn w:val="THESETitre"/>
    <w:rsid w:val="00AB3B9E"/>
    <w:rPr>
      <w:caps/>
      <w:smallCaps w:val="0"/>
      <w:sz w:val="40"/>
    </w:rPr>
  </w:style>
  <w:style w:type="paragraph" w:styleId="Titre">
    <w:name w:val="Title"/>
    <w:basedOn w:val="Normal"/>
    <w:next w:val="Normal"/>
    <w:link w:val="TitreCar"/>
    <w:uiPriority w:val="10"/>
    <w:qFormat/>
    <w:rsid w:val="00AB3B9E"/>
    <w:pPr>
      <w:numPr>
        <w:numId w:val="0"/>
      </w:num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01489"/>
    <w:rPr>
      <w:rFonts w:asciiTheme="majorHAnsi" w:eastAsiaTheme="majorEastAsia" w:hAnsiTheme="majorHAnsi" w:cstheme="majorBidi"/>
      <w:color w:val="17365D" w:themeColor="text2" w:themeShade="BF"/>
      <w:spacing w:val="5"/>
      <w:kern w:val="28"/>
      <w:sz w:val="52"/>
      <w:szCs w:val="52"/>
    </w:rPr>
  </w:style>
  <w:style w:type="character" w:customStyle="1" w:styleId="Mention1">
    <w:name w:val="Mention1"/>
    <w:basedOn w:val="Policepardfaut"/>
    <w:uiPriority w:val="99"/>
    <w:semiHidden/>
    <w:unhideWhenUsed/>
    <w:rsid w:val="001439B6"/>
    <w:rPr>
      <w:color w:val="2B579A"/>
      <w:shd w:val="clear" w:color="auto" w:fill="E6E6E6"/>
    </w:rPr>
  </w:style>
  <w:style w:type="character" w:customStyle="1" w:styleId="Mentionnonrsolue1">
    <w:name w:val="Mention non résolue1"/>
    <w:basedOn w:val="Policepardfaut"/>
    <w:uiPriority w:val="99"/>
    <w:semiHidden/>
    <w:unhideWhenUsed/>
    <w:rsid w:val="0038122A"/>
    <w:rPr>
      <w:color w:val="808080"/>
      <w:shd w:val="clear" w:color="auto" w:fill="E6E6E6"/>
    </w:rPr>
  </w:style>
  <w:style w:type="character" w:styleId="Numrodeligne">
    <w:name w:val="line number"/>
    <w:basedOn w:val="Policepardfaut"/>
    <w:uiPriority w:val="99"/>
    <w:semiHidden/>
    <w:unhideWhenUsed/>
    <w:rsid w:val="00AB3B9E"/>
  </w:style>
  <w:style w:type="character" w:customStyle="1" w:styleId="fontstyle01">
    <w:name w:val="fontstyle01"/>
    <w:basedOn w:val="Policepardfaut"/>
    <w:rsid w:val="00D61F3B"/>
    <w:rPr>
      <w:rFonts w:ascii="Times New Roman" w:hAnsi="Times New Roman" w:cs="Times New Roman" w:hint="default"/>
      <w:b w:val="0"/>
      <w:bCs w:val="0"/>
      <w:i w:val="0"/>
      <w:iCs w:val="0"/>
      <w:color w:val="000000"/>
      <w:sz w:val="20"/>
      <w:szCs w:val="20"/>
    </w:rPr>
  </w:style>
  <w:style w:type="character" w:customStyle="1" w:styleId="documentfirstua">
    <w:name w:val="documentfirstua"/>
    <w:basedOn w:val="Policepardfaut"/>
    <w:rsid w:val="00572991"/>
  </w:style>
  <w:style w:type="character" w:styleId="Mentionnonrsolue">
    <w:name w:val="Unresolved Mention"/>
    <w:basedOn w:val="Policepardfaut"/>
    <w:uiPriority w:val="99"/>
    <w:semiHidden/>
    <w:unhideWhenUsed/>
    <w:rsid w:val="000530B2"/>
    <w:rPr>
      <w:color w:val="808080"/>
      <w:shd w:val="clear" w:color="auto" w:fill="E6E6E6"/>
    </w:rPr>
  </w:style>
  <w:style w:type="paragraph" w:styleId="En-ttedetabledesmatires">
    <w:name w:val="TOC Heading"/>
    <w:basedOn w:val="Titre1"/>
    <w:next w:val="Normal"/>
    <w:uiPriority w:val="39"/>
    <w:unhideWhenUsed/>
    <w:qFormat/>
    <w:rsid w:val="002F0989"/>
    <w:pPr>
      <w:spacing w:line="259" w:lineRule="auto"/>
      <w:jc w:val="left"/>
      <w:outlineLvl w:val="9"/>
    </w:pPr>
    <w:rPr>
      <w:lang w:eastAsia="fr-FR"/>
    </w:rPr>
  </w:style>
  <w:style w:type="character" w:customStyle="1" w:styleId="Titre9Car">
    <w:name w:val="Titre 9 Car"/>
    <w:basedOn w:val="Policepardfaut"/>
    <w:link w:val="Titre9"/>
    <w:uiPriority w:val="9"/>
    <w:semiHidden/>
    <w:rsid w:val="00333C52"/>
    <w:rPr>
      <w:rFonts w:asciiTheme="majorHAnsi" w:eastAsiaTheme="majorEastAsia" w:hAnsiTheme="majorHAnsi" w:cstheme="majorBidi"/>
      <w:i/>
      <w:iCs/>
      <w:color w:val="272727" w:themeColor="text1" w:themeTint="D8"/>
      <w:sz w:val="21"/>
      <w:szCs w:val="21"/>
    </w:rPr>
  </w:style>
  <w:style w:type="character" w:customStyle="1" w:styleId="Titre8Car">
    <w:name w:val="Titre 8 Car"/>
    <w:basedOn w:val="Policepardfaut"/>
    <w:link w:val="Titre8"/>
    <w:uiPriority w:val="9"/>
    <w:semiHidden/>
    <w:rsid w:val="00333C52"/>
    <w:rPr>
      <w:rFonts w:asciiTheme="majorHAnsi" w:eastAsiaTheme="majorEastAsia" w:hAnsiTheme="majorHAnsi" w:cstheme="majorBidi"/>
      <w:color w:val="272727" w:themeColor="text1" w:themeTint="D8"/>
      <w:sz w:val="21"/>
      <w:szCs w:val="21"/>
    </w:rPr>
  </w:style>
  <w:style w:type="character" w:customStyle="1" w:styleId="Titre7Car">
    <w:name w:val="Titre 7 Car"/>
    <w:basedOn w:val="Policepardfaut"/>
    <w:link w:val="Titre7"/>
    <w:uiPriority w:val="9"/>
    <w:semiHidden/>
    <w:rsid w:val="00333C52"/>
    <w:rPr>
      <w:rFonts w:asciiTheme="majorHAnsi" w:eastAsiaTheme="majorEastAsia" w:hAnsiTheme="majorHAnsi" w:cstheme="majorBidi"/>
      <w:i/>
      <w:iCs/>
      <w:color w:val="243F60" w:themeColor="accent1" w:themeShade="7F"/>
      <w:sz w:val="24"/>
    </w:rPr>
  </w:style>
  <w:style w:type="character" w:customStyle="1" w:styleId="Titre6Car">
    <w:name w:val="Titre 6 Car"/>
    <w:basedOn w:val="Policepardfaut"/>
    <w:link w:val="Titre6"/>
    <w:uiPriority w:val="9"/>
    <w:semiHidden/>
    <w:rsid w:val="00333C52"/>
    <w:rPr>
      <w:rFonts w:asciiTheme="majorHAnsi" w:eastAsiaTheme="majorEastAsia" w:hAnsiTheme="majorHAnsi" w:cstheme="majorBidi"/>
      <w:color w:val="243F60" w:themeColor="accent1" w:themeShade="7F"/>
      <w:sz w:val="24"/>
    </w:rPr>
  </w:style>
  <w:style w:type="character" w:customStyle="1" w:styleId="Titre5Car">
    <w:name w:val="Titre 5 Car"/>
    <w:basedOn w:val="Policepardfaut"/>
    <w:link w:val="Titre5"/>
    <w:uiPriority w:val="9"/>
    <w:semiHidden/>
    <w:rsid w:val="00333C52"/>
    <w:rPr>
      <w:rFonts w:asciiTheme="majorHAnsi" w:eastAsiaTheme="majorEastAsia" w:hAnsiTheme="majorHAnsi" w:cstheme="majorBidi"/>
      <w:color w:val="365F91" w:themeColor="accent1" w:themeShade="BF"/>
      <w:sz w:val="24"/>
    </w:rPr>
  </w:style>
  <w:style w:type="character" w:customStyle="1" w:styleId="Titre4Car">
    <w:name w:val="Titre 4 Car"/>
    <w:basedOn w:val="Policepardfaut"/>
    <w:link w:val="Titre4"/>
    <w:uiPriority w:val="9"/>
    <w:semiHidden/>
    <w:rsid w:val="00333C52"/>
    <w:rPr>
      <w:rFonts w:asciiTheme="majorHAnsi" w:eastAsiaTheme="majorEastAsia" w:hAnsiTheme="majorHAnsi" w:cstheme="majorBidi"/>
      <w:i/>
      <w:iCs/>
      <w:color w:val="365F91" w:themeColor="accent1" w:themeShade="BF"/>
      <w:sz w:val="24"/>
    </w:rPr>
  </w:style>
  <w:style w:type="character" w:customStyle="1" w:styleId="Titre3Car">
    <w:name w:val="Titre 3 Car"/>
    <w:basedOn w:val="Policepardfaut"/>
    <w:link w:val="Titre3"/>
    <w:uiPriority w:val="9"/>
    <w:rsid w:val="00333C52"/>
    <w:rPr>
      <w:rFonts w:asciiTheme="majorHAnsi" w:eastAsiaTheme="majorEastAsia" w:hAnsiTheme="majorHAnsi" w:cstheme="majorBidi"/>
      <w:color w:val="243F60" w:themeColor="accent1" w:themeShade="7F"/>
      <w:sz w:val="24"/>
      <w:szCs w:val="24"/>
    </w:rPr>
  </w:style>
  <w:style w:type="character" w:customStyle="1" w:styleId="Titre2Car">
    <w:name w:val="Titre 2 Car"/>
    <w:basedOn w:val="Policepardfaut"/>
    <w:link w:val="Titre2"/>
    <w:uiPriority w:val="9"/>
    <w:rsid w:val="00333C52"/>
    <w:rPr>
      <w:rFonts w:asciiTheme="majorHAnsi" w:eastAsiaTheme="majorEastAsia" w:hAnsiTheme="majorHAnsi" w:cstheme="majorBidi"/>
      <w:color w:val="365F91" w:themeColor="accent1" w:themeShade="BF"/>
      <w:sz w:val="26"/>
      <w:szCs w:val="26"/>
    </w:rPr>
  </w:style>
  <w:style w:type="paragraph" w:styleId="TM2">
    <w:name w:val="toc 2"/>
    <w:next w:val="Footnote"/>
    <w:autoRedefine/>
    <w:uiPriority w:val="39"/>
    <w:unhideWhenUsed/>
    <w:rsid w:val="00054A9F"/>
    <w:pPr>
      <w:spacing w:before="240" w:after="120" w:line="360" w:lineRule="auto"/>
      <w:ind w:left="227"/>
      <w:jc w:val="both"/>
    </w:pPr>
    <w:rPr>
      <w:rFonts w:ascii="Times" w:hAnsi="Times" w:cs="Calibri (Corps)"/>
      <w:iCs/>
      <w:caps/>
      <w:sz w:val="24"/>
      <w:szCs w:val="20"/>
    </w:rPr>
  </w:style>
  <w:style w:type="paragraph" w:styleId="TM3">
    <w:name w:val="toc 3"/>
    <w:next w:val="Footnote"/>
    <w:autoRedefine/>
    <w:uiPriority w:val="39"/>
    <w:unhideWhenUsed/>
    <w:rsid w:val="00054A9F"/>
    <w:pPr>
      <w:spacing w:before="120" w:after="240" w:line="360" w:lineRule="auto"/>
      <w:ind w:left="340"/>
      <w:jc w:val="both"/>
    </w:pPr>
    <w:rPr>
      <w:rFonts w:ascii="Times" w:hAnsi="Times" w:cstheme="minorHAnsi"/>
      <w:sz w:val="24"/>
      <w:szCs w:val="20"/>
    </w:rPr>
  </w:style>
  <w:style w:type="paragraph" w:styleId="TM4">
    <w:name w:val="toc 4"/>
    <w:next w:val="Footnote"/>
    <w:autoRedefine/>
    <w:uiPriority w:val="39"/>
    <w:unhideWhenUsed/>
    <w:rsid w:val="006E3AB3"/>
    <w:pPr>
      <w:spacing w:before="240" w:after="120" w:line="360" w:lineRule="auto"/>
      <w:ind w:left="567"/>
    </w:pPr>
    <w:rPr>
      <w:rFonts w:ascii="Times" w:hAnsi="Times" w:cs="Calibri (Corps)"/>
      <w:b/>
      <w:szCs w:val="20"/>
      <w:u w:val="double"/>
    </w:rPr>
  </w:style>
  <w:style w:type="paragraph" w:styleId="TM5">
    <w:name w:val="toc 5"/>
    <w:next w:val="Footnote"/>
    <w:autoRedefine/>
    <w:uiPriority w:val="39"/>
    <w:unhideWhenUsed/>
    <w:rsid w:val="006E3AB3"/>
    <w:pPr>
      <w:spacing w:before="240" w:after="120" w:line="240" w:lineRule="auto"/>
      <w:ind w:left="680"/>
      <w:jc w:val="both"/>
    </w:pPr>
    <w:rPr>
      <w:rFonts w:ascii="Times" w:hAnsi="Times" w:cs="Calibri (Corps)"/>
      <w:b/>
      <w:sz w:val="20"/>
      <w:szCs w:val="20"/>
      <w:u w:val="words"/>
    </w:rPr>
  </w:style>
  <w:style w:type="paragraph" w:styleId="TM6">
    <w:name w:val="toc 6"/>
    <w:next w:val="Footnote"/>
    <w:autoRedefine/>
    <w:uiPriority w:val="39"/>
    <w:unhideWhenUsed/>
    <w:rsid w:val="006E3AB3"/>
    <w:pPr>
      <w:spacing w:before="240" w:after="120" w:line="240" w:lineRule="auto"/>
      <w:ind w:left="737"/>
    </w:pPr>
    <w:rPr>
      <w:rFonts w:ascii="Times" w:hAnsi="Times" w:cs="Calibri (Corps)"/>
      <w:b/>
      <w:sz w:val="20"/>
      <w:szCs w:val="20"/>
    </w:rPr>
  </w:style>
  <w:style w:type="paragraph" w:styleId="TM7">
    <w:name w:val="toc 7"/>
    <w:next w:val="Footnote"/>
    <w:autoRedefine/>
    <w:uiPriority w:val="39"/>
    <w:unhideWhenUsed/>
    <w:rsid w:val="006E3AB3"/>
    <w:pPr>
      <w:spacing w:before="240" w:after="120" w:line="240" w:lineRule="auto"/>
      <w:ind w:left="851"/>
    </w:pPr>
    <w:rPr>
      <w:rFonts w:ascii="Times" w:hAnsi="Times" w:cs="Calibri (Corps)"/>
      <w:sz w:val="20"/>
      <w:szCs w:val="20"/>
      <w:u w:val="words"/>
    </w:rPr>
  </w:style>
  <w:style w:type="paragraph" w:styleId="TM1">
    <w:name w:val="toc 1"/>
    <w:next w:val="Footnote"/>
    <w:autoRedefine/>
    <w:uiPriority w:val="39"/>
    <w:unhideWhenUsed/>
    <w:rsid w:val="00054A9F"/>
    <w:pPr>
      <w:spacing w:before="240" w:after="120" w:line="360" w:lineRule="auto"/>
      <w:jc w:val="both"/>
    </w:pPr>
    <w:rPr>
      <w:rFonts w:ascii="Times" w:hAnsi="Times" w:cs="Calibri (Corps)"/>
      <w:b/>
      <w:bCs/>
      <w:caps/>
      <w:sz w:val="24"/>
      <w:szCs w:val="20"/>
    </w:rPr>
  </w:style>
  <w:style w:type="paragraph" w:styleId="Notedefin">
    <w:name w:val="endnote text"/>
    <w:basedOn w:val="Normal"/>
    <w:link w:val="NotedefinCar"/>
    <w:uiPriority w:val="99"/>
    <w:semiHidden/>
    <w:unhideWhenUsed/>
    <w:rsid w:val="00F420E7"/>
    <w:pPr>
      <w:spacing w:line="240" w:lineRule="auto"/>
    </w:pPr>
    <w:rPr>
      <w:sz w:val="20"/>
      <w:szCs w:val="20"/>
    </w:rPr>
  </w:style>
  <w:style w:type="character" w:customStyle="1" w:styleId="NotedefinCar">
    <w:name w:val="Note de fin Car"/>
    <w:basedOn w:val="Policepardfaut"/>
    <w:link w:val="Notedefin"/>
    <w:uiPriority w:val="99"/>
    <w:semiHidden/>
    <w:rsid w:val="00F420E7"/>
    <w:rPr>
      <w:rFonts w:ascii="Times New Roman" w:hAnsi="Times New Roman"/>
      <w:sz w:val="20"/>
      <w:szCs w:val="20"/>
    </w:rPr>
  </w:style>
  <w:style w:type="character" w:styleId="Appeldenotedefin">
    <w:name w:val="endnote reference"/>
    <w:basedOn w:val="Policepardfaut"/>
    <w:uiPriority w:val="99"/>
    <w:semiHidden/>
    <w:unhideWhenUsed/>
    <w:rsid w:val="00F420E7"/>
    <w:rPr>
      <w:vertAlign w:val="superscript"/>
    </w:rPr>
  </w:style>
  <w:style w:type="paragraph" w:styleId="TM8">
    <w:name w:val="toc 8"/>
    <w:next w:val="Footnote"/>
    <w:autoRedefine/>
    <w:uiPriority w:val="39"/>
    <w:unhideWhenUsed/>
    <w:rsid w:val="006E3AB3"/>
    <w:pPr>
      <w:spacing w:before="240" w:after="120" w:line="240" w:lineRule="auto"/>
      <w:ind w:left="964"/>
    </w:pPr>
    <w:rPr>
      <w:rFonts w:ascii="Times" w:eastAsia="Times New Roman" w:hAnsi="Times" w:cstheme="minorHAnsi"/>
      <w:i/>
      <w:kern w:val="3"/>
      <w:sz w:val="20"/>
      <w:szCs w:val="20"/>
      <w:lang w:eastAsia="zh-CN" w:bidi="hi-IN"/>
    </w:rPr>
  </w:style>
  <w:style w:type="paragraph" w:styleId="TM9">
    <w:name w:val="toc 9"/>
    <w:basedOn w:val="Normal"/>
    <w:next w:val="Normal"/>
    <w:autoRedefine/>
    <w:uiPriority w:val="39"/>
    <w:unhideWhenUsed/>
    <w:rsid w:val="00DA275E"/>
    <w:pPr>
      <w:ind w:left="1920"/>
      <w:jc w:val="left"/>
    </w:pPr>
    <w:rPr>
      <w:rFonts w:asciiTheme="minorHAnsi" w:hAnsiTheme="minorHAnsi" w:cstheme="minorHAnsi"/>
      <w:sz w:val="20"/>
      <w:szCs w:val="20"/>
    </w:rPr>
  </w:style>
  <w:style w:type="character" w:customStyle="1" w:styleId="THESESectionCar">
    <w:name w:val="THESE Section Car"/>
    <w:basedOn w:val="Policepardfaut"/>
    <w:link w:val="THESESection"/>
    <w:rsid w:val="002909DF"/>
    <w:rPr>
      <w:rFonts w:ascii="Times New Roman" w:eastAsia="Times New Roman" w:hAnsi="Times New Roman" w:cs="Times New Roman"/>
      <w:b/>
      <w:smallCaps/>
      <w:sz w:val="24"/>
      <w:szCs w:val="24"/>
      <w:u w:val="single"/>
      <w:lang w:eastAsia="fr-FR"/>
    </w:rPr>
  </w:style>
  <w:style w:type="character" w:customStyle="1" w:styleId="THESEChapitreCar">
    <w:name w:val="THESE Chapitre Car"/>
    <w:basedOn w:val="THESESectionCar"/>
    <w:link w:val="THESEChapitre"/>
    <w:rsid w:val="00B05CF3"/>
    <w:rPr>
      <w:rFonts w:ascii="Times New Roman" w:eastAsia="Times New Roman" w:hAnsi="Times New Roman" w:cs="Times New Roman"/>
      <w:b/>
      <w:smallCaps/>
      <w:sz w:val="32"/>
      <w:szCs w:val="24"/>
      <w:u w:val="single"/>
      <w:lang w:eastAsia="fr-FR"/>
    </w:rPr>
  </w:style>
  <w:style w:type="character" w:customStyle="1" w:styleId="THESETitreCar">
    <w:name w:val="THESE Titre Car"/>
    <w:basedOn w:val="THESEChapitreCar"/>
    <w:link w:val="THESETitre"/>
    <w:rsid w:val="00BF5F2C"/>
    <w:rPr>
      <w:rFonts w:ascii="Times New Roman" w:eastAsia="Times New Roman" w:hAnsi="Times New Roman" w:cs="Times New Roman"/>
      <w:b/>
      <w:smallCaps/>
      <w:sz w:val="36"/>
      <w:szCs w:val="24"/>
      <w:u w:val="single"/>
      <w:lang w:eastAsia="fr-FR"/>
    </w:rPr>
  </w:style>
  <w:style w:type="character" w:customStyle="1" w:styleId="THESEPARTIECar">
    <w:name w:val="THESE PARTIE Car"/>
    <w:basedOn w:val="THESETitreCar"/>
    <w:link w:val="THESEPARTIE"/>
    <w:rsid w:val="002909DF"/>
    <w:rPr>
      <w:rFonts w:ascii="Times New Roman" w:eastAsia="Times New Roman" w:hAnsi="Times New Roman" w:cs="Times New Roman"/>
      <w:b/>
      <w:caps/>
      <w:smallCaps w:val="0"/>
      <w:sz w:val="40"/>
      <w:szCs w:val="24"/>
      <w:u w:val="single"/>
      <w:lang w:eastAsia="fr-FR"/>
    </w:rPr>
  </w:style>
  <w:style w:type="character" w:customStyle="1" w:styleId="THESETitre1Car">
    <w:name w:val="THESE Titre1 Car"/>
    <w:basedOn w:val="THESEChapitreCar"/>
    <w:link w:val="THESETitre1"/>
    <w:rsid w:val="001B2BAD"/>
    <w:rPr>
      <w:rFonts w:ascii="Times New Roman" w:eastAsia="Times New Roman" w:hAnsi="Times New Roman" w:cs="Times New Roman"/>
      <w:b/>
      <w:smallCaps/>
      <w:sz w:val="36"/>
      <w:szCs w:val="24"/>
      <w:u w:val="single"/>
      <w:lang w:eastAsia="fr-FR"/>
    </w:rPr>
  </w:style>
  <w:style w:type="character" w:customStyle="1" w:styleId="THESEICar">
    <w:name w:val="THESE I Car"/>
    <w:aliases w:val="II Car,III Car"/>
    <w:basedOn w:val="THESESectionCar"/>
    <w:link w:val="THESEI"/>
    <w:rsid w:val="002909DF"/>
    <w:rPr>
      <w:rFonts w:ascii="Times New Roman" w:eastAsia="Times New Roman" w:hAnsi="Times New Roman" w:cs="Times New Roman"/>
      <w:b/>
      <w:smallCaps w:val="0"/>
      <w:sz w:val="24"/>
      <w:szCs w:val="24"/>
      <w:u w:val="single"/>
      <w:lang w:eastAsia="fr-FR"/>
    </w:rPr>
  </w:style>
  <w:style w:type="character" w:customStyle="1" w:styleId="THESEAMajuCar">
    <w:name w:val="THESE A Maju Car"/>
    <w:basedOn w:val="THESEICar"/>
    <w:link w:val="THESEAMaju"/>
    <w:rsid w:val="00B308D2"/>
    <w:rPr>
      <w:rFonts w:ascii="Times New Roman" w:eastAsia="Times New Roman" w:hAnsi="Times New Roman" w:cs="Times New Roman"/>
      <w:b/>
      <w:smallCaps w:val="0"/>
      <w:sz w:val="24"/>
      <w:szCs w:val="24"/>
      <w:u w:val="single"/>
      <w:lang w:eastAsia="fr-FR"/>
    </w:rPr>
  </w:style>
  <w:style w:type="character" w:customStyle="1" w:styleId="THESE1Car">
    <w:name w:val="THESE 1 Car"/>
    <w:aliases w:val="2 Car,3 Car"/>
    <w:basedOn w:val="THESEAMajuCar"/>
    <w:link w:val="THESE1"/>
    <w:rsid w:val="00FC2A35"/>
    <w:rPr>
      <w:rFonts w:ascii="Times New Roman" w:eastAsia="Times New Roman" w:hAnsi="Times New Roman" w:cs="Times New Roman"/>
      <w:b w:val="0"/>
      <w:smallCaps w:val="0"/>
      <w:sz w:val="24"/>
      <w:szCs w:val="24"/>
      <w:u w:val="single"/>
      <w:lang w:eastAsia="fr-FR"/>
    </w:rPr>
  </w:style>
  <w:style w:type="character" w:customStyle="1" w:styleId="THESEaCar">
    <w:name w:val="THESE a Car"/>
    <w:aliases w:val="b Car,c Car"/>
    <w:basedOn w:val="THESE1Car"/>
    <w:link w:val="THESEa"/>
    <w:rsid w:val="002909DF"/>
    <w:rPr>
      <w:rFonts w:ascii="Times New Roman" w:eastAsia="Times New Roman" w:hAnsi="Times New Roman" w:cs="Times New Roman"/>
      <w:b w:val="0"/>
      <w:i/>
      <w:smallCaps w:val="0"/>
      <w:sz w:val="24"/>
      <w:szCs w:val="24"/>
      <w:u w:val="single"/>
      <w:lang w:eastAsia="fr-FR"/>
    </w:rPr>
  </w:style>
  <w:style w:type="paragraph" w:customStyle="1" w:styleId="msonormal0">
    <w:name w:val="msonormal"/>
    <w:basedOn w:val="Normal"/>
    <w:uiPriority w:val="99"/>
    <w:semiHidden/>
    <w:rsid w:val="001D0248"/>
    <w:pPr>
      <w:numPr>
        <w:numId w:val="0"/>
      </w:numPr>
      <w:spacing w:before="100" w:beforeAutospacing="1" w:after="100" w:afterAutospacing="1" w:line="240" w:lineRule="auto"/>
    </w:pPr>
    <w:rPr>
      <w:rFonts w:eastAsia="Times New Roman" w:cs="Times New Roman"/>
      <w:szCs w:val="24"/>
      <w:lang w:eastAsia="fr-FR"/>
    </w:rPr>
  </w:style>
  <w:style w:type="character" w:customStyle="1" w:styleId="lang-la">
    <w:name w:val="lang-la"/>
    <w:basedOn w:val="Policepardfaut"/>
    <w:rsid w:val="00600B40"/>
  </w:style>
  <w:style w:type="character" w:customStyle="1" w:styleId="Mentionnonrsolue2">
    <w:name w:val="Mention non résolue2"/>
    <w:basedOn w:val="Policepardfaut"/>
    <w:uiPriority w:val="99"/>
    <w:semiHidden/>
    <w:unhideWhenUsed/>
    <w:rsid w:val="00201913"/>
    <w:rPr>
      <w:color w:val="808080"/>
      <w:shd w:val="clear" w:color="auto" w:fill="E6E6E6"/>
    </w:rPr>
  </w:style>
  <w:style w:type="paragraph" w:styleId="Index1">
    <w:name w:val="index 1"/>
    <w:next w:val="Footnote"/>
    <w:autoRedefine/>
    <w:uiPriority w:val="99"/>
    <w:semiHidden/>
    <w:unhideWhenUsed/>
    <w:rsid w:val="00751ADE"/>
    <w:pPr>
      <w:numPr>
        <w:numId w:val="1"/>
      </w:numPr>
      <w:spacing w:line="240" w:lineRule="auto"/>
      <w:ind w:left="240" w:hanging="240"/>
    </w:pPr>
    <w:rPr>
      <w:rFonts w:ascii="Times New Roman" w:hAnsi="Times New Roman"/>
      <w:sz w:val="24"/>
    </w:rPr>
  </w:style>
  <w:style w:type="character" w:customStyle="1" w:styleId="Mentionnonrsolue3">
    <w:name w:val="Mention non résolue3"/>
    <w:basedOn w:val="Policepardfaut"/>
    <w:uiPriority w:val="99"/>
    <w:semiHidden/>
    <w:unhideWhenUsed/>
    <w:rsid w:val="00201913"/>
    <w:rPr>
      <w:color w:val="605E5C"/>
      <w:shd w:val="clear" w:color="auto" w:fill="E1DFDD"/>
    </w:rPr>
  </w:style>
  <w:style w:type="character" w:customStyle="1" w:styleId="Mentionnonrsolue4">
    <w:name w:val="Mention non résolue4"/>
    <w:basedOn w:val="Policepardfaut"/>
    <w:uiPriority w:val="99"/>
    <w:semiHidden/>
    <w:unhideWhenUsed/>
    <w:rsid w:val="00201913"/>
    <w:rPr>
      <w:color w:val="808080"/>
      <w:shd w:val="clear" w:color="auto" w:fill="E6E6E6"/>
    </w:rPr>
  </w:style>
  <w:style w:type="character" w:styleId="Marquedecommentaire">
    <w:name w:val="annotation reference"/>
    <w:basedOn w:val="Policepardfaut"/>
    <w:uiPriority w:val="99"/>
    <w:semiHidden/>
    <w:unhideWhenUsed/>
    <w:rsid w:val="00201913"/>
    <w:rPr>
      <w:sz w:val="16"/>
      <w:szCs w:val="16"/>
    </w:rPr>
  </w:style>
  <w:style w:type="paragraph" w:styleId="Commentaire">
    <w:name w:val="annotation text"/>
    <w:basedOn w:val="Normal"/>
    <w:link w:val="CommentaireCar"/>
    <w:uiPriority w:val="99"/>
    <w:semiHidden/>
    <w:unhideWhenUsed/>
    <w:rsid w:val="00201913"/>
    <w:pPr>
      <w:numPr>
        <w:numId w:val="0"/>
      </w:numPr>
      <w:spacing w:line="240" w:lineRule="auto"/>
    </w:pPr>
    <w:rPr>
      <w:sz w:val="20"/>
      <w:szCs w:val="20"/>
    </w:rPr>
  </w:style>
  <w:style w:type="character" w:customStyle="1" w:styleId="CommentaireCar">
    <w:name w:val="Commentaire Car"/>
    <w:basedOn w:val="Policepardfaut"/>
    <w:link w:val="Commentaire"/>
    <w:uiPriority w:val="99"/>
    <w:semiHidden/>
    <w:rsid w:val="00201913"/>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201913"/>
    <w:rPr>
      <w:b/>
      <w:bCs/>
    </w:rPr>
  </w:style>
  <w:style w:type="character" w:customStyle="1" w:styleId="ObjetducommentaireCar">
    <w:name w:val="Objet du commentaire Car"/>
    <w:basedOn w:val="CommentaireCar"/>
    <w:link w:val="Objetducommentaire"/>
    <w:uiPriority w:val="99"/>
    <w:semiHidden/>
    <w:rsid w:val="00201913"/>
    <w:rPr>
      <w:rFonts w:ascii="Times New Roman" w:hAnsi="Times New Roman"/>
      <w:b/>
      <w:bCs/>
      <w:sz w:val="20"/>
      <w:szCs w:val="20"/>
    </w:rPr>
  </w:style>
  <w:style w:type="character" w:customStyle="1" w:styleId="documentpagerange">
    <w:name w:val="documentpagerange"/>
    <w:basedOn w:val="Policepardfaut"/>
    <w:rsid w:val="00201913"/>
  </w:style>
  <w:style w:type="character" w:styleId="Numrodepage">
    <w:name w:val="page number"/>
    <w:basedOn w:val="Policepardfaut"/>
    <w:uiPriority w:val="99"/>
    <w:semiHidden/>
    <w:unhideWhenUsed/>
    <w:rsid w:val="00DC1C90"/>
  </w:style>
  <w:style w:type="paragraph" w:styleId="Listepuces">
    <w:name w:val="List Bullet"/>
    <w:basedOn w:val="Normal"/>
    <w:uiPriority w:val="99"/>
    <w:unhideWhenUsed/>
    <w:rsid w:val="00387DA1"/>
    <w:pPr>
      <w:numPr>
        <w:numId w:val="6"/>
      </w:numPr>
      <w:contextualSpacing/>
    </w:pPr>
  </w:style>
  <w:style w:type="table" w:styleId="Grilledutableau">
    <w:name w:val="Table Grid"/>
    <w:basedOn w:val="TableauNormal"/>
    <w:uiPriority w:val="39"/>
    <w:rsid w:val="008C0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2">
    <w:name w:val="index 2"/>
    <w:next w:val="Footnote"/>
    <w:autoRedefine/>
    <w:uiPriority w:val="99"/>
    <w:semiHidden/>
    <w:unhideWhenUsed/>
    <w:rsid w:val="00751ADE"/>
    <w:pPr>
      <w:spacing w:line="240" w:lineRule="auto"/>
      <w:ind w:left="480" w:hanging="240"/>
    </w:pPr>
    <w:rPr>
      <w:rFonts w:ascii="Times New Roman" w:hAnsi="Times New Roman"/>
      <w:sz w:val="24"/>
    </w:rPr>
  </w:style>
  <w:style w:type="paragraph" w:styleId="Index3">
    <w:name w:val="index 3"/>
    <w:next w:val="Footnote"/>
    <w:autoRedefine/>
    <w:uiPriority w:val="99"/>
    <w:semiHidden/>
    <w:unhideWhenUsed/>
    <w:rsid w:val="00751ADE"/>
    <w:pPr>
      <w:spacing w:line="240" w:lineRule="auto"/>
      <w:ind w:left="720" w:hanging="240"/>
    </w:pPr>
    <w:rPr>
      <w:rFonts w:ascii="Times New Roman" w:hAnsi="Times New Roman"/>
      <w:sz w:val="24"/>
    </w:rPr>
  </w:style>
  <w:style w:type="paragraph" w:styleId="Index4">
    <w:name w:val="index 4"/>
    <w:next w:val="Footnote"/>
    <w:autoRedefine/>
    <w:uiPriority w:val="99"/>
    <w:semiHidden/>
    <w:unhideWhenUsed/>
    <w:rsid w:val="00751ADE"/>
    <w:pPr>
      <w:spacing w:line="240" w:lineRule="auto"/>
      <w:ind w:left="960" w:hanging="240"/>
    </w:pPr>
    <w:rPr>
      <w:rFonts w:ascii="Times New Roman" w:hAnsi="Times New Roman"/>
      <w:sz w:val="24"/>
    </w:rPr>
  </w:style>
  <w:style w:type="paragraph" w:styleId="Index5">
    <w:name w:val="index 5"/>
    <w:next w:val="Footnote"/>
    <w:autoRedefine/>
    <w:uiPriority w:val="99"/>
    <w:semiHidden/>
    <w:unhideWhenUsed/>
    <w:rsid w:val="00751ADE"/>
    <w:pPr>
      <w:spacing w:line="240" w:lineRule="auto"/>
      <w:ind w:left="1200" w:hanging="240"/>
    </w:pPr>
    <w:rPr>
      <w:rFonts w:ascii="Times New Roman" w:eastAsia="Times New Roman" w:hAnsi="Times New Roman" w:cs="Times New Roman"/>
      <w:sz w:val="20"/>
      <w:szCs w:val="20"/>
      <w:lang w:eastAsia="fr-FR"/>
    </w:rPr>
  </w:style>
  <w:style w:type="paragraph" w:styleId="Index6">
    <w:name w:val="index 6"/>
    <w:basedOn w:val="Footnote"/>
    <w:next w:val="Footnote"/>
    <w:autoRedefine/>
    <w:uiPriority w:val="99"/>
    <w:semiHidden/>
    <w:unhideWhenUsed/>
    <w:rsid w:val="00751ADE"/>
    <w:pPr>
      <w:ind w:left="1440" w:hanging="240"/>
    </w:pPr>
  </w:style>
  <w:style w:type="paragraph" w:styleId="Index7">
    <w:name w:val="index 7"/>
    <w:next w:val="Footnote"/>
    <w:autoRedefine/>
    <w:uiPriority w:val="99"/>
    <w:semiHidden/>
    <w:unhideWhenUsed/>
    <w:rsid w:val="00751ADE"/>
    <w:pPr>
      <w:spacing w:line="240" w:lineRule="auto"/>
      <w:ind w:left="1680" w:hanging="240"/>
    </w:pPr>
    <w:rPr>
      <w:rFonts w:ascii="Times New Roman" w:hAnsi="Times New Roman"/>
      <w:sz w:val="24"/>
    </w:rPr>
  </w:style>
  <w:style w:type="paragraph" w:styleId="Index8">
    <w:name w:val="index 8"/>
    <w:next w:val="Footnote"/>
    <w:autoRedefine/>
    <w:uiPriority w:val="99"/>
    <w:semiHidden/>
    <w:unhideWhenUsed/>
    <w:rsid w:val="00751ADE"/>
    <w:pPr>
      <w:spacing w:line="240" w:lineRule="auto"/>
      <w:ind w:left="1920" w:hanging="240"/>
    </w:pPr>
    <w:rPr>
      <w:rFonts w:ascii="Times New Roman" w:hAnsi="Times New Roman"/>
      <w:sz w:val="24"/>
    </w:rPr>
  </w:style>
  <w:style w:type="paragraph" w:styleId="Index9">
    <w:name w:val="index 9"/>
    <w:next w:val="Footnote"/>
    <w:autoRedefine/>
    <w:uiPriority w:val="99"/>
    <w:semiHidden/>
    <w:unhideWhenUsed/>
    <w:rsid w:val="00751ADE"/>
    <w:pPr>
      <w:spacing w:line="240" w:lineRule="auto"/>
      <w:ind w:left="2160" w:hanging="240"/>
    </w:pPr>
    <w:rPr>
      <w:rFonts w:ascii="Times New Roman" w:hAnsi="Times New Roman"/>
      <w:sz w:val="24"/>
    </w:rPr>
  </w:style>
  <w:style w:type="paragraph" w:styleId="Corpsdetexte">
    <w:name w:val="Body Text"/>
    <w:basedOn w:val="Normal"/>
    <w:link w:val="CorpsdetexteCar"/>
    <w:uiPriority w:val="99"/>
    <w:unhideWhenUsed/>
    <w:rsid w:val="002046C6"/>
    <w:pPr>
      <w:spacing w:after="120"/>
    </w:pPr>
  </w:style>
  <w:style w:type="character" w:customStyle="1" w:styleId="CorpsdetexteCar">
    <w:name w:val="Corps de texte Car"/>
    <w:basedOn w:val="Policepardfaut"/>
    <w:link w:val="Corpsdetexte"/>
    <w:uiPriority w:val="99"/>
    <w:rsid w:val="002046C6"/>
    <w:rPr>
      <w:rFonts w:ascii="Times New Roman" w:hAnsi="Times New Roman"/>
      <w:sz w:val="24"/>
    </w:rPr>
  </w:style>
  <w:style w:type="paragraph" w:styleId="Sous-titre">
    <w:name w:val="Subtitle"/>
    <w:basedOn w:val="Normal"/>
    <w:next w:val="Normal"/>
    <w:link w:val="Sous-titreCar"/>
    <w:uiPriority w:val="11"/>
    <w:rsid w:val="002046C6"/>
    <w:pPr>
      <w:numPr>
        <w:ilvl w:val="1"/>
      </w:numPr>
      <w:spacing w:after="160"/>
      <w:ind w:left="0" w:firstLine="0"/>
    </w:pPr>
    <w:rPr>
      <w:rFonts w:asciiTheme="minorHAnsi" w:eastAsiaTheme="minorEastAsia" w:hAnsiTheme="minorHAnsi"/>
      <w:color w:val="5A5A5A" w:themeColor="text1" w:themeTint="A5"/>
      <w:spacing w:val="15"/>
      <w:sz w:val="22"/>
    </w:rPr>
  </w:style>
  <w:style w:type="character" w:customStyle="1" w:styleId="Sous-titreCar">
    <w:name w:val="Sous-titre Car"/>
    <w:basedOn w:val="Policepardfaut"/>
    <w:link w:val="Sous-titre"/>
    <w:uiPriority w:val="11"/>
    <w:rsid w:val="002046C6"/>
    <w:rPr>
      <w:rFonts w:eastAsiaTheme="minorEastAsia"/>
      <w:color w:val="5A5A5A" w:themeColor="text1" w:themeTint="A5"/>
      <w:spacing w:val="15"/>
    </w:rPr>
  </w:style>
  <w:style w:type="paragraph" w:styleId="Retrait1religne">
    <w:name w:val="Body Text First Indent"/>
    <w:basedOn w:val="Corpsdetexte"/>
    <w:link w:val="Retrait1religneCar"/>
    <w:uiPriority w:val="99"/>
    <w:unhideWhenUsed/>
    <w:rsid w:val="002046C6"/>
    <w:pPr>
      <w:spacing w:after="0"/>
      <w:ind w:firstLine="360"/>
    </w:pPr>
  </w:style>
  <w:style w:type="character" w:customStyle="1" w:styleId="Retrait1religneCar">
    <w:name w:val="Retrait 1re ligne Car"/>
    <w:basedOn w:val="CorpsdetexteCar"/>
    <w:link w:val="Retrait1religne"/>
    <w:uiPriority w:val="99"/>
    <w:rsid w:val="002046C6"/>
    <w:rPr>
      <w:rFonts w:ascii="Times New Roman" w:hAnsi="Times New Roman"/>
      <w:sz w:val="24"/>
    </w:rPr>
  </w:style>
  <w:style w:type="character" w:customStyle="1" w:styleId="break-words">
    <w:name w:val="break-words"/>
    <w:basedOn w:val="Policepardfaut"/>
    <w:rsid w:val="00461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4042">
      <w:bodyDiv w:val="1"/>
      <w:marLeft w:val="0"/>
      <w:marRight w:val="0"/>
      <w:marTop w:val="0"/>
      <w:marBottom w:val="0"/>
      <w:divBdr>
        <w:top w:val="none" w:sz="0" w:space="0" w:color="auto"/>
        <w:left w:val="none" w:sz="0" w:space="0" w:color="auto"/>
        <w:bottom w:val="none" w:sz="0" w:space="0" w:color="auto"/>
        <w:right w:val="none" w:sz="0" w:space="0" w:color="auto"/>
      </w:divBdr>
    </w:div>
    <w:div w:id="29645006">
      <w:bodyDiv w:val="1"/>
      <w:marLeft w:val="0"/>
      <w:marRight w:val="0"/>
      <w:marTop w:val="0"/>
      <w:marBottom w:val="0"/>
      <w:divBdr>
        <w:top w:val="none" w:sz="0" w:space="0" w:color="auto"/>
        <w:left w:val="none" w:sz="0" w:space="0" w:color="auto"/>
        <w:bottom w:val="none" w:sz="0" w:space="0" w:color="auto"/>
        <w:right w:val="none" w:sz="0" w:space="0" w:color="auto"/>
      </w:divBdr>
    </w:div>
    <w:div w:id="221261621">
      <w:bodyDiv w:val="1"/>
      <w:marLeft w:val="0"/>
      <w:marRight w:val="0"/>
      <w:marTop w:val="0"/>
      <w:marBottom w:val="0"/>
      <w:divBdr>
        <w:top w:val="none" w:sz="0" w:space="0" w:color="auto"/>
        <w:left w:val="none" w:sz="0" w:space="0" w:color="auto"/>
        <w:bottom w:val="none" w:sz="0" w:space="0" w:color="auto"/>
        <w:right w:val="none" w:sz="0" w:space="0" w:color="auto"/>
      </w:divBdr>
    </w:div>
    <w:div w:id="230577741">
      <w:bodyDiv w:val="1"/>
      <w:marLeft w:val="0"/>
      <w:marRight w:val="0"/>
      <w:marTop w:val="0"/>
      <w:marBottom w:val="0"/>
      <w:divBdr>
        <w:top w:val="none" w:sz="0" w:space="0" w:color="auto"/>
        <w:left w:val="none" w:sz="0" w:space="0" w:color="auto"/>
        <w:bottom w:val="none" w:sz="0" w:space="0" w:color="auto"/>
        <w:right w:val="none" w:sz="0" w:space="0" w:color="auto"/>
      </w:divBdr>
    </w:div>
    <w:div w:id="242374203">
      <w:bodyDiv w:val="1"/>
      <w:marLeft w:val="0"/>
      <w:marRight w:val="0"/>
      <w:marTop w:val="0"/>
      <w:marBottom w:val="0"/>
      <w:divBdr>
        <w:top w:val="none" w:sz="0" w:space="0" w:color="auto"/>
        <w:left w:val="none" w:sz="0" w:space="0" w:color="auto"/>
        <w:bottom w:val="none" w:sz="0" w:space="0" w:color="auto"/>
        <w:right w:val="none" w:sz="0" w:space="0" w:color="auto"/>
      </w:divBdr>
    </w:div>
    <w:div w:id="275909308">
      <w:bodyDiv w:val="1"/>
      <w:marLeft w:val="0"/>
      <w:marRight w:val="0"/>
      <w:marTop w:val="0"/>
      <w:marBottom w:val="0"/>
      <w:divBdr>
        <w:top w:val="none" w:sz="0" w:space="0" w:color="auto"/>
        <w:left w:val="none" w:sz="0" w:space="0" w:color="auto"/>
        <w:bottom w:val="none" w:sz="0" w:space="0" w:color="auto"/>
        <w:right w:val="none" w:sz="0" w:space="0" w:color="auto"/>
      </w:divBdr>
      <w:divsChild>
        <w:div w:id="2123067650">
          <w:marLeft w:val="0"/>
          <w:marRight w:val="0"/>
          <w:marTop w:val="0"/>
          <w:marBottom w:val="0"/>
          <w:divBdr>
            <w:top w:val="none" w:sz="0" w:space="0" w:color="auto"/>
            <w:left w:val="none" w:sz="0" w:space="0" w:color="auto"/>
            <w:bottom w:val="none" w:sz="0" w:space="0" w:color="auto"/>
            <w:right w:val="none" w:sz="0" w:space="0" w:color="auto"/>
          </w:divBdr>
          <w:divsChild>
            <w:div w:id="1053849592">
              <w:marLeft w:val="0"/>
              <w:marRight w:val="0"/>
              <w:marTop w:val="0"/>
              <w:marBottom w:val="0"/>
              <w:divBdr>
                <w:top w:val="none" w:sz="0" w:space="0" w:color="auto"/>
                <w:left w:val="none" w:sz="0" w:space="0" w:color="auto"/>
                <w:bottom w:val="none" w:sz="0" w:space="0" w:color="auto"/>
                <w:right w:val="none" w:sz="0" w:space="0" w:color="auto"/>
              </w:divBdr>
              <w:divsChild>
                <w:div w:id="3331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06680">
      <w:bodyDiv w:val="1"/>
      <w:marLeft w:val="0"/>
      <w:marRight w:val="0"/>
      <w:marTop w:val="0"/>
      <w:marBottom w:val="0"/>
      <w:divBdr>
        <w:top w:val="none" w:sz="0" w:space="0" w:color="auto"/>
        <w:left w:val="none" w:sz="0" w:space="0" w:color="auto"/>
        <w:bottom w:val="none" w:sz="0" w:space="0" w:color="auto"/>
        <w:right w:val="none" w:sz="0" w:space="0" w:color="auto"/>
      </w:divBdr>
    </w:div>
    <w:div w:id="296616184">
      <w:bodyDiv w:val="1"/>
      <w:marLeft w:val="0"/>
      <w:marRight w:val="0"/>
      <w:marTop w:val="0"/>
      <w:marBottom w:val="0"/>
      <w:divBdr>
        <w:top w:val="none" w:sz="0" w:space="0" w:color="auto"/>
        <w:left w:val="none" w:sz="0" w:space="0" w:color="auto"/>
        <w:bottom w:val="none" w:sz="0" w:space="0" w:color="auto"/>
        <w:right w:val="none" w:sz="0" w:space="0" w:color="auto"/>
      </w:divBdr>
    </w:div>
    <w:div w:id="375155111">
      <w:bodyDiv w:val="1"/>
      <w:marLeft w:val="0"/>
      <w:marRight w:val="0"/>
      <w:marTop w:val="0"/>
      <w:marBottom w:val="0"/>
      <w:divBdr>
        <w:top w:val="none" w:sz="0" w:space="0" w:color="auto"/>
        <w:left w:val="none" w:sz="0" w:space="0" w:color="auto"/>
        <w:bottom w:val="none" w:sz="0" w:space="0" w:color="auto"/>
        <w:right w:val="none" w:sz="0" w:space="0" w:color="auto"/>
      </w:divBdr>
    </w:div>
    <w:div w:id="408354846">
      <w:bodyDiv w:val="1"/>
      <w:marLeft w:val="0"/>
      <w:marRight w:val="0"/>
      <w:marTop w:val="0"/>
      <w:marBottom w:val="0"/>
      <w:divBdr>
        <w:top w:val="none" w:sz="0" w:space="0" w:color="auto"/>
        <w:left w:val="none" w:sz="0" w:space="0" w:color="auto"/>
        <w:bottom w:val="none" w:sz="0" w:space="0" w:color="auto"/>
        <w:right w:val="none" w:sz="0" w:space="0" w:color="auto"/>
      </w:divBdr>
    </w:div>
    <w:div w:id="460850919">
      <w:bodyDiv w:val="1"/>
      <w:marLeft w:val="0"/>
      <w:marRight w:val="0"/>
      <w:marTop w:val="0"/>
      <w:marBottom w:val="0"/>
      <w:divBdr>
        <w:top w:val="none" w:sz="0" w:space="0" w:color="auto"/>
        <w:left w:val="none" w:sz="0" w:space="0" w:color="auto"/>
        <w:bottom w:val="none" w:sz="0" w:space="0" w:color="auto"/>
        <w:right w:val="none" w:sz="0" w:space="0" w:color="auto"/>
      </w:divBdr>
    </w:div>
    <w:div w:id="501434262">
      <w:bodyDiv w:val="1"/>
      <w:marLeft w:val="0"/>
      <w:marRight w:val="0"/>
      <w:marTop w:val="0"/>
      <w:marBottom w:val="0"/>
      <w:divBdr>
        <w:top w:val="none" w:sz="0" w:space="0" w:color="auto"/>
        <w:left w:val="none" w:sz="0" w:space="0" w:color="auto"/>
        <w:bottom w:val="none" w:sz="0" w:space="0" w:color="auto"/>
        <w:right w:val="none" w:sz="0" w:space="0" w:color="auto"/>
      </w:divBdr>
    </w:div>
    <w:div w:id="517962470">
      <w:bodyDiv w:val="1"/>
      <w:marLeft w:val="0"/>
      <w:marRight w:val="0"/>
      <w:marTop w:val="0"/>
      <w:marBottom w:val="0"/>
      <w:divBdr>
        <w:top w:val="none" w:sz="0" w:space="0" w:color="auto"/>
        <w:left w:val="none" w:sz="0" w:space="0" w:color="auto"/>
        <w:bottom w:val="none" w:sz="0" w:space="0" w:color="auto"/>
        <w:right w:val="none" w:sz="0" w:space="0" w:color="auto"/>
      </w:divBdr>
    </w:div>
    <w:div w:id="563300559">
      <w:bodyDiv w:val="1"/>
      <w:marLeft w:val="0"/>
      <w:marRight w:val="0"/>
      <w:marTop w:val="0"/>
      <w:marBottom w:val="0"/>
      <w:divBdr>
        <w:top w:val="none" w:sz="0" w:space="0" w:color="auto"/>
        <w:left w:val="none" w:sz="0" w:space="0" w:color="auto"/>
        <w:bottom w:val="none" w:sz="0" w:space="0" w:color="auto"/>
        <w:right w:val="none" w:sz="0" w:space="0" w:color="auto"/>
      </w:divBdr>
    </w:div>
    <w:div w:id="568078217">
      <w:bodyDiv w:val="1"/>
      <w:marLeft w:val="0"/>
      <w:marRight w:val="0"/>
      <w:marTop w:val="0"/>
      <w:marBottom w:val="0"/>
      <w:divBdr>
        <w:top w:val="none" w:sz="0" w:space="0" w:color="auto"/>
        <w:left w:val="none" w:sz="0" w:space="0" w:color="auto"/>
        <w:bottom w:val="none" w:sz="0" w:space="0" w:color="auto"/>
        <w:right w:val="none" w:sz="0" w:space="0" w:color="auto"/>
      </w:divBdr>
    </w:div>
    <w:div w:id="631449017">
      <w:bodyDiv w:val="1"/>
      <w:marLeft w:val="0"/>
      <w:marRight w:val="0"/>
      <w:marTop w:val="0"/>
      <w:marBottom w:val="0"/>
      <w:divBdr>
        <w:top w:val="none" w:sz="0" w:space="0" w:color="auto"/>
        <w:left w:val="none" w:sz="0" w:space="0" w:color="auto"/>
        <w:bottom w:val="none" w:sz="0" w:space="0" w:color="auto"/>
        <w:right w:val="none" w:sz="0" w:space="0" w:color="auto"/>
      </w:divBdr>
    </w:div>
    <w:div w:id="701134730">
      <w:bodyDiv w:val="1"/>
      <w:marLeft w:val="0"/>
      <w:marRight w:val="0"/>
      <w:marTop w:val="0"/>
      <w:marBottom w:val="0"/>
      <w:divBdr>
        <w:top w:val="none" w:sz="0" w:space="0" w:color="auto"/>
        <w:left w:val="none" w:sz="0" w:space="0" w:color="auto"/>
        <w:bottom w:val="none" w:sz="0" w:space="0" w:color="auto"/>
        <w:right w:val="none" w:sz="0" w:space="0" w:color="auto"/>
      </w:divBdr>
    </w:div>
    <w:div w:id="772096226">
      <w:bodyDiv w:val="1"/>
      <w:marLeft w:val="0"/>
      <w:marRight w:val="0"/>
      <w:marTop w:val="0"/>
      <w:marBottom w:val="0"/>
      <w:divBdr>
        <w:top w:val="none" w:sz="0" w:space="0" w:color="auto"/>
        <w:left w:val="none" w:sz="0" w:space="0" w:color="auto"/>
        <w:bottom w:val="none" w:sz="0" w:space="0" w:color="auto"/>
        <w:right w:val="none" w:sz="0" w:space="0" w:color="auto"/>
      </w:divBdr>
    </w:div>
    <w:div w:id="795098966">
      <w:bodyDiv w:val="1"/>
      <w:marLeft w:val="0"/>
      <w:marRight w:val="0"/>
      <w:marTop w:val="0"/>
      <w:marBottom w:val="0"/>
      <w:divBdr>
        <w:top w:val="none" w:sz="0" w:space="0" w:color="auto"/>
        <w:left w:val="none" w:sz="0" w:space="0" w:color="auto"/>
        <w:bottom w:val="none" w:sz="0" w:space="0" w:color="auto"/>
        <w:right w:val="none" w:sz="0" w:space="0" w:color="auto"/>
      </w:divBdr>
    </w:div>
    <w:div w:id="805246373">
      <w:bodyDiv w:val="1"/>
      <w:marLeft w:val="0"/>
      <w:marRight w:val="0"/>
      <w:marTop w:val="0"/>
      <w:marBottom w:val="0"/>
      <w:divBdr>
        <w:top w:val="none" w:sz="0" w:space="0" w:color="auto"/>
        <w:left w:val="none" w:sz="0" w:space="0" w:color="auto"/>
        <w:bottom w:val="none" w:sz="0" w:space="0" w:color="auto"/>
        <w:right w:val="none" w:sz="0" w:space="0" w:color="auto"/>
      </w:divBdr>
    </w:div>
    <w:div w:id="874467245">
      <w:bodyDiv w:val="1"/>
      <w:marLeft w:val="0"/>
      <w:marRight w:val="0"/>
      <w:marTop w:val="0"/>
      <w:marBottom w:val="0"/>
      <w:divBdr>
        <w:top w:val="none" w:sz="0" w:space="0" w:color="auto"/>
        <w:left w:val="none" w:sz="0" w:space="0" w:color="auto"/>
        <w:bottom w:val="none" w:sz="0" w:space="0" w:color="auto"/>
        <w:right w:val="none" w:sz="0" w:space="0" w:color="auto"/>
      </w:divBdr>
    </w:div>
    <w:div w:id="947929462">
      <w:bodyDiv w:val="1"/>
      <w:marLeft w:val="0"/>
      <w:marRight w:val="0"/>
      <w:marTop w:val="0"/>
      <w:marBottom w:val="0"/>
      <w:divBdr>
        <w:top w:val="none" w:sz="0" w:space="0" w:color="auto"/>
        <w:left w:val="none" w:sz="0" w:space="0" w:color="auto"/>
        <w:bottom w:val="none" w:sz="0" w:space="0" w:color="auto"/>
        <w:right w:val="none" w:sz="0" w:space="0" w:color="auto"/>
      </w:divBdr>
    </w:div>
    <w:div w:id="958418689">
      <w:bodyDiv w:val="1"/>
      <w:marLeft w:val="0"/>
      <w:marRight w:val="0"/>
      <w:marTop w:val="0"/>
      <w:marBottom w:val="0"/>
      <w:divBdr>
        <w:top w:val="none" w:sz="0" w:space="0" w:color="auto"/>
        <w:left w:val="none" w:sz="0" w:space="0" w:color="auto"/>
        <w:bottom w:val="none" w:sz="0" w:space="0" w:color="auto"/>
        <w:right w:val="none" w:sz="0" w:space="0" w:color="auto"/>
      </w:divBdr>
    </w:div>
    <w:div w:id="1042050820">
      <w:bodyDiv w:val="1"/>
      <w:marLeft w:val="0"/>
      <w:marRight w:val="0"/>
      <w:marTop w:val="0"/>
      <w:marBottom w:val="0"/>
      <w:divBdr>
        <w:top w:val="none" w:sz="0" w:space="0" w:color="auto"/>
        <w:left w:val="none" w:sz="0" w:space="0" w:color="auto"/>
        <w:bottom w:val="none" w:sz="0" w:space="0" w:color="auto"/>
        <w:right w:val="none" w:sz="0" w:space="0" w:color="auto"/>
      </w:divBdr>
    </w:div>
    <w:div w:id="1054163786">
      <w:bodyDiv w:val="1"/>
      <w:marLeft w:val="0"/>
      <w:marRight w:val="0"/>
      <w:marTop w:val="0"/>
      <w:marBottom w:val="0"/>
      <w:divBdr>
        <w:top w:val="none" w:sz="0" w:space="0" w:color="auto"/>
        <w:left w:val="none" w:sz="0" w:space="0" w:color="auto"/>
        <w:bottom w:val="none" w:sz="0" w:space="0" w:color="auto"/>
        <w:right w:val="none" w:sz="0" w:space="0" w:color="auto"/>
      </w:divBdr>
    </w:div>
    <w:div w:id="1083140371">
      <w:bodyDiv w:val="1"/>
      <w:marLeft w:val="0"/>
      <w:marRight w:val="0"/>
      <w:marTop w:val="0"/>
      <w:marBottom w:val="0"/>
      <w:divBdr>
        <w:top w:val="none" w:sz="0" w:space="0" w:color="auto"/>
        <w:left w:val="none" w:sz="0" w:space="0" w:color="auto"/>
        <w:bottom w:val="none" w:sz="0" w:space="0" w:color="auto"/>
        <w:right w:val="none" w:sz="0" w:space="0" w:color="auto"/>
      </w:divBdr>
    </w:div>
    <w:div w:id="1098477944">
      <w:bodyDiv w:val="1"/>
      <w:marLeft w:val="0"/>
      <w:marRight w:val="0"/>
      <w:marTop w:val="0"/>
      <w:marBottom w:val="0"/>
      <w:divBdr>
        <w:top w:val="none" w:sz="0" w:space="0" w:color="auto"/>
        <w:left w:val="none" w:sz="0" w:space="0" w:color="auto"/>
        <w:bottom w:val="none" w:sz="0" w:space="0" w:color="auto"/>
        <w:right w:val="none" w:sz="0" w:space="0" w:color="auto"/>
      </w:divBdr>
    </w:div>
    <w:div w:id="1148478032">
      <w:bodyDiv w:val="1"/>
      <w:marLeft w:val="0"/>
      <w:marRight w:val="0"/>
      <w:marTop w:val="0"/>
      <w:marBottom w:val="0"/>
      <w:divBdr>
        <w:top w:val="none" w:sz="0" w:space="0" w:color="auto"/>
        <w:left w:val="none" w:sz="0" w:space="0" w:color="auto"/>
        <w:bottom w:val="none" w:sz="0" w:space="0" w:color="auto"/>
        <w:right w:val="none" w:sz="0" w:space="0" w:color="auto"/>
      </w:divBdr>
    </w:div>
    <w:div w:id="1164475429">
      <w:bodyDiv w:val="1"/>
      <w:marLeft w:val="0"/>
      <w:marRight w:val="0"/>
      <w:marTop w:val="0"/>
      <w:marBottom w:val="0"/>
      <w:divBdr>
        <w:top w:val="none" w:sz="0" w:space="0" w:color="auto"/>
        <w:left w:val="none" w:sz="0" w:space="0" w:color="auto"/>
        <w:bottom w:val="none" w:sz="0" w:space="0" w:color="auto"/>
        <w:right w:val="none" w:sz="0" w:space="0" w:color="auto"/>
      </w:divBdr>
      <w:divsChild>
        <w:div w:id="511340333">
          <w:marLeft w:val="0"/>
          <w:marRight w:val="0"/>
          <w:marTop w:val="0"/>
          <w:marBottom w:val="0"/>
          <w:divBdr>
            <w:top w:val="none" w:sz="0" w:space="0" w:color="auto"/>
            <w:left w:val="none" w:sz="0" w:space="0" w:color="auto"/>
            <w:bottom w:val="none" w:sz="0" w:space="0" w:color="auto"/>
            <w:right w:val="none" w:sz="0" w:space="0" w:color="auto"/>
          </w:divBdr>
        </w:div>
        <w:div w:id="662318869">
          <w:marLeft w:val="0"/>
          <w:marRight w:val="0"/>
          <w:marTop w:val="0"/>
          <w:marBottom w:val="0"/>
          <w:divBdr>
            <w:top w:val="none" w:sz="0" w:space="0" w:color="auto"/>
            <w:left w:val="none" w:sz="0" w:space="0" w:color="auto"/>
            <w:bottom w:val="none" w:sz="0" w:space="0" w:color="auto"/>
            <w:right w:val="none" w:sz="0" w:space="0" w:color="auto"/>
          </w:divBdr>
        </w:div>
        <w:div w:id="838035528">
          <w:marLeft w:val="0"/>
          <w:marRight w:val="0"/>
          <w:marTop w:val="0"/>
          <w:marBottom w:val="0"/>
          <w:divBdr>
            <w:top w:val="none" w:sz="0" w:space="0" w:color="auto"/>
            <w:left w:val="none" w:sz="0" w:space="0" w:color="auto"/>
            <w:bottom w:val="none" w:sz="0" w:space="0" w:color="auto"/>
            <w:right w:val="none" w:sz="0" w:space="0" w:color="auto"/>
          </w:divBdr>
        </w:div>
        <w:div w:id="1001542786">
          <w:marLeft w:val="0"/>
          <w:marRight w:val="0"/>
          <w:marTop w:val="0"/>
          <w:marBottom w:val="0"/>
          <w:divBdr>
            <w:top w:val="none" w:sz="0" w:space="0" w:color="auto"/>
            <w:left w:val="none" w:sz="0" w:space="0" w:color="auto"/>
            <w:bottom w:val="none" w:sz="0" w:space="0" w:color="auto"/>
            <w:right w:val="none" w:sz="0" w:space="0" w:color="auto"/>
          </w:divBdr>
        </w:div>
        <w:div w:id="1153372997">
          <w:marLeft w:val="0"/>
          <w:marRight w:val="0"/>
          <w:marTop w:val="0"/>
          <w:marBottom w:val="0"/>
          <w:divBdr>
            <w:top w:val="none" w:sz="0" w:space="0" w:color="auto"/>
            <w:left w:val="none" w:sz="0" w:space="0" w:color="auto"/>
            <w:bottom w:val="none" w:sz="0" w:space="0" w:color="auto"/>
            <w:right w:val="none" w:sz="0" w:space="0" w:color="auto"/>
          </w:divBdr>
        </w:div>
        <w:div w:id="1251085321">
          <w:marLeft w:val="0"/>
          <w:marRight w:val="0"/>
          <w:marTop w:val="0"/>
          <w:marBottom w:val="0"/>
          <w:divBdr>
            <w:top w:val="none" w:sz="0" w:space="0" w:color="auto"/>
            <w:left w:val="none" w:sz="0" w:space="0" w:color="auto"/>
            <w:bottom w:val="none" w:sz="0" w:space="0" w:color="auto"/>
            <w:right w:val="none" w:sz="0" w:space="0" w:color="auto"/>
          </w:divBdr>
        </w:div>
        <w:div w:id="1877502380">
          <w:marLeft w:val="0"/>
          <w:marRight w:val="0"/>
          <w:marTop w:val="0"/>
          <w:marBottom w:val="0"/>
          <w:divBdr>
            <w:top w:val="none" w:sz="0" w:space="0" w:color="auto"/>
            <w:left w:val="none" w:sz="0" w:space="0" w:color="auto"/>
            <w:bottom w:val="none" w:sz="0" w:space="0" w:color="auto"/>
            <w:right w:val="none" w:sz="0" w:space="0" w:color="auto"/>
          </w:divBdr>
        </w:div>
      </w:divsChild>
    </w:div>
    <w:div w:id="1249343008">
      <w:bodyDiv w:val="1"/>
      <w:marLeft w:val="0"/>
      <w:marRight w:val="0"/>
      <w:marTop w:val="0"/>
      <w:marBottom w:val="0"/>
      <w:divBdr>
        <w:top w:val="none" w:sz="0" w:space="0" w:color="auto"/>
        <w:left w:val="none" w:sz="0" w:space="0" w:color="auto"/>
        <w:bottom w:val="none" w:sz="0" w:space="0" w:color="auto"/>
        <w:right w:val="none" w:sz="0" w:space="0" w:color="auto"/>
      </w:divBdr>
    </w:div>
    <w:div w:id="1253126640">
      <w:bodyDiv w:val="1"/>
      <w:marLeft w:val="0"/>
      <w:marRight w:val="0"/>
      <w:marTop w:val="0"/>
      <w:marBottom w:val="0"/>
      <w:divBdr>
        <w:top w:val="none" w:sz="0" w:space="0" w:color="auto"/>
        <w:left w:val="none" w:sz="0" w:space="0" w:color="auto"/>
        <w:bottom w:val="none" w:sz="0" w:space="0" w:color="auto"/>
        <w:right w:val="none" w:sz="0" w:space="0" w:color="auto"/>
      </w:divBdr>
    </w:div>
    <w:div w:id="1306012937">
      <w:bodyDiv w:val="1"/>
      <w:marLeft w:val="0"/>
      <w:marRight w:val="0"/>
      <w:marTop w:val="0"/>
      <w:marBottom w:val="0"/>
      <w:divBdr>
        <w:top w:val="none" w:sz="0" w:space="0" w:color="auto"/>
        <w:left w:val="none" w:sz="0" w:space="0" w:color="auto"/>
        <w:bottom w:val="none" w:sz="0" w:space="0" w:color="auto"/>
        <w:right w:val="none" w:sz="0" w:space="0" w:color="auto"/>
      </w:divBdr>
      <w:divsChild>
        <w:div w:id="233858140">
          <w:marLeft w:val="0"/>
          <w:marRight w:val="0"/>
          <w:marTop w:val="0"/>
          <w:marBottom w:val="0"/>
          <w:divBdr>
            <w:top w:val="none" w:sz="0" w:space="0" w:color="auto"/>
            <w:left w:val="none" w:sz="0" w:space="0" w:color="auto"/>
            <w:bottom w:val="none" w:sz="0" w:space="0" w:color="auto"/>
            <w:right w:val="none" w:sz="0" w:space="0" w:color="auto"/>
          </w:divBdr>
        </w:div>
      </w:divsChild>
    </w:div>
    <w:div w:id="1333727982">
      <w:bodyDiv w:val="1"/>
      <w:marLeft w:val="0"/>
      <w:marRight w:val="0"/>
      <w:marTop w:val="0"/>
      <w:marBottom w:val="0"/>
      <w:divBdr>
        <w:top w:val="none" w:sz="0" w:space="0" w:color="auto"/>
        <w:left w:val="none" w:sz="0" w:space="0" w:color="auto"/>
        <w:bottom w:val="none" w:sz="0" w:space="0" w:color="auto"/>
        <w:right w:val="none" w:sz="0" w:space="0" w:color="auto"/>
      </w:divBdr>
    </w:div>
    <w:div w:id="1380789384">
      <w:bodyDiv w:val="1"/>
      <w:marLeft w:val="0"/>
      <w:marRight w:val="0"/>
      <w:marTop w:val="0"/>
      <w:marBottom w:val="0"/>
      <w:divBdr>
        <w:top w:val="none" w:sz="0" w:space="0" w:color="auto"/>
        <w:left w:val="none" w:sz="0" w:space="0" w:color="auto"/>
        <w:bottom w:val="none" w:sz="0" w:space="0" w:color="auto"/>
        <w:right w:val="none" w:sz="0" w:space="0" w:color="auto"/>
      </w:divBdr>
    </w:div>
    <w:div w:id="1454127574">
      <w:bodyDiv w:val="1"/>
      <w:marLeft w:val="0"/>
      <w:marRight w:val="0"/>
      <w:marTop w:val="0"/>
      <w:marBottom w:val="0"/>
      <w:divBdr>
        <w:top w:val="none" w:sz="0" w:space="0" w:color="auto"/>
        <w:left w:val="none" w:sz="0" w:space="0" w:color="auto"/>
        <w:bottom w:val="none" w:sz="0" w:space="0" w:color="auto"/>
        <w:right w:val="none" w:sz="0" w:space="0" w:color="auto"/>
      </w:divBdr>
    </w:div>
    <w:div w:id="1472819870">
      <w:bodyDiv w:val="1"/>
      <w:marLeft w:val="0"/>
      <w:marRight w:val="0"/>
      <w:marTop w:val="0"/>
      <w:marBottom w:val="0"/>
      <w:divBdr>
        <w:top w:val="none" w:sz="0" w:space="0" w:color="auto"/>
        <w:left w:val="none" w:sz="0" w:space="0" w:color="auto"/>
        <w:bottom w:val="none" w:sz="0" w:space="0" w:color="auto"/>
        <w:right w:val="none" w:sz="0" w:space="0" w:color="auto"/>
      </w:divBdr>
    </w:div>
    <w:div w:id="1524435890">
      <w:bodyDiv w:val="1"/>
      <w:marLeft w:val="0"/>
      <w:marRight w:val="0"/>
      <w:marTop w:val="0"/>
      <w:marBottom w:val="0"/>
      <w:divBdr>
        <w:top w:val="none" w:sz="0" w:space="0" w:color="auto"/>
        <w:left w:val="none" w:sz="0" w:space="0" w:color="auto"/>
        <w:bottom w:val="none" w:sz="0" w:space="0" w:color="auto"/>
        <w:right w:val="none" w:sz="0" w:space="0" w:color="auto"/>
      </w:divBdr>
    </w:div>
    <w:div w:id="1535922517">
      <w:bodyDiv w:val="1"/>
      <w:marLeft w:val="0"/>
      <w:marRight w:val="0"/>
      <w:marTop w:val="0"/>
      <w:marBottom w:val="0"/>
      <w:divBdr>
        <w:top w:val="none" w:sz="0" w:space="0" w:color="auto"/>
        <w:left w:val="none" w:sz="0" w:space="0" w:color="auto"/>
        <w:bottom w:val="none" w:sz="0" w:space="0" w:color="auto"/>
        <w:right w:val="none" w:sz="0" w:space="0" w:color="auto"/>
      </w:divBdr>
    </w:div>
    <w:div w:id="1538933662">
      <w:bodyDiv w:val="1"/>
      <w:marLeft w:val="0"/>
      <w:marRight w:val="0"/>
      <w:marTop w:val="0"/>
      <w:marBottom w:val="0"/>
      <w:divBdr>
        <w:top w:val="none" w:sz="0" w:space="0" w:color="auto"/>
        <w:left w:val="none" w:sz="0" w:space="0" w:color="auto"/>
        <w:bottom w:val="none" w:sz="0" w:space="0" w:color="auto"/>
        <w:right w:val="none" w:sz="0" w:space="0" w:color="auto"/>
      </w:divBdr>
    </w:div>
    <w:div w:id="1547644405">
      <w:bodyDiv w:val="1"/>
      <w:marLeft w:val="0"/>
      <w:marRight w:val="0"/>
      <w:marTop w:val="0"/>
      <w:marBottom w:val="0"/>
      <w:divBdr>
        <w:top w:val="none" w:sz="0" w:space="0" w:color="auto"/>
        <w:left w:val="none" w:sz="0" w:space="0" w:color="auto"/>
        <w:bottom w:val="none" w:sz="0" w:space="0" w:color="auto"/>
        <w:right w:val="none" w:sz="0" w:space="0" w:color="auto"/>
      </w:divBdr>
      <w:divsChild>
        <w:div w:id="251592773">
          <w:marLeft w:val="0"/>
          <w:marRight w:val="0"/>
          <w:marTop w:val="0"/>
          <w:marBottom w:val="0"/>
          <w:divBdr>
            <w:top w:val="none" w:sz="0" w:space="0" w:color="auto"/>
            <w:left w:val="none" w:sz="0" w:space="0" w:color="auto"/>
            <w:bottom w:val="none" w:sz="0" w:space="0" w:color="auto"/>
            <w:right w:val="none" w:sz="0" w:space="0" w:color="auto"/>
          </w:divBdr>
          <w:divsChild>
            <w:div w:id="237717012">
              <w:marLeft w:val="0"/>
              <w:marRight w:val="0"/>
              <w:marTop w:val="0"/>
              <w:marBottom w:val="0"/>
              <w:divBdr>
                <w:top w:val="none" w:sz="0" w:space="0" w:color="auto"/>
                <w:left w:val="none" w:sz="0" w:space="0" w:color="auto"/>
                <w:bottom w:val="none" w:sz="0" w:space="0" w:color="auto"/>
                <w:right w:val="none" w:sz="0" w:space="0" w:color="auto"/>
              </w:divBdr>
              <w:divsChild>
                <w:div w:id="525407857">
                  <w:marLeft w:val="0"/>
                  <w:marRight w:val="0"/>
                  <w:marTop w:val="0"/>
                  <w:marBottom w:val="0"/>
                  <w:divBdr>
                    <w:top w:val="none" w:sz="0" w:space="0" w:color="auto"/>
                    <w:left w:val="none" w:sz="0" w:space="0" w:color="auto"/>
                    <w:bottom w:val="none" w:sz="0" w:space="0" w:color="auto"/>
                    <w:right w:val="none" w:sz="0" w:space="0" w:color="auto"/>
                  </w:divBdr>
                  <w:divsChild>
                    <w:div w:id="14324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20392">
      <w:bodyDiv w:val="1"/>
      <w:marLeft w:val="0"/>
      <w:marRight w:val="0"/>
      <w:marTop w:val="0"/>
      <w:marBottom w:val="0"/>
      <w:divBdr>
        <w:top w:val="none" w:sz="0" w:space="0" w:color="auto"/>
        <w:left w:val="none" w:sz="0" w:space="0" w:color="auto"/>
        <w:bottom w:val="none" w:sz="0" w:space="0" w:color="auto"/>
        <w:right w:val="none" w:sz="0" w:space="0" w:color="auto"/>
      </w:divBdr>
    </w:div>
    <w:div w:id="1558466609">
      <w:bodyDiv w:val="1"/>
      <w:marLeft w:val="0"/>
      <w:marRight w:val="0"/>
      <w:marTop w:val="0"/>
      <w:marBottom w:val="0"/>
      <w:divBdr>
        <w:top w:val="none" w:sz="0" w:space="0" w:color="auto"/>
        <w:left w:val="none" w:sz="0" w:space="0" w:color="auto"/>
        <w:bottom w:val="none" w:sz="0" w:space="0" w:color="auto"/>
        <w:right w:val="none" w:sz="0" w:space="0" w:color="auto"/>
      </w:divBdr>
      <w:divsChild>
        <w:div w:id="718896326">
          <w:marLeft w:val="0"/>
          <w:marRight w:val="0"/>
          <w:marTop w:val="0"/>
          <w:marBottom w:val="0"/>
          <w:divBdr>
            <w:top w:val="none" w:sz="0" w:space="0" w:color="auto"/>
            <w:left w:val="none" w:sz="0" w:space="0" w:color="auto"/>
            <w:bottom w:val="none" w:sz="0" w:space="0" w:color="auto"/>
            <w:right w:val="none" w:sz="0" w:space="0" w:color="auto"/>
          </w:divBdr>
        </w:div>
        <w:div w:id="948506257">
          <w:marLeft w:val="0"/>
          <w:marRight w:val="0"/>
          <w:marTop w:val="0"/>
          <w:marBottom w:val="0"/>
          <w:divBdr>
            <w:top w:val="none" w:sz="0" w:space="0" w:color="auto"/>
            <w:left w:val="none" w:sz="0" w:space="0" w:color="auto"/>
            <w:bottom w:val="none" w:sz="0" w:space="0" w:color="auto"/>
            <w:right w:val="none" w:sz="0" w:space="0" w:color="auto"/>
          </w:divBdr>
        </w:div>
        <w:div w:id="1353872976">
          <w:marLeft w:val="0"/>
          <w:marRight w:val="0"/>
          <w:marTop w:val="0"/>
          <w:marBottom w:val="0"/>
          <w:divBdr>
            <w:top w:val="none" w:sz="0" w:space="0" w:color="auto"/>
            <w:left w:val="none" w:sz="0" w:space="0" w:color="auto"/>
            <w:bottom w:val="none" w:sz="0" w:space="0" w:color="auto"/>
            <w:right w:val="none" w:sz="0" w:space="0" w:color="auto"/>
          </w:divBdr>
        </w:div>
        <w:div w:id="2061244148">
          <w:marLeft w:val="0"/>
          <w:marRight w:val="0"/>
          <w:marTop w:val="0"/>
          <w:marBottom w:val="0"/>
          <w:divBdr>
            <w:top w:val="none" w:sz="0" w:space="0" w:color="auto"/>
            <w:left w:val="none" w:sz="0" w:space="0" w:color="auto"/>
            <w:bottom w:val="none" w:sz="0" w:space="0" w:color="auto"/>
            <w:right w:val="none" w:sz="0" w:space="0" w:color="auto"/>
          </w:divBdr>
        </w:div>
      </w:divsChild>
    </w:div>
    <w:div w:id="1567300995">
      <w:bodyDiv w:val="1"/>
      <w:marLeft w:val="0"/>
      <w:marRight w:val="0"/>
      <w:marTop w:val="0"/>
      <w:marBottom w:val="0"/>
      <w:divBdr>
        <w:top w:val="none" w:sz="0" w:space="0" w:color="auto"/>
        <w:left w:val="none" w:sz="0" w:space="0" w:color="auto"/>
        <w:bottom w:val="none" w:sz="0" w:space="0" w:color="auto"/>
        <w:right w:val="none" w:sz="0" w:space="0" w:color="auto"/>
      </w:divBdr>
    </w:div>
    <w:div w:id="1567493058">
      <w:bodyDiv w:val="1"/>
      <w:marLeft w:val="0"/>
      <w:marRight w:val="0"/>
      <w:marTop w:val="0"/>
      <w:marBottom w:val="0"/>
      <w:divBdr>
        <w:top w:val="none" w:sz="0" w:space="0" w:color="auto"/>
        <w:left w:val="none" w:sz="0" w:space="0" w:color="auto"/>
        <w:bottom w:val="none" w:sz="0" w:space="0" w:color="auto"/>
        <w:right w:val="none" w:sz="0" w:space="0" w:color="auto"/>
      </w:divBdr>
      <w:divsChild>
        <w:div w:id="787436335">
          <w:marLeft w:val="0"/>
          <w:marRight w:val="0"/>
          <w:marTop w:val="0"/>
          <w:marBottom w:val="0"/>
          <w:divBdr>
            <w:top w:val="none" w:sz="0" w:space="0" w:color="auto"/>
            <w:left w:val="none" w:sz="0" w:space="0" w:color="auto"/>
            <w:bottom w:val="none" w:sz="0" w:space="0" w:color="auto"/>
            <w:right w:val="none" w:sz="0" w:space="0" w:color="auto"/>
          </w:divBdr>
          <w:divsChild>
            <w:div w:id="2104259957">
              <w:marLeft w:val="0"/>
              <w:marRight w:val="0"/>
              <w:marTop w:val="0"/>
              <w:marBottom w:val="0"/>
              <w:divBdr>
                <w:top w:val="none" w:sz="0" w:space="0" w:color="auto"/>
                <w:left w:val="none" w:sz="0" w:space="0" w:color="auto"/>
                <w:bottom w:val="none" w:sz="0" w:space="0" w:color="auto"/>
                <w:right w:val="none" w:sz="0" w:space="0" w:color="auto"/>
              </w:divBdr>
              <w:divsChild>
                <w:div w:id="8770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16354">
      <w:bodyDiv w:val="1"/>
      <w:marLeft w:val="0"/>
      <w:marRight w:val="0"/>
      <w:marTop w:val="0"/>
      <w:marBottom w:val="0"/>
      <w:divBdr>
        <w:top w:val="none" w:sz="0" w:space="0" w:color="auto"/>
        <w:left w:val="none" w:sz="0" w:space="0" w:color="auto"/>
        <w:bottom w:val="none" w:sz="0" w:space="0" w:color="auto"/>
        <w:right w:val="none" w:sz="0" w:space="0" w:color="auto"/>
      </w:divBdr>
    </w:div>
    <w:div w:id="1636904983">
      <w:bodyDiv w:val="1"/>
      <w:marLeft w:val="0"/>
      <w:marRight w:val="0"/>
      <w:marTop w:val="0"/>
      <w:marBottom w:val="0"/>
      <w:divBdr>
        <w:top w:val="none" w:sz="0" w:space="0" w:color="auto"/>
        <w:left w:val="none" w:sz="0" w:space="0" w:color="auto"/>
        <w:bottom w:val="none" w:sz="0" w:space="0" w:color="auto"/>
        <w:right w:val="none" w:sz="0" w:space="0" w:color="auto"/>
      </w:divBdr>
    </w:div>
    <w:div w:id="1804885591">
      <w:bodyDiv w:val="1"/>
      <w:marLeft w:val="0"/>
      <w:marRight w:val="0"/>
      <w:marTop w:val="0"/>
      <w:marBottom w:val="0"/>
      <w:divBdr>
        <w:top w:val="none" w:sz="0" w:space="0" w:color="auto"/>
        <w:left w:val="none" w:sz="0" w:space="0" w:color="auto"/>
        <w:bottom w:val="none" w:sz="0" w:space="0" w:color="auto"/>
        <w:right w:val="none" w:sz="0" w:space="0" w:color="auto"/>
      </w:divBdr>
    </w:div>
    <w:div w:id="1817145712">
      <w:bodyDiv w:val="1"/>
      <w:marLeft w:val="0"/>
      <w:marRight w:val="0"/>
      <w:marTop w:val="0"/>
      <w:marBottom w:val="0"/>
      <w:divBdr>
        <w:top w:val="none" w:sz="0" w:space="0" w:color="auto"/>
        <w:left w:val="none" w:sz="0" w:space="0" w:color="auto"/>
        <w:bottom w:val="none" w:sz="0" w:space="0" w:color="auto"/>
        <w:right w:val="none" w:sz="0" w:space="0" w:color="auto"/>
      </w:divBdr>
    </w:div>
    <w:div w:id="1882740903">
      <w:bodyDiv w:val="1"/>
      <w:marLeft w:val="0"/>
      <w:marRight w:val="0"/>
      <w:marTop w:val="0"/>
      <w:marBottom w:val="0"/>
      <w:divBdr>
        <w:top w:val="none" w:sz="0" w:space="0" w:color="auto"/>
        <w:left w:val="none" w:sz="0" w:space="0" w:color="auto"/>
        <w:bottom w:val="none" w:sz="0" w:space="0" w:color="auto"/>
        <w:right w:val="none" w:sz="0" w:space="0" w:color="auto"/>
      </w:divBdr>
    </w:div>
    <w:div w:id="1957443555">
      <w:bodyDiv w:val="1"/>
      <w:marLeft w:val="0"/>
      <w:marRight w:val="0"/>
      <w:marTop w:val="0"/>
      <w:marBottom w:val="0"/>
      <w:divBdr>
        <w:top w:val="none" w:sz="0" w:space="0" w:color="auto"/>
        <w:left w:val="none" w:sz="0" w:space="0" w:color="auto"/>
        <w:bottom w:val="none" w:sz="0" w:space="0" w:color="auto"/>
        <w:right w:val="none" w:sz="0" w:space="0" w:color="auto"/>
      </w:divBdr>
    </w:div>
    <w:div w:id="1969630551">
      <w:bodyDiv w:val="1"/>
      <w:marLeft w:val="0"/>
      <w:marRight w:val="0"/>
      <w:marTop w:val="0"/>
      <w:marBottom w:val="0"/>
      <w:divBdr>
        <w:top w:val="none" w:sz="0" w:space="0" w:color="auto"/>
        <w:left w:val="none" w:sz="0" w:space="0" w:color="auto"/>
        <w:bottom w:val="none" w:sz="0" w:space="0" w:color="auto"/>
        <w:right w:val="none" w:sz="0" w:space="0" w:color="auto"/>
      </w:divBdr>
      <w:divsChild>
        <w:div w:id="631791622">
          <w:marLeft w:val="0"/>
          <w:marRight w:val="0"/>
          <w:marTop w:val="0"/>
          <w:marBottom w:val="0"/>
          <w:divBdr>
            <w:top w:val="none" w:sz="0" w:space="0" w:color="auto"/>
            <w:left w:val="none" w:sz="0" w:space="0" w:color="auto"/>
            <w:bottom w:val="none" w:sz="0" w:space="0" w:color="auto"/>
            <w:right w:val="none" w:sz="0" w:space="0" w:color="auto"/>
          </w:divBdr>
        </w:div>
      </w:divsChild>
    </w:div>
    <w:div w:id="1991250065">
      <w:bodyDiv w:val="1"/>
      <w:marLeft w:val="0"/>
      <w:marRight w:val="0"/>
      <w:marTop w:val="0"/>
      <w:marBottom w:val="0"/>
      <w:divBdr>
        <w:top w:val="none" w:sz="0" w:space="0" w:color="auto"/>
        <w:left w:val="none" w:sz="0" w:space="0" w:color="auto"/>
        <w:bottom w:val="none" w:sz="0" w:space="0" w:color="auto"/>
        <w:right w:val="none" w:sz="0" w:space="0" w:color="auto"/>
      </w:divBdr>
      <w:divsChild>
        <w:div w:id="1061518725">
          <w:marLeft w:val="0"/>
          <w:marRight w:val="0"/>
          <w:marTop w:val="0"/>
          <w:marBottom w:val="0"/>
          <w:divBdr>
            <w:top w:val="none" w:sz="0" w:space="0" w:color="auto"/>
            <w:left w:val="none" w:sz="0" w:space="0" w:color="auto"/>
            <w:bottom w:val="none" w:sz="0" w:space="0" w:color="auto"/>
            <w:right w:val="none" w:sz="0" w:space="0" w:color="auto"/>
          </w:divBdr>
        </w:div>
      </w:divsChild>
    </w:div>
    <w:div w:id="2054310878">
      <w:bodyDiv w:val="1"/>
      <w:marLeft w:val="0"/>
      <w:marRight w:val="0"/>
      <w:marTop w:val="0"/>
      <w:marBottom w:val="0"/>
      <w:divBdr>
        <w:top w:val="none" w:sz="0" w:space="0" w:color="auto"/>
        <w:left w:val="none" w:sz="0" w:space="0" w:color="auto"/>
        <w:bottom w:val="none" w:sz="0" w:space="0" w:color="auto"/>
        <w:right w:val="none" w:sz="0" w:space="0" w:color="auto"/>
      </w:divBdr>
      <w:divsChild>
        <w:div w:id="45417899">
          <w:marLeft w:val="0"/>
          <w:marRight w:val="0"/>
          <w:marTop w:val="0"/>
          <w:marBottom w:val="0"/>
          <w:divBdr>
            <w:top w:val="none" w:sz="0" w:space="0" w:color="auto"/>
            <w:left w:val="none" w:sz="0" w:space="0" w:color="auto"/>
            <w:bottom w:val="none" w:sz="0" w:space="0" w:color="auto"/>
            <w:right w:val="none" w:sz="0" w:space="0" w:color="auto"/>
          </w:divBdr>
        </w:div>
      </w:divsChild>
    </w:div>
    <w:div w:id="2071725634">
      <w:bodyDiv w:val="1"/>
      <w:marLeft w:val="0"/>
      <w:marRight w:val="0"/>
      <w:marTop w:val="0"/>
      <w:marBottom w:val="0"/>
      <w:divBdr>
        <w:top w:val="none" w:sz="0" w:space="0" w:color="auto"/>
        <w:left w:val="none" w:sz="0" w:space="0" w:color="auto"/>
        <w:bottom w:val="none" w:sz="0" w:space="0" w:color="auto"/>
        <w:right w:val="none" w:sz="0" w:space="0" w:color="auto"/>
      </w:divBdr>
    </w:div>
    <w:div w:id="207547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log.leclubdesjuristes.com/fin-des-negociations-bbnj-a-lonu-enfin-un-traite-pour-proteger-la-biodiversite-marine-en-haute-mer-par-valerie-bore-eveno-et-pascale-rica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aphnin/Library/Mobile%20Documents/com~apple~CloudDocs/Recherche/A%20-%20Contributions%20en%20cours/Mode&#768;le%20contributio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AEE4B-E3E3-B643-A39C-B9A4700F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contribution.dotx</Template>
  <TotalTime>321</TotalTime>
  <Pages>11</Pages>
  <Words>5395</Words>
  <Characters>29673</Characters>
  <Application>Microsoft Office Word</Application>
  <DocSecurity>0</DocSecurity>
  <Lines>247</Lines>
  <Paragraphs>69</Paragraphs>
  <ScaleCrop>false</ScaleCrop>
  <HeadingPairs>
    <vt:vector size="2" baseType="variant">
      <vt:variant>
        <vt:lpstr>Titre</vt:lpstr>
      </vt:variant>
      <vt:variant>
        <vt:i4>1</vt:i4>
      </vt:variant>
    </vt:vector>
  </HeadingPairs>
  <TitlesOfParts>
    <vt:vector size="1" baseType="lpstr">
      <vt:lpstr/>
    </vt:vector>
  </TitlesOfParts>
  <Company>UdA</Company>
  <LinksUpToDate>false</LinksUpToDate>
  <CharactersWithSpaces>34999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Raphaël MAUREL</cp:lastModifiedBy>
  <cp:revision>47</cp:revision>
  <cp:lastPrinted>2019-10-18T14:30:00Z</cp:lastPrinted>
  <dcterms:created xsi:type="dcterms:W3CDTF">2023-05-04T16:14:00Z</dcterms:created>
  <dcterms:modified xsi:type="dcterms:W3CDTF">2023-07-08T09:48:00Z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zotero-version="6.0.25"&gt;&lt;session id="dy57bwMA"/&gt;&lt;style id="http://www.zotero.org/styles/universite-de-bordeaux-ecole-doctorale-de-droit" hasBibliography="1" bibliographyStyleHasBeenSet="0"/&gt;&lt;prefs&gt;&lt;pref name="fieldType" value="Field</vt:lpwstr>
  </property>
  <property fmtid="{D5CDD505-2E9C-101B-9397-08002B2CF9AE}" pid="3" name="ZOTERO_PREF_2">
    <vt:lpwstr>"/&gt;&lt;pref name="storeReferences" value="true"/&gt;&lt;pref name="automaticJournalAbbreviations" value="true"/&gt;&lt;pref name="noteType" value="1"/&gt;&lt;/prefs&gt;&lt;/data&gt;</vt:lpwstr>
  </property>
</Properties>
</file>