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8EC3" w14:textId="0CF87574" w:rsidR="00AB29C4" w:rsidRDefault="005B718A">
      <w:pPr>
        <w:pStyle w:val="Normal2"/>
        <w:spacing w:before="240" w:after="240"/>
        <w:jc w:val="center"/>
        <w:rPr>
          <w:b/>
          <w:sz w:val="28"/>
          <w:szCs w:val="28"/>
        </w:rPr>
      </w:pPr>
      <w:r>
        <w:rPr>
          <w:b/>
          <w:sz w:val="28"/>
          <w:szCs w:val="28"/>
        </w:rPr>
        <w:t>Polygamie</w:t>
      </w:r>
    </w:p>
    <w:p w14:paraId="36A3919A" w14:textId="23486C3F" w:rsidR="00AB29C4" w:rsidRDefault="00780C99">
      <w:pPr>
        <w:pStyle w:val="Normal2"/>
        <w:spacing w:before="240" w:after="240"/>
        <w:jc w:val="center"/>
        <w:rPr>
          <w:b/>
          <w:sz w:val="28"/>
          <w:szCs w:val="28"/>
        </w:rPr>
      </w:pPr>
      <w:r>
        <w:rPr>
          <w:b/>
          <w:sz w:val="28"/>
          <w:szCs w:val="28"/>
        </w:rPr>
        <w:t xml:space="preserve">art. </w:t>
      </w:r>
      <w:r w:rsidR="00F07C4C">
        <w:rPr>
          <w:b/>
          <w:sz w:val="28"/>
          <w:szCs w:val="28"/>
        </w:rPr>
        <w:t>8</w:t>
      </w:r>
      <w:r>
        <w:rPr>
          <w:b/>
          <w:sz w:val="28"/>
          <w:szCs w:val="28"/>
        </w:rPr>
        <w:t xml:space="preserve"> ; </w:t>
      </w:r>
      <w:r w:rsidR="00F07C4C">
        <w:rPr>
          <w:b/>
          <w:sz w:val="28"/>
          <w:szCs w:val="28"/>
        </w:rPr>
        <w:t>12</w:t>
      </w:r>
      <w:r>
        <w:rPr>
          <w:b/>
          <w:sz w:val="28"/>
          <w:szCs w:val="28"/>
        </w:rPr>
        <w:t xml:space="preserve"> ; 14 ; 1P1</w:t>
      </w:r>
    </w:p>
    <w:p w14:paraId="78A9725C" w14:textId="77777777" w:rsidR="00AF53D2" w:rsidRDefault="00AF53D2">
      <w:pPr>
        <w:pStyle w:val="Normal2"/>
        <w:spacing w:before="240" w:after="240"/>
        <w:jc w:val="both"/>
        <w:rPr>
          <w:sz w:val="28"/>
          <w:szCs w:val="28"/>
        </w:rPr>
      </w:pPr>
    </w:p>
    <w:p w14:paraId="3C1594B7" w14:textId="0FBA693F" w:rsidR="00AB29C4" w:rsidRDefault="00AF53D2">
      <w:pPr>
        <w:pStyle w:val="Normal2"/>
        <w:spacing w:before="240" w:after="240"/>
        <w:jc w:val="both"/>
        <w:rPr>
          <w:sz w:val="28"/>
          <w:szCs w:val="28"/>
        </w:rPr>
      </w:pPr>
      <w:r>
        <w:rPr>
          <w:sz w:val="28"/>
          <w:szCs w:val="28"/>
        </w:rPr>
        <w:t>Dans la jurisprudence de la Cour, la polygamie</w:t>
      </w:r>
      <w:r w:rsidR="00D676F0">
        <w:rPr>
          <w:sz w:val="28"/>
          <w:szCs w:val="28"/>
        </w:rPr>
        <w:t>, comme la polyandrie,</w:t>
      </w:r>
      <w:r>
        <w:rPr>
          <w:sz w:val="28"/>
          <w:szCs w:val="28"/>
        </w:rPr>
        <w:t xml:space="preserve"> est toujours appréhendée de manière négative</w:t>
      </w:r>
      <w:r w:rsidR="00DF270A">
        <w:rPr>
          <w:sz w:val="28"/>
          <w:szCs w:val="28"/>
        </w:rPr>
        <w:t>. Elle ne constitue pas un droit protégé par la convention</w:t>
      </w:r>
      <w:r w:rsidR="00F07C4C">
        <w:rPr>
          <w:sz w:val="28"/>
          <w:szCs w:val="28"/>
        </w:rPr>
        <w:t> ; au contraire, elle est généralement envisagée sous l’angle de l’ordre public</w:t>
      </w:r>
      <w:r w:rsidR="00DA363F">
        <w:rPr>
          <w:sz w:val="28"/>
          <w:szCs w:val="28"/>
        </w:rPr>
        <w:t>.</w:t>
      </w:r>
    </w:p>
    <w:p w14:paraId="5026B90A" w14:textId="082036C4" w:rsidR="00811B31" w:rsidRDefault="00811B31">
      <w:pPr>
        <w:pStyle w:val="Normal2"/>
        <w:spacing w:before="240" w:after="240"/>
        <w:jc w:val="both"/>
        <w:rPr>
          <w:sz w:val="28"/>
          <w:szCs w:val="28"/>
        </w:rPr>
      </w:pPr>
    </w:p>
    <w:p w14:paraId="56E1AD9B" w14:textId="674FFA3B" w:rsidR="00AF53D2" w:rsidRPr="00D676F0" w:rsidRDefault="00AF53D2">
      <w:pPr>
        <w:pStyle w:val="Normal2"/>
        <w:spacing w:before="240" w:after="240"/>
        <w:jc w:val="both"/>
        <w:rPr>
          <w:b/>
          <w:bCs/>
          <w:sz w:val="28"/>
          <w:szCs w:val="28"/>
        </w:rPr>
      </w:pPr>
      <w:r w:rsidRPr="00D676F0">
        <w:rPr>
          <w:b/>
          <w:bCs/>
          <w:sz w:val="28"/>
          <w:szCs w:val="28"/>
        </w:rPr>
        <w:t xml:space="preserve">Absence de protection </w:t>
      </w:r>
      <w:r w:rsidR="00D676F0" w:rsidRPr="00D676F0">
        <w:rPr>
          <w:b/>
          <w:bCs/>
          <w:sz w:val="28"/>
          <w:szCs w:val="28"/>
        </w:rPr>
        <w:t xml:space="preserve">au titre </w:t>
      </w:r>
      <w:r w:rsidR="00D676F0">
        <w:rPr>
          <w:b/>
          <w:bCs/>
          <w:sz w:val="28"/>
          <w:szCs w:val="28"/>
        </w:rPr>
        <w:t>du droit au mariage :</w:t>
      </w:r>
    </w:p>
    <w:p w14:paraId="3B03C5F9" w14:textId="66DE73CC" w:rsidR="00AF53D2" w:rsidRDefault="00D676F0">
      <w:pPr>
        <w:pStyle w:val="Normal2"/>
        <w:spacing w:before="240" w:after="240"/>
        <w:jc w:val="both"/>
        <w:rPr>
          <w:sz w:val="28"/>
          <w:szCs w:val="28"/>
        </w:rPr>
      </w:pPr>
      <w:r>
        <w:rPr>
          <w:sz w:val="28"/>
          <w:szCs w:val="28"/>
        </w:rPr>
        <w:t>Si l’article 12 de la Convention consacre le droit au mariage, il n’implique pas un droit au divorce (</w:t>
      </w:r>
      <w:r w:rsidRPr="00D676F0">
        <w:rPr>
          <w:i/>
          <w:iCs/>
          <w:sz w:val="28"/>
          <w:szCs w:val="28"/>
        </w:rPr>
        <w:t>Johnston et a. c. Irlande</w:t>
      </w:r>
      <w:r>
        <w:rPr>
          <w:sz w:val="28"/>
          <w:szCs w:val="28"/>
        </w:rPr>
        <w:t>, 18 décembre 1986, n°9697/82, §54). Aussi, un requérant ne saurait se prévaloir de l’absence de droit au divorce dans son État pour justifier la contrariété de l’impossibilité de se remarier avec le droit au mariage : « [d]</w:t>
      </w:r>
      <w:r w:rsidRPr="00D676F0">
        <w:rPr>
          <w:sz w:val="28"/>
          <w:szCs w:val="28"/>
        </w:rPr>
        <w:t>ans toute société souscrivant au principe de la monogamie, il ne se conçoit pas que [le requérant] puisse se marier avant la dissolution de son</w:t>
      </w:r>
      <w:r w:rsidR="00DA363F">
        <w:rPr>
          <w:sz w:val="28"/>
          <w:szCs w:val="28"/>
        </w:rPr>
        <w:t xml:space="preserve"> union</w:t>
      </w:r>
      <w:r>
        <w:rPr>
          <w:sz w:val="28"/>
          <w:szCs w:val="28"/>
        </w:rPr>
        <w:t> » (</w:t>
      </w:r>
      <w:r>
        <w:rPr>
          <w:i/>
          <w:iCs/>
          <w:sz w:val="28"/>
          <w:szCs w:val="28"/>
        </w:rPr>
        <w:t>ibid.</w:t>
      </w:r>
      <w:r>
        <w:rPr>
          <w:sz w:val="28"/>
          <w:szCs w:val="28"/>
        </w:rPr>
        <w:t>, §50).</w:t>
      </w:r>
    </w:p>
    <w:p w14:paraId="5791A1DA" w14:textId="50CBA7B3" w:rsidR="00DA363F" w:rsidRDefault="00DA363F">
      <w:pPr>
        <w:pStyle w:val="Normal2"/>
        <w:spacing w:before="240" w:after="240"/>
        <w:jc w:val="both"/>
        <w:rPr>
          <w:sz w:val="28"/>
          <w:szCs w:val="28"/>
        </w:rPr>
      </w:pPr>
      <w:r>
        <w:rPr>
          <w:sz w:val="28"/>
          <w:szCs w:val="28"/>
        </w:rPr>
        <w:t>L’argument selon lequel un mariage forcé, dans un pays tiers, serait susceptible de porter atteinte au droit au mariage protégé par la Convention est parfois invoqué, sans succès au stade de la recevabilité (</w:t>
      </w:r>
      <w:proofErr w:type="spellStart"/>
      <w:r>
        <w:rPr>
          <w:sz w:val="28"/>
          <w:szCs w:val="28"/>
        </w:rPr>
        <w:t>d</w:t>
      </w:r>
      <w:r w:rsidRPr="00DA363F">
        <w:rPr>
          <w:sz w:val="28"/>
          <w:szCs w:val="28"/>
        </w:rPr>
        <w:t>éc</w:t>
      </w:r>
      <w:proofErr w:type="spellEnd"/>
      <w:r w:rsidRPr="00DA363F">
        <w:rPr>
          <w:sz w:val="28"/>
          <w:szCs w:val="28"/>
        </w:rPr>
        <w:t xml:space="preserve">, </w:t>
      </w:r>
      <w:r w:rsidRPr="00DA363F">
        <w:rPr>
          <w:i/>
          <w:iCs/>
          <w:sz w:val="28"/>
          <w:szCs w:val="28"/>
        </w:rPr>
        <w:t>Xi c. France</w:t>
      </w:r>
      <w:r w:rsidRPr="00DA363F">
        <w:rPr>
          <w:sz w:val="28"/>
          <w:szCs w:val="28"/>
        </w:rPr>
        <w:t xml:space="preserve">, 25 mai 2010, n°36144/08 ; </w:t>
      </w:r>
      <w:r w:rsidRPr="00DA363F">
        <w:rPr>
          <w:i/>
          <w:iCs/>
          <w:sz w:val="28"/>
          <w:szCs w:val="28"/>
        </w:rPr>
        <w:t>A.Y. c. France</w:t>
      </w:r>
      <w:r w:rsidRPr="00DA363F">
        <w:rPr>
          <w:sz w:val="28"/>
          <w:szCs w:val="28"/>
        </w:rPr>
        <w:t>, 11 octobre 2011, n°25579/09)</w:t>
      </w:r>
      <w:r>
        <w:rPr>
          <w:sz w:val="28"/>
          <w:szCs w:val="28"/>
        </w:rPr>
        <w:t>.</w:t>
      </w:r>
    </w:p>
    <w:p w14:paraId="022EE818" w14:textId="77777777" w:rsidR="00DA363F" w:rsidRDefault="00DA363F">
      <w:pPr>
        <w:pStyle w:val="Normal2"/>
        <w:spacing w:before="240" w:after="240"/>
        <w:jc w:val="both"/>
        <w:rPr>
          <w:sz w:val="28"/>
          <w:szCs w:val="28"/>
        </w:rPr>
      </w:pPr>
    </w:p>
    <w:p w14:paraId="7AC0F88B" w14:textId="0B6D760D" w:rsidR="00AB29C4" w:rsidRDefault="00811B31">
      <w:pPr>
        <w:pStyle w:val="Normal2"/>
        <w:spacing w:before="240" w:after="240"/>
        <w:rPr>
          <w:b/>
          <w:sz w:val="28"/>
          <w:szCs w:val="28"/>
        </w:rPr>
      </w:pPr>
      <w:r>
        <w:rPr>
          <w:b/>
          <w:sz w:val="28"/>
          <w:szCs w:val="28"/>
        </w:rPr>
        <w:t>Interdiction sous l’angle de la protection de l’ordre public</w:t>
      </w:r>
      <w:r w:rsidR="00780C99">
        <w:rPr>
          <w:b/>
          <w:sz w:val="28"/>
          <w:szCs w:val="28"/>
        </w:rPr>
        <w:t xml:space="preserve"> : </w:t>
      </w:r>
    </w:p>
    <w:p w14:paraId="71D4D579" w14:textId="5F01AAAB" w:rsidR="00BA2481" w:rsidRPr="00DA363F" w:rsidRDefault="00EE356E" w:rsidP="00811B31">
      <w:pPr>
        <w:pStyle w:val="Normal2"/>
        <w:spacing w:before="240" w:after="240"/>
        <w:jc w:val="both"/>
        <w:rPr>
          <w:sz w:val="28"/>
          <w:szCs w:val="28"/>
        </w:rPr>
      </w:pPr>
      <w:r>
        <w:rPr>
          <w:sz w:val="28"/>
          <w:szCs w:val="28"/>
        </w:rPr>
        <w:t xml:space="preserve">Dès 1992, la Cour a relevé que la polygamie ne constituait pas un obstacle à l’existence </w:t>
      </w:r>
      <w:r w:rsidR="004D663E">
        <w:rPr>
          <w:sz w:val="28"/>
          <w:szCs w:val="28"/>
        </w:rPr>
        <w:t>de relations familiales</w:t>
      </w:r>
      <w:r>
        <w:rPr>
          <w:sz w:val="28"/>
          <w:szCs w:val="28"/>
        </w:rPr>
        <w:t xml:space="preserve">, de sorte que </w:t>
      </w:r>
      <w:r w:rsidR="004D663E">
        <w:rPr>
          <w:sz w:val="28"/>
          <w:szCs w:val="28"/>
        </w:rPr>
        <w:t>le parent</w:t>
      </w:r>
      <w:r>
        <w:rPr>
          <w:sz w:val="28"/>
          <w:szCs w:val="28"/>
        </w:rPr>
        <w:t xml:space="preserve"> </w:t>
      </w:r>
      <w:r w:rsidR="004D663E">
        <w:rPr>
          <w:sz w:val="28"/>
          <w:szCs w:val="28"/>
        </w:rPr>
        <w:t xml:space="preserve">polygame </w:t>
      </w:r>
      <w:r>
        <w:rPr>
          <w:sz w:val="28"/>
          <w:szCs w:val="28"/>
        </w:rPr>
        <w:t>dispose</w:t>
      </w:r>
      <w:r w:rsidR="00E000C6">
        <w:rPr>
          <w:sz w:val="28"/>
          <w:szCs w:val="28"/>
        </w:rPr>
        <w:t xml:space="preserve"> du </w:t>
      </w:r>
      <w:r w:rsidR="00E000C6" w:rsidRPr="00BA2481">
        <w:rPr>
          <w:sz w:val="28"/>
          <w:szCs w:val="28"/>
        </w:rPr>
        <w:t>droit au respect de sa vie privée et familiale garanti par l’article 8. Cependant,</w:t>
      </w:r>
      <w:r w:rsidRPr="00BA2481">
        <w:rPr>
          <w:sz w:val="28"/>
          <w:szCs w:val="28"/>
        </w:rPr>
        <w:t xml:space="preserve"> </w:t>
      </w:r>
      <w:r w:rsidR="004D663E">
        <w:rPr>
          <w:sz w:val="28"/>
          <w:szCs w:val="28"/>
        </w:rPr>
        <w:t>son exercice</w:t>
      </w:r>
      <w:r w:rsidR="00BA2481">
        <w:rPr>
          <w:sz w:val="28"/>
          <w:szCs w:val="28"/>
        </w:rPr>
        <w:t xml:space="preserve"> peut être limité au titre de</w:t>
      </w:r>
      <w:r w:rsidR="00811B31" w:rsidRPr="00BA2481">
        <w:rPr>
          <w:sz w:val="28"/>
          <w:szCs w:val="28"/>
        </w:rPr>
        <w:t xml:space="preserve"> la politique de contrôle d</w:t>
      </w:r>
      <w:r w:rsidR="00BA2481" w:rsidRPr="00BA2481">
        <w:rPr>
          <w:sz w:val="28"/>
          <w:szCs w:val="28"/>
        </w:rPr>
        <w:t>e l’</w:t>
      </w:r>
      <w:r w:rsidR="00811B31" w:rsidRPr="00BA2481">
        <w:rPr>
          <w:sz w:val="28"/>
          <w:szCs w:val="28"/>
        </w:rPr>
        <w:t>immigration</w:t>
      </w:r>
      <w:r w:rsidR="00BA2481">
        <w:rPr>
          <w:sz w:val="28"/>
          <w:szCs w:val="28"/>
        </w:rPr>
        <w:t>, laquelle</w:t>
      </w:r>
      <w:r w:rsidR="00811B31" w:rsidRPr="00BA2481">
        <w:rPr>
          <w:sz w:val="28"/>
          <w:szCs w:val="28"/>
        </w:rPr>
        <w:t xml:space="preserve"> entret</w:t>
      </w:r>
      <w:r w:rsidR="00BA2481">
        <w:rPr>
          <w:sz w:val="28"/>
          <w:szCs w:val="28"/>
        </w:rPr>
        <w:t>ient</w:t>
      </w:r>
      <w:r w:rsidR="00811B31" w:rsidRPr="00BA2481">
        <w:rPr>
          <w:sz w:val="28"/>
          <w:szCs w:val="28"/>
        </w:rPr>
        <w:t xml:space="preserve"> un </w:t>
      </w:r>
      <w:r w:rsidR="00BA2481" w:rsidRPr="00BA2481">
        <w:rPr>
          <w:sz w:val="28"/>
          <w:szCs w:val="28"/>
        </w:rPr>
        <w:t>« </w:t>
      </w:r>
      <w:r w:rsidR="00811B31" w:rsidRPr="00BA2481">
        <w:rPr>
          <w:sz w:val="28"/>
          <w:szCs w:val="28"/>
        </w:rPr>
        <w:t>lien étroit</w:t>
      </w:r>
      <w:r w:rsidR="00BA2481" w:rsidRPr="00BA2481">
        <w:rPr>
          <w:sz w:val="28"/>
          <w:szCs w:val="28"/>
        </w:rPr>
        <w:t> »</w:t>
      </w:r>
      <w:r w:rsidR="00811B31" w:rsidRPr="00BA2481">
        <w:rPr>
          <w:sz w:val="28"/>
          <w:szCs w:val="28"/>
        </w:rPr>
        <w:t xml:space="preserve"> avec les </w:t>
      </w:r>
      <w:r w:rsidR="00BA2481" w:rsidRPr="00BA2481">
        <w:rPr>
          <w:sz w:val="28"/>
          <w:szCs w:val="28"/>
        </w:rPr>
        <w:t>« </w:t>
      </w:r>
      <w:r w:rsidR="00811B31" w:rsidRPr="00BA2481">
        <w:rPr>
          <w:sz w:val="28"/>
          <w:szCs w:val="28"/>
        </w:rPr>
        <w:t>considérations d</w:t>
      </w:r>
      <w:r w:rsidR="00BA2481">
        <w:rPr>
          <w:sz w:val="28"/>
          <w:szCs w:val="28"/>
        </w:rPr>
        <w:t>’</w:t>
      </w:r>
      <w:r w:rsidR="00811B31" w:rsidRPr="00BA2481">
        <w:rPr>
          <w:sz w:val="28"/>
          <w:szCs w:val="28"/>
        </w:rPr>
        <w:t>ordre public</w:t>
      </w:r>
      <w:r w:rsidR="00BA2481" w:rsidRPr="00BA2481">
        <w:rPr>
          <w:sz w:val="28"/>
          <w:szCs w:val="28"/>
        </w:rPr>
        <w:t> »</w:t>
      </w:r>
      <w:r w:rsidR="00811B31" w:rsidRPr="00BA2481">
        <w:rPr>
          <w:sz w:val="28"/>
          <w:szCs w:val="28"/>
        </w:rPr>
        <w:t xml:space="preserve"> (d</w:t>
      </w:r>
      <w:r w:rsidR="00BA2481" w:rsidRPr="00BA2481">
        <w:rPr>
          <w:sz w:val="28"/>
          <w:szCs w:val="28"/>
        </w:rPr>
        <w:t>é</w:t>
      </w:r>
      <w:r w:rsidR="00811B31" w:rsidRPr="00BA2481">
        <w:rPr>
          <w:sz w:val="28"/>
          <w:szCs w:val="28"/>
        </w:rPr>
        <w:t xml:space="preserve">c. </w:t>
      </w:r>
      <w:r w:rsidR="00811B31" w:rsidRPr="00BA2481">
        <w:rPr>
          <w:i/>
          <w:iCs/>
          <w:sz w:val="28"/>
          <w:szCs w:val="28"/>
        </w:rPr>
        <w:t>A et A c. Pays-Bas</w:t>
      </w:r>
      <w:r w:rsidR="00811B31" w:rsidRPr="00BA2481">
        <w:rPr>
          <w:sz w:val="28"/>
          <w:szCs w:val="28"/>
        </w:rPr>
        <w:t xml:space="preserve">, 6 </w:t>
      </w:r>
      <w:r w:rsidR="00811B31" w:rsidRPr="00BA2481">
        <w:rPr>
          <w:sz w:val="28"/>
          <w:szCs w:val="28"/>
        </w:rPr>
        <w:lastRenderedPageBreak/>
        <w:t>janvier 1992</w:t>
      </w:r>
      <w:r w:rsidRPr="00BA2481">
        <w:rPr>
          <w:sz w:val="28"/>
          <w:szCs w:val="28"/>
        </w:rPr>
        <w:t>, n°145</w:t>
      </w:r>
      <w:r w:rsidR="00306DB5">
        <w:rPr>
          <w:sz w:val="28"/>
          <w:szCs w:val="28"/>
        </w:rPr>
        <w:t>01</w:t>
      </w:r>
      <w:r w:rsidRPr="00BA2481">
        <w:rPr>
          <w:sz w:val="28"/>
          <w:szCs w:val="28"/>
        </w:rPr>
        <w:t>/89,</w:t>
      </w:r>
      <w:r w:rsidR="00811B31" w:rsidRPr="00BA2481">
        <w:rPr>
          <w:sz w:val="28"/>
          <w:szCs w:val="28"/>
        </w:rPr>
        <w:t xml:space="preserve"> p. 127</w:t>
      </w:r>
      <w:r w:rsidR="00BA2481">
        <w:rPr>
          <w:sz w:val="28"/>
          <w:szCs w:val="28"/>
        </w:rPr>
        <w:t xml:space="preserve"> ; </w:t>
      </w:r>
      <w:r w:rsidR="00BA2481" w:rsidRPr="00BA2481">
        <w:rPr>
          <w:sz w:val="28"/>
          <w:szCs w:val="28"/>
        </w:rPr>
        <w:t xml:space="preserve">GC, </w:t>
      </w:r>
      <w:proofErr w:type="spellStart"/>
      <w:r w:rsidR="00BA2481" w:rsidRPr="00BA2481">
        <w:rPr>
          <w:i/>
          <w:iCs/>
          <w:sz w:val="28"/>
          <w:szCs w:val="28"/>
        </w:rPr>
        <w:t>Biao</w:t>
      </w:r>
      <w:proofErr w:type="spellEnd"/>
      <w:r w:rsidR="00BA2481" w:rsidRPr="00BA2481">
        <w:rPr>
          <w:i/>
          <w:iCs/>
          <w:sz w:val="28"/>
          <w:szCs w:val="28"/>
        </w:rPr>
        <w:t xml:space="preserve"> c. Danemark</w:t>
      </w:r>
      <w:r w:rsidR="00BA2481" w:rsidRPr="00BA2481">
        <w:rPr>
          <w:sz w:val="28"/>
          <w:szCs w:val="28"/>
        </w:rPr>
        <w:t>, 24 mai 2016,</w:t>
      </w:r>
      <w:r w:rsidR="00BA2481">
        <w:rPr>
          <w:sz w:val="28"/>
          <w:szCs w:val="28"/>
        </w:rPr>
        <w:t xml:space="preserve"> </w:t>
      </w:r>
      <w:r w:rsidR="00DA363F">
        <w:rPr>
          <w:sz w:val="28"/>
          <w:szCs w:val="28"/>
        </w:rPr>
        <w:t>n°38590/10,</w:t>
      </w:r>
      <w:r w:rsidR="00BA2481" w:rsidRPr="00BA2481">
        <w:rPr>
          <w:sz w:val="28"/>
          <w:szCs w:val="28"/>
        </w:rPr>
        <w:t xml:space="preserve"> §61</w:t>
      </w:r>
      <w:r w:rsidR="00811B31" w:rsidRPr="00BA2481">
        <w:rPr>
          <w:sz w:val="28"/>
          <w:szCs w:val="28"/>
        </w:rPr>
        <w:t>)</w:t>
      </w:r>
      <w:r w:rsidR="00BA2481" w:rsidRPr="00BA2481">
        <w:rPr>
          <w:sz w:val="28"/>
          <w:szCs w:val="28"/>
        </w:rPr>
        <w:t>.</w:t>
      </w:r>
    </w:p>
    <w:p w14:paraId="1F180A31" w14:textId="416F00F3" w:rsidR="00811B31" w:rsidRPr="00DA363F" w:rsidRDefault="00BA2481" w:rsidP="00811B31">
      <w:pPr>
        <w:pStyle w:val="Normal2"/>
        <w:spacing w:before="240" w:after="240"/>
        <w:jc w:val="both"/>
        <w:rPr>
          <w:sz w:val="28"/>
          <w:szCs w:val="28"/>
        </w:rPr>
      </w:pPr>
      <w:r w:rsidRPr="00DA363F">
        <w:rPr>
          <w:sz w:val="28"/>
          <w:szCs w:val="28"/>
        </w:rPr>
        <w:t xml:space="preserve">Dans l’affaire </w:t>
      </w:r>
      <w:proofErr w:type="spellStart"/>
      <w:r w:rsidRPr="00DA363F">
        <w:rPr>
          <w:i/>
          <w:iCs/>
          <w:sz w:val="28"/>
          <w:szCs w:val="28"/>
        </w:rPr>
        <w:t>Refah</w:t>
      </w:r>
      <w:proofErr w:type="spellEnd"/>
      <w:r w:rsidRPr="00DA363F">
        <w:rPr>
          <w:i/>
          <w:iCs/>
          <w:sz w:val="28"/>
          <w:szCs w:val="28"/>
        </w:rPr>
        <w:t xml:space="preserve"> </w:t>
      </w:r>
      <w:proofErr w:type="spellStart"/>
      <w:r w:rsidRPr="00DA363F">
        <w:rPr>
          <w:i/>
          <w:iCs/>
          <w:sz w:val="28"/>
          <w:szCs w:val="28"/>
        </w:rPr>
        <w:t>Partisi</w:t>
      </w:r>
      <w:proofErr w:type="spellEnd"/>
      <w:r w:rsidRPr="00DA363F">
        <w:rPr>
          <w:i/>
          <w:iCs/>
          <w:sz w:val="28"/>
          <w:szCs w:val="28"/>
        </w:rPr>
        <w:t xml:space="preserve"> c. Turquie</w:t>
      </w:r>
      <w:r w:rsidRPr="00DA363F">
        <w:rPr>
          <w:sz w:val="28"/>
          <w:szCs w:val="28"/>
        </w:rPr>
        <w:t xml:space="preserve">, la Cour </w:t>
      </w:r>
      <w:r w:rsidR="00DA363F">
        <w:rPr>
          <w:sz w:val="28"/>
          <w:szCs w:val="28"/>
        </w:rPr>
        <w:t xml:space="preserve">confirme </w:t>
      </w:r>
      <w:r w:rsidR="004D663E">
        <w:rPr>
          <w:sz w:val="28"/>
          <w:szCs w:val="28"/>
        </w:rPr>
        <w:t xml:space="preserve">que </w:t>
      </w:r>
      <w:r w:rsidR="00DA363F">
        <w:rPr>
          <w:sz w:val="28"/>
          <w:szCs w:val="28"/>
        </w:rPr>
        <w:t xml:space="preserve">la polygamie </w:t>
      </w:r>
      <w:r w:rsidR="004D663E">
        <w:rPr>
          <w:sz w:val="28"/>
          <w:szCs w:val="28"/>
        </w:rPr>
        <w:t xml:space="preserve">est une </w:t>
      </w:r>
      <w:r w:rsidR="00DA363F">
        <w:rPr>
          <w:sz w:val="28"/>
          <w:szCs w:val="28"/>
        </w:rPr>
        <w:t>atteinte à l’ordre public en estimant</w:t>
      </w:r>
      <w:r w:rsidRPr="00DA363F">
        <w:rPr>
          <w:sz w:val="28"/>
          <w:szCs w:val="28"/>
        </w:rPr>
        <w:t xml:space="preserve"> que l’État peut « </w:t>
      </w:r>
      <w:r w:rsidR="00811B31" w:rsidRPr="00DA363F">
        <w:rPr>
          <w:sz w:val="28"/>
          <w:szCs w:val="28"/>
        </w:rPr>
        <w:t>légitimement empêcher que les règles de droit privé d’inspiration religieuse portant atteinte à l’ordre public et aux valeurs de la démocratie au sens de la Convention (par exemple les règles permettant la discrimination fondée sur le sexe des intéressés, telles que la polygamie</w:t>
      </w:r>
      <w:r w:rsidR="004D663E">
        <w:rPr>
          <w:sz w:val="28"/>
          <w:szCs w:val="28"/>
        </w:rPr>
        <w:t xml:space="preserve"> […])</w:t>
      </w:r>
      <w:r w:rsidR="00811B31" w:rsidRPr="00DA363F">
        <w:rPr>
          <w:sz w:val="28"/>
          <w:szCs w:val="28"/>
        </w:rPr>
        <w:t xml:space="preserve"> trouvent application sous sa juridiction</w:t>
      </w:r>
      <w:r w:rsidRPr="00DA363F">
        <w:rPr>
          <w:sz w:val="28"/>
          <w:szCs w:val="28"/>
        </w:rPr>
        <w:t xml:space="preserve"> » (GC, </w:t>
      </w:r>
      <w:proofErr w:type="spellStart"/>
      <w:r w:rsidRPr="00DA363F">
        <w:rPr>
          <w:i/>
          <w:iCs/>
          <w:sz w:val="28"/>
          <w:szCs w:val="28"/>
        </w:rPr>
        <w:t>Refah</w:t>
      </w:r>
      <w:proofErr w:type="spellEnd"/>
      <w:r w:rsidRPr="00DA363F">
        <w:rPr>
          <w:i/>
          <w:iCs/>
          <w:sz w:val="28"/>
          <w:szCs w:val="28"/>
        </w:rPr>
        <w:t xml:space="preserve"> </w:t>
      </w:r>
      <w:proofErr w:type="spellStart"/>
      <w:r w:rsidRPr="00DA363F">
        <w:rPr>
          <w:i/>
          <w:iCs/>
          <w:sz w:val="28"/>
          <w:szCs w:val="28"/>
        </w:rPr>
        <w:t>Partisi</w:t>
      </w:r>
      <w:proofErr w:type="spellEnd"/>
      <w:r w:rsidRPr="00DA363F">
        <w:rPr>
          <w:i/>
          <w:iCs/>
          <w:sz w:val="28"/>
          <w:szCs w:val="28"/>
        </w:rPr>
        <w:t xml:space="preserve"> et a</w:t>
      </w:r>
      <w:r w:rsidRPr="00DA363F">
        <w:rPr>
          <w:i/>
          <w:iCs/>
          <w:sz w:val="28"/>
          <w:szCs w:val="28"/>
        </w:rPr>
        <w:t>.</w:t>
      </w:r>
      <w:r w:rsidRPr="00DA363F">
        <w:rPr>
          <w:i/>
          <w:iCs/>
          <w:sz w:val="28"/>
          <w:szCs w:val="28"/>
        </w:rPr>
        <w:t xml:space="preserve"> c. Turquie</w:t>
      </w:r>
      <w:r w:rsidRPr="00DA363F">
        <w:rPr>
          <w:sz w:val="28"/>
          <w:szCs w:val="28"/>
        </w:rPr>
        <w:t>, 13 février 2003</w:t>
      </w:r>
      <w:r w:rsidRPr="00DA363F">
        <w:rPr>
          <w:sz w:val="28"/>
          <w:szCs w:val="28"/>
        </w:rPr>
        <w:t>, n°</w:t>
      </w:r>
      <w:r w:rsidRPr="00DA363F">
        <w:rPr>
          <w:sz w:val="28"/>
          <w:szCs w:val="28"/>
        </w:rPr>
        <w:t>41340/98, 41342/98, 41343/98</w:t>
      </w:r>
      <w:r w:rsidRPr="00DA363F">
        <w:rPr>
          <w:sz w:val="28"/>
          <w:szCs w:val="28"/>
        </w:rPr>
        <w:t xml:space="preserve">, §128). Cette appréhension sous l’angle d’une discrimination fondée sur le sexe est confirmée par l’affaire </w:t>
      </w:r>
      <w:proofErr w:type="spellStart"/>
      <w:r w:rsidRPr="00DA363F">
        <w:rPr>
          <w:i/>
          <w:iCs/>
          <w:sz w:val="28"/>
          <w:szCs w:val="28"/>
        </w:rPr>
        <w:t>Şerife</w:t>
      </w:r>
      <w:proofErr w:type="spellEnd"/>
      <w:r w:rsidRPr="00DA363F">
        <w:rPr>
          <w:i/>
          <w:iCs/>
          <w:sz w:val="28"/>
          <w:szCs w:val="28"/>
        </w:rPr>
        <w:t xml:space="preserve"> </w:t>
      </w:r>
      <w:proofErr w:type="spellStart"/>
      <w:r w:rsidRPr="00DA363F">
        <w:rPr>
          <w:i/>
          <w:iCs/>
          <w:sz w:val="28"/>
          <w:szCs w:val="28"/>
        </w:rPr>
        <w:t>Yiğit</w:t>
      </w:r>
      <w:proofErr w:type="spellEnd"/>
      <w:r w:rsidRPr="00DA363F">
        <w:rPr>
          <w:i/>
          <w:iCs/>
          <w:sz w:val="28"/>
          <w:szCs w:val="28"/>
        </w:rPr>
        <w:t xml:space="preserve"> c. Turquie</w:t>
      </w:r>
      <w:r w:rsidRPr="00DA363F">
        <w:rPr>
          <w:sz w:val="28"/>
          <w:szCs w:val="28"/>
        </w:rPr>
        <w:t xml:space="preserve"> (</w:t>
      </w:r>
      <w:r w:rsidRPr="00DA363F">
        <w:rPr>
          <w:sz w:val="28"/>
          <w:szCs w:val="28"/>
        </w:rPr>
        <w:t>GC, 2 novembre 2010, n°3976/05)</w:t>
      </w:r>
      <w:r w:rsidRPr="00DA363F">
        <w:rPr>
          <w:sz w:val="28"/>
          <w:szCs w:val="28"/>
        </w:rPr>
        <w:t xml:space="preserve">. La Cour y considère que </w:t>
      </w:r>
      <w:r w:rsidR="00811B31" w:rsidRPr="00DA363F">
        <w:rPr>
          <w:sz w:val="28"/>
          <w:szCs w:val="28"/>
        </w:rPr>
        <w:t>la différence de traitement</w:t>
      </w:r>
      <w:r w:rsidRPr="00DA363F">
        <w:rPr>
          <w:sz w:val="28"/>
          <w:szCs w:val="28"/>
        </w:rPr>
        <w:t>, fondée sur le seul motif de la nature non civile mais religieuse du mariage,</w:t>
      </w:r>
      <w:r w:rsidR="00811B31" w:rsidRPr="00DA363F">
        <w:rPr>
          <w:sz w:val="28"/>
          <w:szCs w:val="28"/>
        </w:rPr>
        <w:t xml:space="preserve"> quant aux prestations en cas de décès du concubin</w:t>
      </w:r>
      <w:r w:rsidRPr="00DA363F">
        <w:rPr>
          <w:sz w:val="28"/>
          <w:szCs w:val="28"/>
        </w:rPr>
        <w:t xml:space="preserve"> </w:t>
      </w:r>
      <w:r w:rsidR="00811B31" w:rsidRPr="00DA363F">
        <w:rPr>
          <w:sz w:val="28"/>
          <w:szCs w:val="28"/>
        </w:rPr>
        <w:t>constitue bien une discrimination</w:t>
      </w:r>
      <w:r w:rsidRPr="00DA363F">
        <w:rPr>
          <w:sz w:val="28"/>
          <w:szCs w:val="28"/>
        </w:rPr>
        <w:t xml:space="preserve"> au sens de l’article 14 ; mais</w:t>
      </w:r>
      <w:r w:rsidR="00811B31" w:rsidRPr="00DA363F">
        <w:rPr>
          <w:sz w:val="28"/>
          <w:szCs w:val="28"/>
        </w:rPr>
        <w:t xml:space="preserve"> </w:t>
      </w:r>
      <w:r w:rsidRPr="00DA363F">
        <w:rPr>
          <w:sz w:val="28"/>
          <w:szCs w:val="28"/>
        </w:rPr>
        <w:t>elle</w:t>
      </w:r>
      <w:r w:rsidR="00811B31" w:rsidRPr="00DA363F">
        <w:rPr>
          <w:sz w:val="28"/>
          <w:szCs w:val="28"/>
        </w:rPr>
        <w:t xml:space="preserve"> </w:t>
      </w:r>
      <w:r w:rsidRPr="00DA363F">
        <w:rPr>
          <w:sz w:val="28"/>
          <w:szCs w:val="28"/>
        </w:rPr>
        <w:t>juge</w:t>
      </w:r>
      <w:r w:rsidR="00811B31" w:rsidRPr="00DA363F">
        <w:rPr>
          <w:sz w:val="28"/>
          <w:szCs w:val="28"/>
        </w:rPr>
        <w:t xml:space="preserve"> que le but de la législation, visant à instaurer l'égalité des sexes et </w:t>
      </w:r>
      <w:r w:rsidRPr="00DA363F">
        <w:rPr>
          <w:sz w:val="28"/>
          <w:szCs w:val="28"/>
        </w:rPr>
        <w:t>« </w:t>
      </w:r>
      <w:r w:rsidR="00811B31" w:rsidRPr="00DA363F">
        <w:rPr>
          <w:sz w:val="28"/>
          <w:szCs w:val="28"/>
        </w:rPr>
        <w:t>l'interdiction de la polygamie</w:t>
      </w:r>
      <w:r w:rsidRPr="00DA363F">
        <w:rPr>
          <w:sz w:val="28"/>
          <w:szCs w:val="28"/>
        </w:rPr>
        <w:t> »</w:t>
      </w:r>
      <w:r w:rsidR="00811B31" w:rsidRPr="00DA363F">
        <w:rPr>
          <w:sz w:val="28"/>
          <w:szCs w:val="28"/>
        </w:rPr>
        <w:t xml:space="preserve"> (§81) </w:t>
      </w:r>
      <w:r w:rsidR="004D663E">
        <w:rPr>
          <w:sz w:val="28"/>
          <w:szCs w:val="28"/>
        </w:rPr>
        <w:t>fait</w:t>
      </w:r>
      <w:r w:rsidR="00811B31" w:rsidRPr="00DA363F">
        <w:rPr>
          <w:sz w:val="28"/>
          <w:szCs w:val="28"/>
        </w:rPr>
        <w:t xml:space="preserve"> que</w:t>
      </w:r>
      <w:r w:rsidRPr="00DA363F">
        <w:rPr>
          <w:sz w:val="28"/>
          <w:szCs w:val="28"/>
        </w:rPr>
        <w:t> </w:t>
      </w:r>
      <w:r w:rsidR="00811B31" w:rsidRPr="00DA363F">
        <w:rPr>
          <w:sz w:val="28"/>
          <w:szCs w:val="28"/>
        </w:rPr>
        <w:t>la différence de traitement</w:t>
      </w:r>
      <w:r w:rsidR="004D663E">
        <w:rPr>
          <w:sz w:val="28"/>
          <w:szCs w:val="28"/>
        </w:rPr>
        <w:t xml:space="preserve"> poursuit « </w:t>
      </w:r>
      <w:r w:rsidR="00811B31" w:rsidRPr="00DA363F">
        <w:rPr>
          <w:sz w:val="28"/>
          <w:szCs w:val="28"/>
        </w:rPr>
        <w:t>pour l'essentiel les buts légitimes que sont le maintien de l'ordre public et la protection des droits et libertés d'autrui</w:t>
      </w:r>
      <w:r w:rsidRPr="00DA363F">
        <w:rPr>
          <w:sz w:val="28"/>
          <w:szCs w:val="28"/>
        </w:rPr>
        <w:t> »</w:t>
      </w:r>
      <w:r w:rsidR="00811B31" w:rsidRPr="00DA363F">
        <w:rPr>
          <w:sz w:val="28"/>
          <w:szCs w:val="28"/>
        </w:rPr>
        <w:t xml:space="preserve"> (</w:t>
      </w:r>
      <w:r w:rsidRPr="00DA363F">
        <w:rPr>
          <w:sz w:val="28"/>
          <w:szCs w:val="28"/>
        </w:rPr>
        <w:t>§</w:t>
      </w:r>
      <w:r w:rsidR="00811B31" w:rsidRPr="00DA363F">
        <w:rPr>
          <w:sz w:val="28"/>
          <w:szCs w:val="28"/>
        </w:rPr>
        <w:t>82).</w:t>
      </w:r>
    </w:p>
    <w:p w14:paraId="7C94B87D" w14:textId="77777777" w:rsidR="00124A95" w:rsidRDefault="00124A95" w:rsidP="00F07C4C">
      <w:pPr>
        <w:pStyle w:val="Normal2"/>
        <w:spacing w:before="240" w:after="240"/>
        <w:jc w:val="both"/>
      </w:pPr>
    </w:p>
    <w:p w14:paraId="0C88E823" w14:textId="77777777" w:rsidR="00124A95" w:rsidRDefault="00124A95" w:rsidP="00F07C4C">
      <w:pPr>
        <w:pStyle w:val="Normal2"/>
        <w:spacing w:before="240" w:after="240"/>
        <w:jc w:val="both"/>
      </w:pPr>
    </w:p>
    <w:p w14:paraId="1B7F502B" w14:textId="77777777" w:rsidR="00124A95" w:rsidRDefault="00124A95" w:rsidP="00F07C4C">
      <w:pPr>
        <w:pStyle w:val="Normal2"/>
        <w:spacing w:before="240" w:after="240"/>
        <w:jc w:val="both"/>
      </w:pPr>
    </w:p>
    <w:p w14:paraId="798A0A9B" w14:textId="7B3E2E33" w:rsidR="00F07C4C" w:rsidRDefault="00124A95" w:rsidP="00F07C4C">
      <w:pPr>
        <w:pStyle w:val="Normal2"/>
        <w:spacing w:before="240" w:after="240"/>
        <w:jc w:val="both"/>
      </w:pPr>
      <w:r>
        <w:t xml:space="preserve">Mots-clés : mariage, ordre public, religion, sexe </w:t>
      </w:r>
    </w:p>
    <w:sectPr w:rsidR="00F07C4C" w:rsidSect="00AB29C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C4"/>
    <w:rsid w:val="00124A95"/>
    <w:rsid w:val="00306DB5"/>
    <w:rsid w:val="004D663E"/>
    <w:rsid w:val="005B718A"/>
    <w:rsid w:val="00780C99"/>
    <w:rsid w:val="00811B31"/>
    <w:rsid w:val="00AB29C4"/>
    <w:rsid w:val="00AF53D2"/>
    <w:rsid w:val="00BA2481"/>
    <w:rsid w:val="00D224CB"/>
    <w:rsid w:val="00D676F0"/>
    <w:rsid w:val="00DA363F"/>
    <w:rsid w:val="00DF270A"/>
    <w:rsid w:val="00E000C6"/>
    <w:rsid w:val="00E166DD"/>
    <w:rsid w:val="00EE356E"/>
    <w:rsid w:val="00F07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C53"/>
  <w15:docId w15:val="{3D406B87-5F56-9848-8920-4AAD8822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2"/>
    <w:next w:val="Normal2"/>
    <w:rsid w:val="00AB29C4"/>
    <w:pPr>
      <w:keepNext/>
      <w:keepLines/>
      <w:spacing w:before="400" w:after="120"/>
      <w:outlineLvl w:val="0"/>
    </w:pPr>
    <w:rPr>
      <w:sz w:val="40"/>
      <w:szCs w:val="40"/>
    </w:rPr>
  </w:style>
  <w:style w:type="paragraph" w:styleId="Titre2">
    <w:name w:val="heading 2"/>
    <w:basedOn w:val="Normal2"/>
    <w:next w:val="Normal2"/>
    <w:rsid w:val="00AB29C4"/>
    <w:pPr>
      <w:keepNext/>
      <w:keepLines/>
      <w:spacing w:before="360" w:after="120"/>
      <w:outlineLvl w:val="1"/>
    </w:pPr>
    <w:rPr>
      <w:sz w:val="32"/>
      <w:szCs w:val="32"/>
    </w:rPr>
  </w:style>
  <w:style w:type="paragraph" w:styleId="Titre3">
    <w:name w:val="heading 3"/>
    <w:basedOn w:val="Normal2"/>
    <w:next w:val="Normal2"/>
    <w:rsid w:val="00AB29C4"/>
    <w:pPr>
      <w:keepNext/>
      <w:keepLines/>
      <w:spacing w:before="320" w:after="80"/>
      <w:outlineLvl w:val="2"/>
    </w:pPr>
    <w:rPr>
      <w:color w:val="434343"/>
      <w:sz w:val="28"/>
      <w:szCs w:val="28"/>
    </w:rPr>
  </w:style>
  <w:style w:type="paragraph" w:styleId="Titre4">
    <w:name w:val="heading 4"/>
    <w:basedOn w:val="Normal2"/>
    <w:next w:val="Normal2"/>
    <w:rsid w:val="00AB29C4"/>
    <w:pPr>
      <w:keepNext/>
      <w:keepLines/>
      <w:spacing w:before="280" w:after="80"/>
      <w:outlineLvl w:val="3"/>
    </w:pPr>
    <w:rPr>
      <w:color w:val="666666"/>
      <w:sz w:val="24"/>
      <w:szCs w:val="24"/>
    </w:rPr>
  </w:style>
  <w:style w:type="paragraph" w:styleId="Titre5">
    <w:name w:val="heading 5"/>
    <w:basedOn w:val="Normal2"/>
    <w:next w:val="Normal2"/>
    <w:rsid w:val="00AB29C4"/>
    <w:pPr>
      <w:keepNext/>
      <w:keepLines/>
      <w:spacing w:before="240" w:after="80"/>
      <w:outlineLvl w:val="4"/>
    </w:pPr>
    <w:rPr>
      <w:color w:val="666666"/>
    </w:rPr>
  </w:style>
  <w:style w:type="paragraph" w:styleId="Titre6">
    <w:name w:val="heading 6"/>
    <w:basedOn w:val="Normal2"/>
    <w:next w:val="Normal2"/>
    <w:rsid w:val="00AB29C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B29C4"/>
  </w:style>
  <w:style w:type="table" w:customStyle="1" w:styleId="TableNormal">
    <w:name w:val="Table Normal"/>
    <w:rsid w:val="00AB29C4"/>
    <w:tblPr>
      <w:tblCellMar>
        <w:top w:w="0" w:type="dxa"/>
        <w:left w:w="0" w:type="dxa"/>
        <w:bottom w:w="0" w:type="dxa"/>
        <w:right w:w="0" w:type="dxa"/>
      </w:tblCellMar>
    </w:tblPr>
  </w:style>
  <w:style w:type="paragraph" w:styleId="Titre">
    <w:name w:val="Title"/>
    <w:basedOn w:val="Normal2"/>
    <w:next w:val="Normal2"/>
    <w:rsid w:val="00AB29C4"/>
    <w:pPr>
      <w:keepNext/>
      <w:keepLines/>
      <w:spacing w:after="60"/>
    </w:pPr>
    <w:rPr>
      <w:sz w:val="52"/>
      <w:szCs w:val="52"/>
    </w:rPr>
  </w:style>
  <w:style w:type="paragraph" w:customStyle="1" w:styleId="Normal2">
    <w:name w:val="Normal2"/>
    <w:rsid w:val="00AB29C4"/>
  </w:style>
  <w:style w:type="table" w:customStyle="1" w:styleId="TableNormal0">
    <w:name w:val="Table Normal"/>
    <w:rsid w:val="00AB29C4"/>
    <w:tblPr>
      <w:tblCellMar>
        <w:top w:w="0" w:type="dxa"/>
        <w:left w:w="0" w:type="dxa"/>
        <w:bottom w:w="0" w:type="dxa"/>
        <w:right w:w="0" w:type="dxa"/>
      </w:tblCellMar>
    </w:tblPr>
  </w:style>
  <w:style w:type="paragraph" w:styleId="Sous-titre">
    <w:name w:val="Subtitle"/>
    <w:basedOn w:val="Normal2"/>
    <w:next w:val="Normal2"/>
    <w:rsid w:val="00AB29C4"/>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12158">
      <w:bodyDiv w:val="1"/>
      <w:marLeft w:val="0"/>
      <w:marRight w:val="0"/>
      <w:marTop w:val="0"/>
      <w:marBottom w:val="0"/>
      <w:divBdr>
        <w:top w:val="none" w:sz="0" w:space="0" w:color="auto"/>
        <w:left w:val="none" w:sz="0" w:space="0" w:color="auto"/>
        <w:bottom w:val="none" w:sz="0" w:space="0" w:color="auto"/>
        <w:right w:val="none" w:sz="0" w:space="0" w:color="auto"/>
      </w:divBdr>
    </w:div>
    <w:div w:id="686641209">
      <w:bodyDiv w:val="1"/>
      <w:marLeft w:val="0"/>
      <w:marRight w:val="0"/>
      <w:marTop w:val="0"/>
      <w:marBottom w:val="0"/>
      <w:divBdr>
        <w:top w:val="none" w:sz="0" w:space="0" w:color="auto"/>
        <w:left w:val="none" w:sz="0" w:space="0" w:color="auto"/>
        <w:bottom w:val="none" w:sz="0" w:space="0" w:color="auto"/>
        <w:right w:val="none" w:sz="0" w:space="0" w:color="auto"/>
      </w:divBdr>
    </w:div>
    <w:div w:id="156244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4zzLDLkND8IMk3duAHsFYUDc2Q==">AMUW2mXwKZK2WAgA+NH7Px/uLdA8mQ6RsFQcaMiwn8cpAg97NS0v34dggajZADGtX9Dskp2EBoPp8i8bu7ht9RVy/pvaikWtl7AeLAEg+Ni+V1PZqlhXEcQ=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511</Words>
  <Characters>2554</Characters>
  <Application>Microsoft Office Word</Application>
  <DocSecurity>0</DocSecurity>
  <Lines>54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Raphaël MAUREL</cp:lastModifiedBy>
  <cp:revision>9</cp:revision>
  <dcterms:created xsi:type="dcterms:W3CDTF">2021-04-13T05:58:00Z</dcterms:created>
  <dcterms:modified xsi:type="dcterms:W3CDTF">2021-05-03T10:27:00Z</dcterms:modified>
</cp:coreProperties>
</file>