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1D27" w14:textId="77777777" w:rsidR="00601118" w:rsidRPr="003C11C0" w:rsidRDefault="00601118" w:rsidP="00DB16E0">
      <w:pPr>
        <w:spacing w:after="0" w:line="240" w:lineRule="auto"/>
      </w:pPr>
    </w:p>
    <w:p w14:paraId="3BD74ECA" w14:textId="77777777" w:rsidR="00601118" w:rsidRPr="003C11C0" w:rsidRDefault="00601118" w:rsidP="00DB16E0">
      <w:pPr>
        <w:spacing w:after="0" w:line="240" w:lineRule="auto"/>
        <w:jc w:val="center"/>
        <w:rPr>
          <w:b/>
        </w:rPr>
      </w:pPr>
      <w:r w:rsidRPr="003C11C0">
        <w:rPr>
          <w:b/>
        </w:rPr>
        <w:t xml:space="preserve">Le </w:t>
      </w:r>
      <w:r w:rsidR="002A2ACC" w:rsidRPr="003C11C0">
        <w:rPr>
          <w:b/>
        </w:rPr>
        <w:t>S</w:t>
      </w:r>
      <w:r w:rsidRPr="003C11C0">
        <w:rPr>
          <w:b/>
        </w:rPr>
        <w:t>ystème Antarctiqu</w:t>
      </w:r>
      <w:r w:rsidR="00EF0481" w:rsidRPr="003C11C0">
        <w:rPr>
          <w:b/>
        </w:rPr>
        <w:t>e,</w:t>
      </w:r>
      <w:r w:rsidR="003C11C0" w:rsidRPr="003C11C0">
        <w:rPr>
          <w:b/>
        </w:rPr>
        <w:t xml:space="preserve"> un</w:t>
      </w:r>
      <w:r w:rsidR="00EF0481" w:rsidRPr="003C11C0">
        <w:rPr>
          <w:b/>
        </w:rPr>
        <w:t xml:space="preserve"> laboratoire des régimes d</w:t>
      </w:r>
      <w:r w:rsidR="00C66A34">
        <w:rPr>
          <w:b/>
        </w:rPr>
        <w:t>’</w:t>
      </w:r>
      <w:r w:rsidR="00EF0481" w:rsidRPr="003C11C0">
        <w:rPr>
          <w:b/>
        </w:rPr>
        <w:t>inspection internationale</w:t>
      </w:r>
    </w:p>
    <w:p w14:paraId="4DF66B55" w14:textId="77777777" w:rsidR="00601118" w:rsidRPr="003C11C0" w:rsidRDefault="00601118" w:rsidP="00DB16E0">
      <w:pPr>
        <w:spacing w:after="0" w:line="240" w:lineRule="auto"/>
      </w:pPr>
    </w:p>
    <w:p w14:paraId="01806E74" w14:textId="77777777" w:rsidR="00EF0481" w:rsidRPr="003C11C0" w:rsidRDefault="00EF0481" w:rsidP="00DB16E0">
      <w:pPr>
        <w:spacing w:after="0" w:line="240" w:lineRule="auto"/>
        <w:jc w:val="center"/>
      </w:pPr>
      <w:r w:rsidRPr="003C11C0">
        <w:t>Raphaël MAUREL</w:t>
      </w:r>
      <w:bookmarkStart w:id="0" w:name="_Ref39826015"/>
      <w:r w:rsidRPr="003C11C0">
        <w:rPr>
          <w:rStyle w:val="Appelnotedebasdep"/>
        </w:rPr>
        <w:footnoteReference w:id="1"/>
      </w:r>
      <w:bookmarkEnd w:id="0"/>
    </w:p>
    <w:p w14:paraId="371A1210" w14:textId="77777777" w:rsidR="00323A8F" w:rsidRDefault="00323A8F" w:rsidP="00DB16E0">
      <w:pPr>
        <w:spacing w:after="0" w:line="240" w:lineRule="auto"/>
      </w:pPr>
    </w:p>
    <w:p w14:paraId="7E33B2F2" w14:textId="08194F21" w:rsidR="001B14C5" w:rsidRDefault="00275E3C" w:rsidP="00DB16E0">
      <w:pPr>
        <w:spacing w:after="0" w:line="240" w:lineRule="auto"/>
      </w:pPr>
      <w:r>
        <w:t>En 195</w:t>
      </w:r>
      <w:r w:rsidR="00EE4111">
        <w:t>9</w:t>
      </w:r>
      <w:r>
        <w:t xml:space="preserve">, le </w:t>
      </w:r>
      <w:r w:rsidRPr="003C11C0">
        <w:t>Traité sur l</w:t>
      </w:r>
      <w:r w:rsidR="00C66A34">
        <w:t>’</w:t>
      </w:r>
      <w:r w:rsidRPr="003C11C0">
        <w:t>Antarctique</w:t>
      </w:r>
      <w:r>
        <w:t xml:space="preserve"> innove en créant un système d</w:t>
      </w:r>
      <w:r w:rsidR="00C66A34">
        <w:t>’</w:t>
      </w:r>
      <w:r>
        <w:t>inspection à l</w:t>
      </w:r>
      <w:r w:rsidR="00C66A34">
        <w:t>’</w:t>
      </w:r>
      <w:r>
        <w:t xml:space="preserve">époque </w:t>
      </w:r>
      <w:r w:rsidR="00694607">
        <w:t xml:space="preserve">parfaitement </w:t>
      </w:r>
      <w:r>
        <w:t>unique</w:t>
      </w:r>
      <w:r w:rsidR="001B14C5">
        <w:t> : « </w:t>
      </w:r>
      <w:r w:rsidR="001B14C5" w:rsidRPr="006D6DC4">
        <w:rPr>
          <w:i/>
          <w:iCs/>
        </w:rPr>
        <w:t>[...] 3. [</w:t>
      </w:r>
      <w:proofErr w:type="gramStart"/>
      <w:r w:rsidR="001B14C5" w:rsidRPr="006D6DC4">
        <w:rPr>
          <w:i/>
          <w:iCs/>
        </w:rPr>
        <w:t>t</w:t>
      </w:r>
      <w:proofErr w:type="gramEnd"/>
      <w:r w:rsidR="001B14C5" w:rsidRPr="006D6DC4">
        <w:rPr>
          <w:i/>
          <w:iCs/>
        </w:rPr>
        <w:t>]</w:t>
      </w:r>
      <w:proofErr w:type="spellStart"/>
      <w:r w:rsidR="001B14C5" w:rsidRPr="006D6DC4">
        <w:rPr>
          <w:i/>
          <w:iCs/>
        </w:rPr>
        <w:t>outes</w:t>
      </w:r>
      <w:proofErr w:type="spellEnd"/>
      <w:r w:rsidR="001B14C5" w:rsidRPr="006D6DC4">
        <w:rPr>
          <w:i/>
          <w:iCs/>
        </w:rPr>
        <w:t xml:space="preserve"> les régions de l</w:t>
      </w:r>
      <w:r w:rsidR="00C66A34">
        <w:rPr>
          <w:i/>
          <w:iCs/>
        </w:rPr>
        <w:t>’</w:t>
      </w:r>
      <w:r w:rsidR="001B14C5" w:rsidRPr="006D6DC4">
        <w:rPr>
          <w:i/>
          <w:iCs/>
        </w:rPr>
        <w:t>Antarctique, toutes les stations et installations, tout le matériel s</w:t>
      </w:r>
      <w:r w:rsidR="00C66A34">
        <w:rPr>
          <w:i/>
          <w:iCs/>
        </w:rPr>
        <w:t>’</w:t>
      </w:r>
      <w:r w:rsidR="001B14C5" w:rsidRPr="006D6DC4">
        <w:rPr>
          <w:i/>
          <w:iCs/>
        </w:rPr>
        <w:t>y trouvant, ainsi que tous les navires et aéronefs aux points de débarquement et d</w:t>
      </w:r>
      <w:r w:rsidR="00C66A34">
        <w:rPr>
          <w:i/>
          <w:iCs/>
        </w:rPr>
        <w:t>’</w:t>
      </w:r>
      <w:r w:rsidR="001B14C5" w:rsidRPr="006D6DC4">
        <w:rPr>
          <w:i/>
          <w:iCs/>
        </w:rPr>
        <w:t>embarquement de fret ou de personnel dans l</w:t>
      </w:r>
      <w:r w:rsidR="00C66A34">
        <w:rPr>
          <w:i/>
          <w:iCs/>
        </w:rPr>
        <w:t>’</w:t>
      </w:r>
      <w:r w:rsidR="001B14C5" w:rsidRPr="006D6DC4">
        <w:rPr>
          <w:i/>
          <w:iCs/>
        </w:rPr>
        <w:t>Antarctique, seront accessibles à tout moment à l</w:t>
      </w:r>
      <w:r w:rsidR="00C66A34">
        <w:rPr>
          <w:i/>
          <w:iCs/>
        </w:rPr>
        <w:t>’</w:t>
      </w:r>
      <w:r w:rsidR="001B14C5" w:rsidRPr="006D6DC4">
        <w:rPr>
          <w:i/>
          <w:iCs/>
        </w:rPr>
        <w:t>inspection de tous observateurs désignés</w:t>
      </w:r>
      <w:r w:rsidR="001B14C5">
        <w:t> »</w:t>
      </w:r>
      <w:bookmarkStart w:id="1" w:name="_Ref522958281"/>
      <w:r w:rsidR="001B14C5" w:rsidRPr="003C11C0">
        <w:rPr>
          <w:rStyle w:val="Appelnotedebasdep"/>
        </w:rPr>
        <w:footnoteReference w:id="2"/>
      </w:r>
      <w:bookmarkEnd w:id="1"/>
      <w:r w:rsidR="001B14C5">
        <w:t xml:space="preserve">. </w:t>
      </w:r>
    </w:p>
    <w:p w14:paraId="2064EFFE" w14:textId="77777777" w:rsidR="001B14C5" w:rsidRDefault="001B14C5" w:rsidP="00DB16E0">
      <w:pPr>
        <w:spacing w:after="0" w:line="240" w:lineRule="auto"/>
      </w:pPr>
    </w:p>
    <w:p w14:paraId="5B57A356" w14:textId="62BABDD1" w:rsidR="00095815" w:rsidRDefault="00275E3C" w:rsidP="00DB16E0">
      <w:pPr>
        <w:spacing w:after="0" w:line="240" w:lineRule="auto"/>
      </w:pPr>
      <w:r>
        <w:t xml:space="preserve">Définie – approximativement – comme la </w:t>
      </w:r>
      <w:r w:rsidR="005F1E4C">
        <w:t>« </w:t>
      </w:r>
      <w:r w:rsidRPr="006D6DC4">
        <w:rPr>
          <w:i/>
          <w:iCs/>
        </w:rPr>
        <w:t>surveillance ou l</w:t>
      </w:r>
      <w:r w:rsidR="00C66A34">
        <w:rPr>
          <w:i/>
          <w:iCs/>
        </w:rPr>
        <w:t>’</w:t>
      </w:r>
      <w:r w:rsidRPr="006D6DC4">
        <w:rPr>
          <w:i/>
          <w:iCs/>
        </w:rPr>
        <w:t>observation exercée sur place, par des personnes investies de fonctions internationales en vue de vérifier la conformité de certains actes, d</w:t>
      </w:r>
      <w:r w:rsidR="00C66A34">
        <w:rPr>
          <w:i/>
          <w:iCs/>
        </w:rPr>
        <w:t>’</w:t>
      </w:r>
      <w:r w:rsidRPr="006D6DC4">
        <w:rPr>
          <w:i/>
          <w:iCs/>
        </w:rPr>
        <w:t>une situation, de l</w:t>
      </w:r>
      <w:r w:rsidR="00C66A34">
        <w:rPr>
          <w:i/>
          <w:iCs/>
        </w:rPr>
        <w:t>’</w:t>
      </w:r>
      <w:r w:rsidRPr="006D6DC4">
        <w:rPr>
          <w:i/>
          <w:iCs/>
        </w:rPr>
        <w:t>exercice des compétences à une règle, à un engagement ou aux exigences de l</w:t>
      </w:r>
      <w:r w:rsidR="00C66A34">
        <w:rPr>
          <w:i/>
          <w:iCs/>
        </w:rPr>
        <w:t>’</w:t>
      </w:r>
      <w:r w:rsidRPr="006D6DC4">
        <w:rPr>
          <w:i/>
          <w:iCs/>
        </w:rPr>
        <w:t>ordre internationa</w:t>
      </w:r>
      <w:r w:rsidRPr="00D90F55">
        <w:rPr>
          <w:i/>
          <w:iCs/>
        </w:rPr>
        <w:t>l</w:t>
      </w:r>
      <w:r>
        <w:t> »</w:t>
      </w:r>
      <w:bookmarkStart w:id="2" w:name="_Ref523148215"/>
      <w:r>
        <w:rPr>
          <w:rStyle w:val="Appelnotedebasdep"/>
        </w:rPr>
        <w:footnoteReference w:id="3"/>
      </w:r>
      <w:bookmarkEnd w:id="2"/>
      <w:r>
        <w:t>, bien qu</w:t>
      </w:r>
      <w:r w:rsidR="00C66A34">
        <w:t>’</w:t>
      </w:r>
      <w:r>
        <w:t>en la matière la terminologie soit « </w:t>
      </w:r>
      <w:r w:rsidRPr="006D6DC4">
        <w:rPr>
          <w:i/>
          <w:iCs/>
        </w:rPr>
        <w:t>fluctuante et incertaine</w:t>
      </w:r>
      <w:r>
        <w:t> »</w:t>
      </w:r>
      <w:r>
        <w:rPr>
          <w:rStyle w:val="Appelnotedebasdep"/>
        </w:rPr>
        <w:footnoteReference w:id="4"/>
      </w:r>
      <w:r w:rsidR="00323A8F">
        <w:t>, l</w:t>
      </w:r>
      <w:r w:rsidR="00C66A34">
        <w:t>’</w:t>
      </w:r>
      <w:r w:rsidR="00323A8F">
        <w:t>inspection internationale</w:t>
      </w:r>
      <w:r w:rsidR="006C7B8F">
        <w:t xml:space="preserve"> est souvent confondue avec d</w:t>
      </w:r>
      <w:r w:rsidR="00C66A34">
        <w:t>’</w:t>
      </w:r>
      <w:r w:rsidR="006C7B8F">
        <w:t>autres mécanismes proches.</w:t>
      </w:r>
      <w:r w:rsidR="00095815">
        <w:t xml:space="preserve"> L</w:t>
      </w:r>
      <w:r w:rsidR="00C66A34">
        <w:t>’</w:t>
      </w:r>
      <w:r w:rsidR="00095815">
        <w:t>on pense notamment à l</w:t>
      </w:r>
      <w:r w:rsidR="00C66A34">
        <w:t>’</w:t>
      </w:r>
      <w:r w:rsidR="00095815">
        <w:t>enquête, qui est un mécanisme juridictionnel prévu</w:t>
      </w:r>
      <w:r w:rsidR="00D90F55">
        <w:t>, par exemple,</w:t>
      </w:r>
      <w:r w:rsidR="00095815">
        <w:t xml:space="preserve"> par les articles 50 du Statut</w:t>
      </w:r>
      <w:r w:rsidR="00095815">
        <w:rPr>
          <w:rStyle w:val="Appelnotedebasdep"/>
        </w:rPr>
        <w:footnoteReference w:id="5"/>
      </w:r>
      <w:r w:rsidR="00095815">
        <w:t xml:space="preserve"> et 67 du Règlement</w:t>
      </w:r>
      <w:r w:rsidR="00095815">
        <w:rPr>
          <w:rStyle w:val="Appelnotedebasdep"/>
        </w:rPr>
        <w:footnoteReference w:id="6"/>
      </w:r>
      <w:r w:rsidR="00095815">
        <w:t xml:space="preserve"> de la Cour internationale de Justice. </w:t>
      </w:r>
      <w:r w:rsidR="00567164">
        <w:t xml:space="preserve">Si </w:t>
      </w:r>
      <w:r w:rsidR="00095815">
        <w:t>l</w:t>
      </w:r>
      <w:r w:rsidR="00C66A34">
        <w:t>’</w:t>
      </w:r>
      <w:r w:rsidR="00095815">
        <w:t>enquête a pour but d</w:t>
      </w:r>
      <w:r w:rsidR="00C66A34">
        <w:t>’</w:t>
      </w:r>
      <w:r w:rsidR="00095815">
        <w:t>établir des faits en vue d</w:t>
      </w:r>
      <w:r w:rsidR="00C66A34">
        <w:t>’</w:t>
      </w:r>
      <w:r w:rsidR="00095815">
        <w:t>une éventuelle procédure juridictionnelle</w:t>
      </w:r>
      <w:r w:rsidR="00095815">
        <w:rPr>
          <w:rStyle w:val="Appelnotedebasdep"/>
        </w:rPr>
        <w:footnoteReference w:id="7"/>
      </w:r>
      <w:r w:rsidR="00095815">
        <w:t xml:space="preserve"> ou s</w:t>
      </w:r>
      <w:r w:rsidR="00C66A34">
        <w:t>’</w:t>
      </w:r>
      <w:r w:rsidR="00095815">
        <w:t>inscrit dans son cadre de manière générale, tel n</w:t>
      </w:r>
      <w:r w:rsidR="00C66A34">
        <w:t>’</w:t>
      </w:r>
      <w:r w:rsidR="00095815">
        <w:t>est pas le cas de l</w:t>
      </w:r>
      <w:r w:rsidR="00C66A34">
        <w:t>’</w:t>
      </w:r>
      <w:r w:rsidR="00095815">
        <w:t>inspection</w:t>
      </w:r>
      <w:r w:rsidR="00897620">
        <w:t>.</w:t>
      </w:r>
      <w:r w:rsidR="00095815">
        <w:t xml:space="preserve"> </w:t>
      </w:r>
      <w:r w:rsidR="00897620">
        <w:t>Cette dernière se présente plutôt</w:t>
      </w:r>
      <w:r w:rsidR="00095815">
        <w:t xml:space="preserve"> </w:t>
      </w:r>
      <w:r w:rsidR="00897620">
        <w:t xml:space="preserve">comme </w:t>
      </w:r>
      <w:r w:rsidR="0004601C">
        <w:t>un procédé non contentieux visant bien souvent, et justement, à éviter les conflits entre puissances souveraines.</w:t>
      </w:r>
      <w:r w:rsidR="00095815">
        <w:t xml:space="preserve"> </w:t>
      </w:r>
      <w:r w:rsidR="00656514">
        <w:t>L’on retiendra</w:t>
      </w:r>
      <w:r w:rsidR="00207C19">
        <w:t>,</w:t>
      </w:r>
      <w:r w:rsidR="00095815">
        <w:t xml:space="preserve"> pour les besoins de cette communication</w:t>
      </w:r>
      <w:r w:rsidR="00207C19">
        <w:t xml:space="preserve">, </w:t>
      </w:r>
      <w:r w:rsidR="00095815">
        <w:t>une définition élargie de l</w:t>
      </w:r>
      <w:r w:rsidR="00C66A34">
        <w:t>’</w:t>
      </w:r>
      <w:r w:rsidR="00095815">
        <w:t>inspection internationale</w:t>
      </w:r>
      <w:r w:rsidR="00656514">
        <w:t>. En relèvent donc, ici,</w:t>
      </w:r>
      <w:r w:rsidR="00095815">
        <w:t xml:space="preserve"> tous les mécanismes non juridictionnels issus de l</w:t>
      </w:r>
      <w:r w:rsidR="00C66A34">
        <w:t>’</w:t>
      </w:r>
      <w:r w:rsidR="00095815">
        <w:t>ordre juridique international prévoyant l</w:t>
      </w:r>
      <w:r w:rsidR="00C66A34">
        <w:t>’</w:t>
      </w:r>
      <w:r w:rsidR="00095815">
        <w:t xml:space="preserve">envoi, par un ou plusieurs sujet(s) de droit international, de personnes en un lieu </w:t>
      </w:r>
      <w:r w:rsidR="00656514">
        <w:t xml:space="preserve">non </w:t>
      </w:r>
      <w:r w:rsidR="00095815">
        <w:t xml:space="preserve">soumis à </w:t>
      </w:r>
      <w:r w:rsidR="00656514">
        <w:t xml:space="preserve">leur juridiction </w:t>
      </w:r>
      <w:r w:rsidR="00095815">
        <w:t>avec pour mandat de vérifier sur place la conformité de faits, procédures, installations ou évènements avec des normes préalablement identifiée.</w:t>
      </w:r>
    </w:p>
    <w:p w14:paraId="4C21FFB2" w14:textId="77777777" w:rsidR="00DB16E0" w:rsidRDefault="00DB16E0" w:rsidP="00DB16E0">
      <w:pPr>
        <w:spacing w:after="0" w:line="240" w:lineRule="auto"/>
      </w:pPr>
    </w:p>
    <w:p w14:paraId="4F5B2741" w14:textId="475F0FCD" w:rsidR="00B9150B" w:rsidRDefault="00B9150B" w:rsidP="00DB16E0">
      <w:pPr>
        <w:spacing w:after="0" w:line="240" w:lineRule="auto"/>
      </w:pPr>
      <w:r>
        <w:t>Ces régimes originaux et relativement peu étudiés en droit international puisent leur origine dans</w:t>
      </w:r>
      <w:r w:rsidR="003669D0">
        <w:t xml:space="preserve"> la lutte contre la piraterie</w:t>
      </w:r>
      <w:r w:rsidR="0072435D">
        <w:t xml:space="preserve">, </w:t>
      </w:r>
      <w:r w:rsidR="00D90F55">
        <w:t xml:space="preserve">de sorte </w:t>
      </w:r>
      <w:r w:rsidR="0072435D">
        <w:t>qu</w:t>
      </w:r>
      <w:r w:rsidR="00C66A34">
        <w:t>’</w:t>
      </w:r>
      <w:r w:rsidR="0072435D">
        <w:t>il est difficile de dater avec précision</w:t>
      </w:r>
      <w:r w:rsidR="00D90F55">
        <w:t xml:space="preserve"> leur émergence</w:t>
      </w:r>
      <w:r>
        <w:t>. Le Traité Antarctique n</w:t>
      </w:r>
      <w:r w:rsidR="00C66A34">
        <w:t>’</w:t>
      </w:r>
      <w:r>
        <w:t>innove donc pas</w:t>
      </w:r>
      <w:r w:rsidR="00B148AA">
        <w:t xml:space="preserve"> totalement</w:t>
      </w:r>
      <w:r>
        <w:t xml:space="preserve"> en « inventant » </w:t>
      </w:r>
      <w:r w:rsidR="00897620">
        <w:t>un</w:t>
      </w:r>
      <w:r w:rsidR="00D90F55">
        <w:t xml:space="preserve"> système d’</w:t>
      </w:r>
      <w:r>
        <w:t>inspection</w:t>
      </w:r>
      <w:r w:rsidR="00897620">
        <w:t>. Toutefois</w:t>
      </w:r>
      <w:r>
        <w:t>, en 195</w:t>
      </w:r>
      <w:r w:rsidR="00EE4111">
        <w:t>9</w:t>
      </w:r>
      <w:r w:rsidR="00897620">
        <w:t xml:space="preserve"> et </w:t>
      </w:r>
      <w:r w:rsidR="00323A8F">
        <w:t xml:space="preserve">dans un contexte géopolitique tendu, </w:t>
      </w:r>
      <w:r>
        <w:t xml:space="preserve">ce régime fait </w:t>
      </w:r>
      <w:r w:rsidR="00323A8F">
        <w:t>l</w:t>
      </w:r>
      <w:r w:rsidR="00C66A34">
        <w:t>’</w:t>
      </w:r>
      <w:r w:rsidR="00323A8F">
        <w:t>objet d</w:t>
      </w:r>
      <w:r w:rsidR="00C66A34">
        <w:t>’</w:t>
      </w:r>
      <w:r w:rsidR="00323A8F">
        <w:t>une véritable résurrection</w:t>
      </w:r>
      <w:r w:rsidR="004B5973">
        <w:t>.</w:t>
      </w:r>
      <w:r>
        <w:t xml:space="preserve"> Quelque peu tombé en désuétude après l</w:t>
      </w:r>
      <w:r w:rsidR="00C66A34">
        <w:t>’</w:t>
      </w:r>
      <w:r>
        <w:t>échec des traités la prévoyant après la Première Guerre Mondiale, le régime de l</w:t>
      </w:r>
      <w:r w:rsidR="00C66A34">
        <w:t>’</w:t>
      </w:r>
      <w:r>
        <w:t>inspection internationale apparaît en effet comme un mécanisme permettant à la fois de ménager les souverainetés des États en présence</w:t>
      </w:r>
      <w:r w:rsidR="00897620">
        <w:t>,</w:t>
      </w:r>
      <w:r>
        <w:t xml:space="preserve"> tout en </w:t>
      </w:r>
      <w:r>
        <w:lastRenderedPageBreak/>
        <w:t>permettant un contrôle mutuel des activités sur le continent Antarctique.</w:t>
      </w:r>
      <w:r w:rsidR="009E739E">
        <w:t xml:space="preserve"> En d</w:t>
      </w:r>
      <w:r w:rsidR="00C66A34">
        <w:t>’</w:t>
      </w:r>
      <w:r w:rsidR="009E739E">
        <w:t>autres termes, le régime d</w:t>
      </w:r>
      <w:r w:rsidR="00C66A34">
        <w:t>’</w:t>
      </w:r>
      <w:r w:rsidR="009E739E">
        <w:t>inspection Antarctique a d</w:t>
      </w:r>
      <w:r w:rsidR="00C66A34">
        <w:t>’</w:t>
      </w:r>
      <w:r w:rsidR="009E739E">
        <w:t>emblée constitué un facteur de maintien de la paix entre les États concernés, ce qu</w:t>
      </w:r>
      <w:r w:rsidR="00C66A34">
        <w:t>’</w:t>
      </w:r>
      <w:r w:rsidR="009E739E">
        <w:t xml:space="preserve">une analyse historique du mécanisme confirme. </w:t>
      </w:r>
      <w:r>
        <w:t>L</w:t>
      </w:r>
      <w:r w:rsidR="00C66A34">
        <w:t>’</w:t>
      </w:r>
      <w:r>
        <w:t xml:space="preserve">Histoire </w:t>
      </w:r>
      <w:r w:rsidR="00B93C61">
        <w:t xml:space="preserve">montre </w:t>
      </w:r>
      <w:r w:rsidR="004B5973">
        <w:t>par la suite</w:t>
      </w:r>
      <w:r w:rsidR="00B93C61">
        <w:t xml:space="preserve"> que le « régime Antarctique » a constitué un véritable laboratoire normatif </w:t>
      </w:r>
      <w:r w:rsidR="005C2007">
        <w:t>dont les résultats ont été exportés, avec plus ou moins de succès</w:t>
      </w:r>
      <w:r w:rsidR="00D92A24">
        <w:t>, au gré des facteurs géopolitiques qui ont parfois limité son adaptation ou, au contraire, l</w:t>
      </w:r>
      <w:r w:rsidR="00C66A34">
        <w:t>’</w:t>
      </w:r>
      <w:r w:rsidR="00D92A24">
        <w:t>ont favorisée</w:t>
      </w:r>
      <w:r w:rsidR="005C2007">
        <w:t>.</w:t>
      </w:r>
      <w:r w:rsidR="009E739E">
        <w:t xml:space="preserve"> </w:t>
      </w:r>
    </w:p>
    <w:p w14:paraId="76FDCF69" w14:textId="77777777" w:rsidR="00DB16E0" w:rsidRDefault="00DB16E0" w:rsidP="00DB16E0">
      <w:pPr>
        <w:spacing w:after="0" w:line="240" w:lineRule="auto"/>
      </w:pPr>
    </w:p>
    <w:p w14:paraId="020AF771" w14:textId="0D1E135D" w:rsidR="005C2007" w:rsidRPr="00A00A5D" w:rsidRDefault="00EE4111" w:rsidP="00DB16E0">
      <w:pPr>
        <w:spacing w:after="0" w:line="240" w:lineRule="auto"/>
        <w:rPr>
          <w:i/>
          <w:iCs/>
        </w:rPr>
      </w:pPr>
      <w:r>
        <w:t>Soixante ans après l</w:t>
      </w:r>
      <w:r w:rsidR="00C66A34">
        <w:t>’</w:t>
      </w:r>
      <w:r>
        <w:t>adoption du Traité, il est possible, sinon nécessaire</w:t>
      </w:r>
      <w:r w:rsidR="00897620">
        <w:t>,</w:t>
      </w:r>
      <w:r>
        <w:t xml:space="preserve"> d</w:t>
      </w:r>
      <w:r w:rsidR="00C66A34">
        <w:t>’</w:t>
      </w:r>
      <w:r w:rsidR="00B148AA">
        <w:t>effectuer</w:t>
      </w:r>
      <w:r>
        <w:t xml:space="preserve"> le bilan interne comme externe du régime d</w:t>
      </w:r>
      <w:r w:rsidR="00C66A34">
        <w:t>’</w:t>
      </w:r>
      <w:r>
        <w:t>inspection Antarctique.</w:t>
      </w:r>
      <w:r w:rsidR="00B148AA">
        <w:t xml:space="preserve"> Dans cette perspective, plusieurs séries de questions s</w:t>
      </w:r>
      <w:r w:rsidR="00C66A34">
        <w:t>’</w:t>
      </w:r>
      <w:r w:rsidR="00B148AA">
        <w:t xml:space="preserve">imposent. </w:t>
      </w:r>
      <w:r>
        <w:t>Comment l</w:t>
      </w:r>
      <w:r w:rsidR="00C66A34">
        <w:t>’</w:t>
      </w:r>
      <w:r>
        <w:t xml:space="preserve">inspection internationale Antarctique fonctionne-t-elle concrètement ? Ce régime a-t-il pu </w:t>
      </w:r>
      <w:r w:rsidR="001C54BA">
        <w:t>servir de référence dans d</w:t>
      </w:r>
      <w:r w:rsidR="00C66A34">
        <w:t>’</w:t>
      </w:r>
      <w:r w:rsidR="001C54BA">
        <w:t>autres secteurs</w:t>
      </w:r>
      <w:r>
        <w:t> ?</w:t>
      </w:r>
      <w:r w:rsidR="009E739E">
        <w:t xml:space="preserve"> </w:t>
      </w:r>
      <w:r>
        <w:t>À l</w:t>
      </w:r>
      <w:r w:rsidR="00C66A34">
        <w:t>’</w:t>
      </w:r>
      <w:r>
        <w:t>inverse, p</w:t>
      </w:r>
      <w:r w:rsidR="001C54BA">
        <w:t>ourquoi ce régime en apparence si efficace n</w:t>
      </w:r>
      <w:r w:rsidR="00C66A34">
        <w:t>’</w:t>
      </w:r>
      <w:r w:rsidR="001C54BA">
        <w:t>a</w:t>
      </w:r>
      <w:r w:rsidR="00B9150B">
        <w:t>-t-il</w:t>
      </w:r>
      <w:r w:rsidR="001C54BA">
        <w:t xml:space="preserve"> pas été multiplié</w:t>
      </w:r>
      <w:r w:rsidR="002735B6">
        <w:t>, adapté</w:t>
      </w:r>
      <w:r w:rsidR="001C54BA">
        <w:t xml:space="preserve"> et diffusé de manière très large</w:t>
      </w:r>
      <w:r w:rsidR="00F0731F">
        <w:t>,</w:t>
      </w:r>
      <w:r w:rsidR="004D5BBC">
        <w:t xml:space="preserve"> notamment pour gérer internationalement d</w:t>
      </w:r>
      <w:r w:rsidR="00C66A34">
        <w:t>’</w:t>
      </w:r>
      <w:r w:rsidR="004D5BBC">
        <w:t>autres zones</w:t>
      </w:r>
      <w:r w:rsidR="00F0731F">
        <w:t xml:space="preserve"> et pour appréhender de nouvelles problématiques globales</w:t>
      </w:r>
      <w:r w:rsidR="00B9150B">
        <w:t> ?</w:t>
      </w:r>
      <w:r w:rsidR="00F0731F">
        <w:t xml:space="preserve"> </w:t>
      </w:r>
      <w:r w:rsidR="00B9150B">
        <w:t>Ce régime est-il</w:t>
      </w:r>
      <w:r w:rsidR="00B148AA">
        <w:t>, finalement,</w:t>
      </w:r>
      <w:r w:rsidR="009E739E">
        <w:t xml:space="preserve"> </w:t>
      </w:r>
      <w:r w:rsidR="00B9150B">
        <w:t>efficace</w:t>
      </w:r>
      <w:r w:rsidR="009E739E">
        <w:t xml:space="preserve"> </w:t>
      </w:r>
      <w:r w:rsidR="00B9150B">
        <w:t>?</w:t>
      </w:r>
      <w:r>
        <w:t xml:space="preserve"> </w:t>
      </w:r>
      <w:r w:rsidR="00B9150B">
        <w:t xml:space="preserve">Est-il adapté aux contraintes </w:t>
      </w:r>
      <w:r w:rsidR="00656514">
        <w:t xml:space="preserve">contemporaines </w:t>
      </w:r>
      <w:r w:rsidR="00B9150B">
        <w:t>?</w:t>
      </w:r>
      <w:r w:rsidR="00C76050">
        <w:t xml:space="preserve"> </w:t>
      </w:r>
      <w:r w:rsidR="00656514">
        <w:t>Plus encore, le</w:t>
      </w:r>
      <w:r>
        <w:t xml:space="preserve"> régime d</w:t>
      </w:r>
      <w:r w:rsidR="00C66A34">
        <w:t>’</w:t>
      </w:r>
      <w:r>
        <w:t>inspection Antarctique</w:t>
      </w:r>
      <w:r w:rsidR="00656514">
        <w:t xml:space="preserve"> de 1959</w:t>
      </w:r>
      <w:r>
        <w:t xml:space="preserve"> peut-il servir de support pour le maintien de la paix de demain ?</w:t>
      </w:r>
      <w:r w:rsidR="00D434BF">
        <w:t xml:space="preserve"> Ce sont à ces </w:t>
      </w:r>
      <w:r w:rsidR="00B148AA">
        <w:t>interrogations</w:t>
      </w:r>
      <w:r w:rsidR="00D434BF">
        <w:t xml:space="preserve"> que cette contribution entend apporter des pistes de réponse</w:t>
      </w:r>
      <w:r w:rsidR="00A00A5D">
        <w:t>, autour de deux axes principaux. Ainsi est-il possible de revenir sur les succès réels du régime d</w:t>
      </w:r>
      <w:r w:rsidR="00C66A34">
        <w:t>’</w:t>
      </w:r>
      <w:r w:rsidR="00A00A5D">
        <w:t>inspection Antarctique (</w:t>
      </w:r>
      <w:r w:rsidR="00A00A5D">
        <w:rPr>
          <w:b/>
          <w:bCs/>
          <w:u w:val="single"/>
        </w:rPr>
        <w:t>I</w:t>
      </w:r>
      <w:r w:rsidR="00A00A5D">
        <w:t>) avant d</w:t>
      </w:r>
      <w:r w:rsidR="00C66A34">
        <w:t>’</w:t>
      </w:r>
      <w:r w:rsidR="00A00A5D">
        <w:t xml:space="preserve">envisager, </w:t>
      </w:r>
      <w:r w:rsidR="00B148AA">
        <w:t xml:space="preserve">en </w:t>
      </w:r>
      <w:r w:rsidR="00A00A5D">
        <w:t>incluant un angle plus prospectif, les difficultés et critiques auxquels le régime est soumis (</w:t>
      </w:r>
      <w:r w:rsidR="00A00A5D">
        <w:rPr>
          <w:b/>
          <w:bCs/>
          <w:u w:val="single"/>
        </w:rPr>
        <w:t>II</w:t>
      </w:r>
      <w:r w:rsidR="00A00A5D">
        <w:t>).</w:t>
      </w:r>
    </w:p>
    <w:p w14:paraId="79C36D1C" w14:textId="77777777" w:rsidR="005C2007" w:rsidRPr="003C11C0" w:rsidRDefault="005C2007" w:rsidP="00DB16E0">
      <w:pPr>
        <w:spacing w:after="0" w:line="240" w:lineRule="auto"/>
      </w:pPr>
    </w:p>
    <w:p w14:paraId="593DBAD1" w14:textId="77777777" w:rsidR="00FD03A1" w:rsidRDefault="003C11C0" w:rsidP="00DB16E0">
      <w:pPr>
        <w:spacing w:after="0" w:line="240" w:lineRule="auto"/>
        <w:rPr>
          <w:b/>
          <w:u w:val="single"/>
        </w:rPr>
      </w:pPr>
      <w:r w:rsidRPr="00091A8A">
        <w:rPr>
          <w:b/>
          <w:u w:val="single"/>
        </w:rPr>
        <w:t>I</w:t>
      </w:r>
      <w:r w:rsidR="00F72171">
        <w:rPr>
          <w:b/>
          <w:u w:val="single"/>
        </w:rPr>
        <w:t xml:space="preserve">. </w:t>
      </w:r>
      <w:r w:rsidR="00B7233C" w:rsidRPr="00091A8A">
        <w:rPr>
          <w:b/>
          <w:u w:val="single"/>
        </w:rPr>
        <w:t>La vitrine</w:t>
      </w:r>
      <w:r w:rsidRPr="00091A8A">
        <w:rPr>
          <w:b/>
          <w:u w:val="single"/>
        </w:rPr>
        <w:t xml:space="preserve"> du laboratoire : la conception</w:t>
      </w:r>
      <w:r w:rsidR="002C7EB3">
        <w:rPr>
          <w:b/>
          <w:u w:val="single"/>
        </w:rPr>
        <w:t xml:space="preserve"> inédite</w:t>
      </w:r>
      <w:r w:rsidRPr="00091A8A">
        <w:rPr>
          <w:b/>
          <w:u w:val="single"/>
        </w:rPr>
        <w:t xml:space="preserve"> d</w:t>
      </w:r>
      <w:r w:rsidR="00C66A34">
        <w:rPr>
          <w:b/>
          <w:u w:val="single"/>
        </w:rPr>
        <w:t>’</w:t>
      </w:r>
      <w:r w:rsidRPr="00091A8A">
        <w:rPr>
          <w:b/>
          <w:u w:val="single"/>
        </w:rPr>
        <w:t>un régime d</w:t>
      </w:r>
      <w:r w:rsidR="00C66A34">
        <w:rPr>
          <w:b/>
          <w:u w:val="single"/>
        </w:rPr>
        <w:t>’</w:t>
      </w:r>
      <w:r w:rsidRPr="00091A8A">
        <w:rPr>
          <w:b/>
          <w:u w:val="single"/>
        </w:rPr>
        <w:t>inspection efficace</w:t>
      </w:r>
    </w:p>
    <w:p w14:paraId="3034C735" w14:textId="77777777" w:rsidR="00FD03A1" w:rsidRDefault="00FD03A1" w:rsidP="00DB16E0">
      <w:pPr>
        <w:spacing w:after="0" w:line="240" w:lineRule="auto"/>
      </w:pPr>
    </w:p>
    <w:p w14:paraId="73CB0994" w14:textId="1C9B17E8" w:rsidR="00DB16E0" w:rsidRPr="00D436B1" w:rsidRDefault="00DB16E0" w:rsidP="00DB16E0">
      <w:pPr>
        <w:spacing w:after="0" w:line="240" w:lineRule="auto"/>
        <w:rPr>
          <w:i/>
          <w:iCs/>
        </w:rPr>
      </w:pPr>
      <w:r>
        <w:t xml:space="preserve">Comme </w:t>
      </w:r>
      <w:r w:rsidR="00656514">
        <w:t>cela a été évoqué</w:t>
      </w:r>
      <w:r>
        <w:t xml:space="preserve">, le système Antarctique </w:t>
      </w:r>
      <w:r w:rsidR="00D436B1">
        <w:t>permet une forme de résurrection de l</w:t>
      </w:r>
      <w:r w:rsidR="00C66A34">
        <w:t>’</w:t>
      </w:r>
      <w:r w:rsidR="00D436B1">
        <w:t>inspection internationale, tombée dans un relatif oubli depuis plusieurs décennies (</w:t>
      </w:r>
      <w:r w:rsidR="00D436B1">
        <w:rPr>
          <w:b/>
          <w:bCs/>
        </w:rPr>
        <w:t>A</w:t>
      </w:r>
      <w:r w:rsidR="00D436B1">
        <w:t>). Le Traité de 1959 constitue ainsi le point de départ d</w:t>
      </w:r>
      <w:r w:rsidR="00C66A34">
        <w:t>’</w:t>
      </w:r>
      <w:r w:rsidR="00D436B1">
        <w:t>un modèle renouvelé d</w:t>
      </w:r>
      <w:r w:rsidR="00C66A34">
        <w:t>’</w:t>
      </w:r>
      <w:r w:rsidR="00D436B1">
        <w:t>inspection, adapté au contexte de la paix et dès lors exportable à d</w:t>
      </w:r>
      <w:r w:rsidR="00C66A34">
        <w:t>’</w:t>
      </w:r>
      <w:r w:rsidR="00D436B1">
        <w:t>autres situations internationales (</w:t>
      </w:r>
      <w:r w:rsidR="00D436B1">
        <w:rPr>
          <w:b/>
          <w:bCs/>
        </w:rPr>
        <w:t>B</w:t>
      </w:r>
      <w:r w:rsidR="00D436B1">
        <w:t>)</w:t>
      </w:r>
      <w:bookmarkStart w:id="4" w:name="_Ref39826053"/>
      <w:r w:rsidR="00FF6F62">
        <w:rPr>
          <w:rStyle w:val="Appelnotedebasdep"/>
        </w:rPr>
        <w:footnoteReference w:id="8"/>
      </w:r>
      <w:bookmarkEnd w:id="4"/>
      <w:r w:rsidR="00D436B1">
        <w:t>.</w:t>
      </w:r>
    </w:p>
    <w:p w14:paraId="4F3B5DFD" w14:textId="77777777" w:rsidR="00DB16E0" w:rsidRPr="00091A8A" w:rsidRDefault="00DB16E0" w:rsidP="00DB16E0">
      <w:pPr>
        <w:spacing w:after="0" w:line="240" w:lineRule="auto"/>
        <w:rPr>
          <w:b/>
          <w:u w:val="single"/>
        </w:rPr>
      </w:pPr>
    </w:p>
    <w:p w14:paraId="33918A0E" w14:textId="77777777" w:rsidR="00CF1458" w:rsidRDefault="003C11C0" w:rsidP="00DB16E0">
      <w:pPr>
        <w:spacing w:after="0" w:line="240" w:lineRule="auto"/>
        <w:ind w:firstLine="708"/>
        <w:rPr>
          <w:b/>
        </w:rPr>
      </w:pPr>
      <w:r w:rsidRPr="00091A8A">
        <w:rPr>
          <w:b/>
        </w:rPr>
        <w:t>A</w:t>
      </w:r>
      <w:r w:rsidR="00F72171">
        <w:rPr>
          <w:b/>
        </w:rPr>
        <w:t xml:space="preserve">. </w:t>
      </w:r>
      <w:r w:rsidRPr="00091A8A">
        <w:rPr>
          <w:b/>
        </w:rPr>
        <w:t xml:space="preserve">La </w:t>
      </w:r>
      <w:r w:rsidR="001C54BA">
        <w:rPr>
          <w:b/>
        </w:rPr>
        <w:t xml:space="preserve">conception du produit : la </w:t>
      </w:r>
      <w:r w:rsidRPr="00091A8A">
        <w:rPr>
          <w:b/>
        </w:rPr>
        <w:t>résurgence de l</w:t>
      </w:r>
      <w:r w:rsidR="00C66A34">
        <w:rPr>
          <w:b/>
        </w:rPr>
        <w:t>’</w:t>
      </w:r>
      <w:r w:rsidRPr="00091A8A">
        <w:rPr>
          <w:b/>
        </w:rPr>
        <w:t xml:space="preserve">inspection </w:t>
      </w:r>
      <w:r w:rsidR="00DB16E0">
        <w:rPr>
          <w:b/>
        </w:rPr>
        <w:t>par le Traité Antarctique</w:t>
      </w:r>
    </w:p>
    <w:p w14:paraId="7169F813" w14:textId="77777777" w:rsidR="006B27D3" w:rsidRPr="00AD681C" w:rsidRDefault="006B27D3" w:rsidP="00DB16E0">
      <w:pPr>
        <w:spacing w:after="0" w:line="240" w:lineRule="auto"/>
        <w:rPr>
          <w:bCs/>
        </w:rPr>
      </w:pPr>
    </w:p>
    <w:p w14:paraId="095EEB90" w14:textId="77777777" w:rsidR="000945C0" w:rsidRPr="00AD681C" w:rsidRDefault="00AD681C" w:rsidP="00DB16E0">
      <w:pPr>
        <w:spacing w:after="0" w:line="240" w:lineRule="auto"/>
        <w:rPr>
          <w:bCs/>
        </w:rPr>
      </w:pPr>
      <w:r>
        <w:rPr>
          <w:bCs/>
        </w:rPr>
        <w:t>Les circonstances du choix de recourir à l</w:t>
      </w:r>
      <w:r w:rsidR="00C66A34">
        <w:rPr>
          <w:bCs/>
        </w:rPr>
        <w:t>’</w:t>
      </w:r>
      <w:r>
        <w:rPr>
          <w:bCs/>
        </w:rPr>
        <w:t>inspection dans le cadre du Traité Antarctique</w:t>
      </w:r>
      <w:r w:rsidR="008A4DE4">
        <w:rPr>
          <w:bCs/>
        </w:rPr>
        <w:t>, en l</w:t>
      </w:r>
      <w:r w:rsidR="00C66A34">
        <w:rPr>
          <w:bCs/>
        </w:rPr>
        <w:t>’</w:t>
      </w:r>
      <w:r w:rsidR="008A4DE4">
        <w:rPr>
          <w:bCs/>
        </w:rPr>
        <w:t>absence de précédent pertinent,</w:t>
      </w:r>
      <w:r>
        <w:rPr>
          <w:bCs/>
        </w:rPr>
        <w:t xml:space="preserve"> interrogent nécessairement. Un bref aperçu historique permet de mesurer l</w:t>
      </w:r>
      <w:r w:rsidR="00C66A34">
        <w:rPr>
          <w:bCs/>
        </w:rPr>
        <w:t>’</w:t>
      </w:r>
      <w:r>
        <w:rPr>
          <w:bCs/>
        </w:rPr>
        <w:t>apport conceptuel novateur de 1959</w:t>
      </w:r>
      <w:r w:rsidR="00050BEB">
        <w:rPr>
          <w:bCs/>
        </w:rPr>
        <w:t xml:space="preserve">, </w:t>
      </w:r>
      <w:r>
        <w:rPr>
          <w:bCs/>
        </w:rPr>
        <w:t>sans pour autant qu</w:t>
      </w:r>
      <w:r w:rsidR="00C66A34">
        <w:rPr>
          <w:bCs/>
        </w:rPr>
        <w:t>’</w:t>
      </w:r>
      <w:r>
        <w:rPr>
          <w:bCs/>
        </w:rPr>
        <w:t xml:space="preserve">il soit possible de déterminer avec précision </w:t>
      </w:r>
      <w:r>
        <w:rPr>
          <w:bCs/>
          <w:i/>
          <w:iCs/>
        </w:rPr>
        <w:t>comment</w:t>
      </w:r>
      <w:r>
        <w:rPr>
          <w:bCs/>
        </w:rPr>
        <w:t xml:space="preserve"> l</w:t>
      </w:r>
      <w:r w:rsidR="00C66A34">
        <w:rPr>
          <w:bCs/>
        </w:rPr>
        <w:t>’</w:t>
      </w:r>
      <w:r>
        <w:rPr>
          <w:bCs/>
        </w:rPr>
        <w:t>idée de recourir à l</w:t>
      </w:r>
      <w:r w:rsidR="00C66A34">
        <w:rPr>
          <w:bCs/>
        </w:rPr>
        <w:t>’</w:t>
      </w:r>
      <w:r>
        <w:rPr>
          <w:bCs/>
        </w:rPr>
        <w:t>inspection est née au cours des débats précédant l</w:t>
      </w:r>
      <w:r w:rsidR="00C66A34">
        <w:rPr>
          <w:bCs/>
        </w:rPr>
        <w:t>’</w:t>
      </w:r>
      <w:r>
        <w:rPr>
          <w:bCs/>
        </w:rPr>
        <w:t>adoption du Traité</w:t>
      </w:r>
      <w:r w:rsidR="00050BEB">
        <w:rPr>
          <w:bCs/>
        </w:rPr>
        <w:t>.</w:t>
      </w:r>
    </w:p>
    <w:p w14:paraId="197FB421" w14:textId="77777777" w:rsidR="00AF3F7D" w:rsidRDefault="00AF3F7D" w:rsidP="00050BEB">
      <w:pPr>
        <w:spacing w:after="0" w:line="240" w:lineRule="auto"/>
      </w:pPr>
    </w:p>
    <w:p w14:paraId="532E0E09" w14:textId="3B534E6D" w:rsidR="00E11CB6" w:rsidRDefault="00D90F55" w:rsidP="007C1E3E">
      <w:pPr>
        <w:pStyle w:val="Listepuces"/>
        <w:numPr>
          <w:ilvl w:val="0"/>
          <w:numId w:val="0"/>
        </w:numPr>
      </w:pPr>
      <w:r>
        <w:t>On l’a mentionné, l</w:t>
      </w:r>
      <w:r w:rsidR="00C66A34">
        <w:t>’</w:t>
      </w:r>
      <w:r w:rsidR="00AF3F7D">
        <w:t>inspection internationale apparaît d</w:t>
      </w:r>
      <w:r w:rsidR="00C66A34">
        <w:t>’</w:t>
      </w:r>
      <w:r w:rsidR="00AF3F7D">
        <w:t>abord sous la forme coutumière en droit de la mer</w:t>
      </w:r>
      <w:r w:rsidR="00D02C1E">
        <w:t>. Le « droit de visite »</w:t>
      </w:r>
      <w:r w:rsidR="002765E5">
        <w:t xml:space="preserve"> et de poursuite</w:t>
      </w:r>
      <w:r w:rsidR="00D02C1E">
        <w:t xml:space="preserve"> des navires suspectés de piraterie ou de contrebande est ainsi bien établi au 19</w:t>
      </w:r>
      <w:r w:rsidR="00D02C1E" w:rsidRPr="00D02C1E">
        <w:rPr>
          <w:vertAlign w:val="superscript"/>
        </w:rPr>
        <w:t>ème</w:t>
      </w:r>
      <w:r w:rsidR="00D02C1E">
        <w:t xml:space="preserve"> siècle</w:t>
      </w:r>
      <w:r w:rsidR="00D02C1E">
        <w:rPr>
          <w:rStyle w:val="Appelnotedebasdep"/>
        </w:rPr>
        <w:footnoteReference w:id="9"/>
      </w:r>
      <w:r w:rsidR="00D02C1E">
        <w:t xml:space="preserve">, </w:t>
      </w:r>
      <w:r w:rsidR="002765E5">
        <w:t>et</w:t>
      </w:r>
      <w:r w:rsidR="00D02C1E">
        <w:t xml:space="preserve"> les auteurs le font</w:t>
      </w:r>
      <w:r w:rsidR="004A0743">
        <w:t xml:space="preserve"> globalement</w:t>
      </w:r>
      <w:r w:rsidR="00D02C1E">
        <w:t xml:space="preserve"> remonter au </w:t>
      </w:r>
      <w:r w:rsidR="00D02C1E" w:rsidRPr="004A0743">
        <w:lastRenderedPageBreak/>
        <w:t>15</w:t>
      </w:r>
      <w:r w:rsidR="00D02C1E" w:rsidRPr="004A0743">
        <w:rPr>
          <w:vertAlign w:val="superscript"/>
        </w:rPr>
        <w:t>èm</w:t>
      </w:r>
      <w:r w:rsidR="004A0743" w:rsidRPr="004A0743">
        <w:rPr>
          <w:vertAlign w:val="superscript"/>
        </w:rPr>
        <w:t>e</w:t>
      </w:r>
      <w:r w:rsidR="004A0743">
        <w:t xml:space="preserve"> </w:t>
      </w:r>
      <w:r w:rsidR="00D02C1E" w:rsidRPr="004A0743">
        <w:t>siècle</w:t>
      </w:r>
      <w:r w:rsidR="00D02C1E">
        <w:rPr>
          <w:rStyle w:val="Appelnotedebasdep"/>
        </w:rPr>
        <w:footnoteReference w:id="10"/>
      </w:r>
      <w:r w:rsidR="00D02C1E">
        <w:t>.</w:t>
      </w:r>
      <w:r w:rsidR="004A0743">
        <w:t xml:space="preserve"> </w:t>
      </w:r>
      <w:r w:rsidR="002E1507">
        <w:t>Il est cependant possible d</w:t>
      </w:r>
      <w:r w:rsidR="00C66A34">
        <w:t>’</w:t>
      </w:r>
      <w:r w:rsidR="002E1507">
        <w:t>en</w:t>
      </w:r>
      <w:r w:rsidR="002765E5">
        <w:t xml:space="preserve"> déceler</w:t>
      </w:r>
      <w:r w:rsidR="002E1507">
        <w:t xml:space="preserve"> des indices dès le 13</w:t>
      </w:r>
      <w:r w:rsidR="002E1507" w:rsidRPr="002E1507">
        <w:rPr>
          <w:vertAlign w:val="superscript"/>
        </w:rPr>
        <w:t>ème</w:t>
      </w:r>
      <w:r w:rsidR="002E1507">
        <w:t xml:space="preserve"> siècle</w:t>
      </w:r>
      <w:r w:rsidR="002E1507">
        <w:rPr>
          <w:rStyle w:val="Appelnotedebasdep"/>
        </w:rPr>
        <w:footnoteReference w:id="11"/>
      </w:r>
      <w:r w:rsidR="00E11CB6">
        <w:t>.</w:t>
      </w:r>
      <w:r w:rsidR="00D54D80">
        <w:t xml:space="preserve"> En dehors du contexte de la piraterie, il apparaît que des mécanismes de garantie de la bonne exécution des mesures acceptées ou imposées</w:t>
      </w:r>
      <w:r w:rsidR="002765E5">
        <w:t xml:space="preserve"> à l</w:t>
      </w:r>
      <w:r w:rsidR="00C66A34">
        <w:t>’</w:t>
      </w:r>
      <w:r w:rsidR="002765E5">
        <w:t>issue d</w:t>
      </w:r>
      <w:r w:rsidR="00C66A34">
        <w:t>’</w:t>
      </w:r>
      <w:r w:rsidR="002765E5">
        <w:t>un conflit</w:t>
      </w:r>
      <w:r w:rsidR="00D54D80">
        <w:t xml:space="preserve"> ont </w:t>
      </w:r>
      <w:r w:rsidR="002765E5">
        <w:t xml:space="preserve">également </w:t>
      </w:r>
      <w:r w:rsidR="00D54D80">
        <w:t>été in</w:t>
      </w:r>
      <w:r w:rsidR="002765E5">
        <w:t xml:space="preserve">corporés </w:t>
      </w:r>
      <w:r w:rsidR="00D54D80">
        <w:t xml:space="preserve">dans </w:t>
      </w:r>
      <w:r w:rsidR="002765E5">
        <w:t>certains – rares –</w:t>
      </w:r>
      <w:r w:rsidR="00D54D80">
        <w:t xml:space="preserve"> traités de paix</w:t>
      </w:r>
      <w:r w:rsidR="002765E5">
        <w:t>, et ce</w:t>
      </w:r>
      <w:r w:rsidR="00D54D80">
        <w:t xml:space="preserve"> au moins depuis le 17</w:t>
      </w:r>
      <w:r w:rsidR="00D54D80" w:rsidRPr="00D54D80">
        <w:rPr>
          <w:vertAlign w:val="superscript"/>
        </w:rPr>
        <w:t>ème</w:t>
      </w:r>
      <w:r w:rsidR="00D54D80">
        <w:t xml:space="preserve"> siècle. Ainsi, le Traité de Turin de 1696 prévoit la</w:t>
      </w:r>
      <w:r w:rsidR="00E11CB6">
        <w:t xml:space="preserve"> possibilité </w:t>
      </w:r>
      <w:r w:rsidR="00D54D80">
        <w:t>d</w:t>
      </w:r>
      <w:r w:rsidR="00C66A34">
        <w:t>’</w:t>
      </w:r>
      <w:r w:rsidR="00D54D80">
        <w:t>envoyer</w:t>
      </w:r>
      <w:r w:rsidR="00E11CB6">
        <w:t xml:space="preserve"> un « </w:t>
      </w:r>
      <w:r w:rsidR="00E11CB6" w:rsidRPr="006D6DC4">
        <w:rPr>
          <w:i/>
          <w:iCs/>
        </w:rPr>
        <w:t>Commissaire</w:t>
      </w:r>
      <w:r w:rsidR="00E11CB6">
        <w:t> » pour assister à la destruction de la forteresse de Pignerol imposée par Louis XIV en préalable à la restitution de la ville au Duc de Savoie</w:t>
      </w:r>
      <w:r w:rsidR="00E11CB6">
        <w:rPr>
          <w:rStyle w:val="Appelnotedebasdep"/>
        </w:rPr>
        <w:footnoteReference w:id="12"/>
      </w:r>
      <w:r w:rsidR="00D54D80">
        <w:t>. Cette clause étant exceptionnelle, ce n</w:t>
      </w:r>
      <w:r w:rsidR="00C66A34">
        <w:t>’</w:t>
      </w:r>
      <w:r w:rsidR="00D54D80">
        <w:t>est qu</w:t>
      </w:r>
      <w:r w:rsidR="00C66A34">
        <w:t>’</w:t>
      </w:r>
      <w:r w:rsidR="00D54D80">
        <w:t>un siècle plus tard, avec</w:t>
      </w:r>
      <w:r w:rsidR="00E11CB6">
        <w:t xml:space="preserve"> le Traité de Paris de 1796</w:t>
      </w:r>
      <w:r w:rsidR="00D54D80">
        <w:t xml:space="preserve"> </w:t>
      </w:r>
      <w:r w:rsidR="00D54D80" w:rsidRPr="00E922FF">
        <w:t>entre le Directoire et la Sardaigne vaincue par Bonaparte</w:t>
      </w:r>
      <w:r w:rsidR="00D54D80">
        <w:t>,</w:t>
      </w:r>
      <w:r w:rsidR="00D54D80" w:rsidRPr="00E922FF">
        <w:t xml:space="preserve"> </w:t>
      </w:r>
      <w:r w:rsidR="00D54D80">
        <w:t xml:space="preserve">que </w:t>
      </w:r>
      <w:r w:rsidR="00D54D80" w:rsidRPr="00E922FF">
        <w:t>la</w:t>
      </w:r>
      <w:r w:rsidR="00190274">
        <w:t xml:space="preserve"> vérification de la</w:t>
      </w:r>
      <w:r w:rsidR="00D54D80" w:rsidRPr="00E922FF">
        <w:t xml:space="preserve"> démolition et la destruction de plusieurs fortifications, aux frais du Roi Sarde,</w:t>
      </w:r>
      <w:r w:rsidR="00D54D80">
        <w:t xml:space="preserve"> est confiée</w:t>
      </w:r>
      <w:r w:rsidR="00D54D80" w:rsidRPr="00E922FF">
        <w:t xml:space="preserve"> </w:t>
      </w:r>
      <w:r w:rsidR="00D54D80">
        <w:t>« </w:t>
      </w:r>
      <w:r w:rsidR="00D54D80" w:rsidRPr="006D6DC4">
        <w:rPr>
          <w:i/>
          <w:iCs/>
        </w:rPr>
        <w:t>à la diligence des commissaires nommés à cet effet par le directoire exécutif </w:t>
      </w:r>
      <w:r w:rsidR="00D54D80">
        <w:t>»</w:t>
      </w:r>
      <w:r w:rsidR="00E11CB6">
        <w:rPr>
          <w:rStyle w:val="Appelnotedebasdep"/>
        </w:rPr>
        <w:footnoteReference w:id="13"/>
      </w:r>
      <w:r w:rsidR="00E11CB6">
        <w:t xml:space="preserve">. </w:t>
      </w:r>
      <w:r w:rsidR="00D54D80">
        <w:t>Un siècle plus tard encore,</w:t>
      </w:r>
      <w:r w:rsidR="00EF70B3">
        <w:t xml:space="preserve"> un traité de protectorat prévoit qu</w:t>
      </w:r>
      <w:proofErr w:type="gramStart"/>
      <w:r w:rsidR="00C66A34">
        <w:t>’</w:t>
      </w:r>
      <w:r w:rsidR="00EF70B3">
        <w:t>«</w:t>
      </w:r>
      <w:proofErr w:type="gramEnd"/>
      <w:r w:rsidR="00EF70B3">
        <w:t> </w:t>
      </w:r>
      <w:r w:rsidR="00EF70B3" w:rsidRPr="006D6DC4">
        <w:rPr>
          <w:i/>
          <w:iCs/>
        </w:rPr>
        <w:t>[u]ne commission de trois membres, nommée par le gouverneur de Mayotte, procédera tous les ans à la vérification et à l</w:t>
      </w:r>
      <w:r w:rsidR="00C66A34">
        <w:rPr>
          <w:i/>
          <w:iCs/>
        </w:rPr>
        <w:t>’</w:t>
      </w:r>
      <w:r w:rsidR="00EF70B3" w:rsidRPr="006D6DC4">
        <w:rPr>
          <w:i/>
          <w:iCs/>
        </w:rPr>
        <w:t>apurement des comptes présentés par le résident et le comptable</w:t>
      </w:r>
      <w:r w:rsidR="00EF70B3">
        <w:t> »</w:t>
      </w:r>
      <w:r w:rsidR="00E11CB6">
        <w:rPr>
          <w:rStyle w:val="Appelnotedebasdep"/>
        </w:rPr>
        <w:footnoteReference w:id="14"/>
      </w:r>
      <w:r w:rsidR="00E11CB6">
        <w:t>.</w:t>
      </w:r>
      <w:r w:rsidR="00CF46F9">
        <w:t xml:space="preserve"> En parallèle de ces mesures et</w:t>
      </w:r>
      <w:r w:rsidR="00E11CB6">
        <w:t xml:space="preserve"> </w:t>
      </w:r>
      <w:r w:rsidR="00CF46F9">
        <w:t>du</w:t>
      </w:r>
      <w:r w:rsidR="00E11CB6">
        <w:t xml:space="preserve"> droit de visite réciproque des navires pour lutter contre l</w:t>
      </w:r>
      <w:r w:rsidR="00CF46F9">
        <w:t>a piraterie,</w:t>
      </w:r>
      <w:r w:rsidR="00190274">
        <w:t xml:space="preserve"> la contrebande puis la traite,</w:t>
      </w:r>
      <w:r w:rsidR="00FC185B">
        <w:t xml:space="preserve"> apparaît également</w:t>
      </w:r>
      <w:r w:rsidR="00CF46F9">
        <w:t xml:space="preserve"> </w:t>
      </w:r>
      <w:r w:rsidR="00190274">
        <w:t>vers la fin du 19</w:t>
      </w:r>
      <w:r w:rsidR="00190274" w:rsidRPr="00190274">
        <w:rPr>
          <w:vertAlign w:val="superscript"/>
        </w:rPr>
        <w:t>ème</w:t>
      </w:r>
      <w:r w:rsidR="00190274">
        <w:t xml:space="preserve"> siècle </w:t>
      </w:r>
      <w:r w:rsidR="00FC185B">
        <w:t>un droit de vérification de l</w:t>
      </w:r>
      <w:r w:rsidR="00C66A34">
        <w:t>’</w:t>
      </w:r>
      <w:r w:rsidR="00FC185B">
        <w:t>absence d</w:t>
      </w:r>
      <w:r w:rsidR="00C66A34">
        <w:t>’</w:t>
      </w:r>
      <w:r w:rsidR="00FC185B">
        <w:t>infractions par la fouille de navires de pêches</w:t>
      </w:r>
      <w:r w:rsidR="00FC185B">
        <w:rPr>
          <w:rStyle w:val="Appelnotedebasdep"/>
        </w:rPr>
        <w:footnoteReference w:id="15"/>
      </w:r>
      <w:r w:rsidR="00FC185B">
        <w:t>.</w:t>
      </w:r>
      <w:r w:rsidR="007C1E3E">
        <w:t xml:space="preserve"> De manière générale, l</w:t>
      </w:r>
      <w:r w:rsidR="00C66A34">
        <w:t>’</w:t>
      </w:r>
      <w:r w:rsidR="007C1E3E">
        <w:t>accélération de</w:t>
      </w:r>
      <w:r w:rsidR="00230226">
        <w:t>s échanges</w:t>
      </w:r>
      <w:r w:rsidR="007C1E3E">
        <w:t xml:space="preserve"> au </w:t>
      </w:r>
      <w:r w:rsidR="00230226">
        <w:t>20</w:t>
      </w:r>
      <w:r w:rsidR="00230226" w:rsidRPr="00230226">
        <w:rPr>
          <w:vertAlign w:val="superscript"/>
        </w:rPr>
        <w:t>ème</w:t>
      </w:r>
      <w:r w:rsidR="00230226">
        <w:t xml:space="preserve"> </w:t>
      </w:r>
      <w:r w:rsidR="007C1E3E">
        <w:t>siècle fait naître un droit de « </w:t>
      </w:r>
      <w:r w:rsidR="007C1E3E" w:rsidRPr="006D6DC4">
        <w:rPr>
          <w:i/>
          <w:iCs/>
        </w:rPr>
        <w:t>vérification</w:t>
      </w:r>
      <w:r w:rsidR="007C1E3E">
        <w:t xml:space="preserve"> » : de </w:t>
      </w:r>
      <w:r w:rsidR="00E11CB6">
        <w:t>la salubrité d</w:t>
      </w:r>
      <w:r w:rsidR="00C66A34">
        <w:t>’</w:t>
      </w:r>
      <w:r w:rsidR="00E11CB6">
        <w:t>un navire</w:t>
      </w:r>
      <w:r w:rsidR="00E11CB6">
        <w:rPr>
          <w:rStyle w:val="Appelnotedebasdep"/>
        </w:rPr>
        <w:footnoteReference w:id="16"/>
      </w:r>
      <w:r w:rsidR="00E11CB6">
        <w:t xml:space="preserve">, </w:t>
      </w:r>
      <w:r w:rsidR="007C1E3E">
        <w:t>que le</w:t>
      </w:r>
      <w:r w:rsidR="00E11CB6">
        <w:t xml:space="preserve"> bétail n</w:t>
      </w:r>
      <w:r w:rsidR="00C66A34">
        <w:t>’</w:t>
      </w:r>
      <w:r w:rsidR="00E11CB6">
        <w:t>est pas malade</w:t>
      </w:r>
      <w:r w:rsidR="00E11CB6">
        <w:rPr>
          <w:rStyle w:val="Appelnotedebasdep"/>
        </w:rPr>
        <w:footnoteReference w:id="17"/>
      </w:r>
      <w:r w:rsidR="007C1E3E">
        <w:t>, que les colis contenant d</w:t>
      </w:r>
      <w:r w:rsidR="00E11CB6">
        <w:t xml:space="preserve">es trophées de guerre </w:t>
      </w:r>
      <w:r w:rsidR="007C1E3E">
        <w:t>restitués ne sont pas abîmés</w:t>
      </w:r>
      <w:r w:rsidR="00E11CB6">
        <w:rPr>
          <w:rStyle w:val="Appelnotedebasdep"/>
        </w:rPr>
        <w:footnoteReference w:id="18"/>
      </w:r>
      <w:r w:rsidR="007C1E3E">
        <w:t xml:space="preserve">, </w:t>
      </w:r>
      <w:r w:rsidR="007C1E3E" w:rsidRPr="007C1E3E">
        <w:rPr>
          <w:i/>
          <w:iCs/>
        </w:rPr>
        <w:t>etc</w:t>
      </w:r>
      <w:r w:rsidR="007C1E3E">
        <w:t xml:space="preserve">. </w:t>
      </w:r>
    </w:p>
    <w:p w14:paraId="28DD4404" w14:textId="77777777" w:rsidR="00E11CB6" w:rsidRDefault="00E11CB6" w:rsidP="00DB16E0">
      <w:pPr>
        <w:spacing w:after="0" w:line="240" w:lineRule="auto"/>
      </w:pPr>
    </w:p>
    <w:p w14:paraId="4B8711A3" w14:textId="05F4801F" w:rsidR="00AF3F7D" w:rsidRDefault="00A069ED" w:rsidP="00DB16E0">
      <w:pPr>
        <w:spacing w:after="0" w:line="240" w:lineRule="auto"/>
      </w:pPr>
      <w:r>
        <w:t>Au-delà des vérifications techniques, l</w:t>
      </w:r>
      <w:r w:rsidR="00C66A34">
        <w:t>’</w:t>
      </w:r>
      <w:r w:rsidR="00AF3F7D">
        <w:t>inspec</w:t>
      </w:r>
      <w:r w:rsidR="00AF6935">
        <w:t>tion, à partir du début du 20</w:t>
      </w:r>
      <w:r w:rsidR="00AF6935" w:rsidRPr="00AF6935">
        <w:rPr>
          <w:vertAlign w:val="superscript"/>
        </w:rPr>
        <w:t>ème</w:t>
      </w:r>
      <w:r w:rsidR="00AF6935">
        <w:t xml:space="preserve"> si</w:t>
      </w:r>
      <w:r w:rsidR="003A7C98">
        <w:t>ècle</w:t>
      </w:r>
      <w:r w:rsidR="00FC723C">
        <w:t>, répond « </w:t>
      </w:r>
      <w:r w:rsidR="00AF3F7D" w:rsidRPr="006D6DC4">
        <w:rPr>
          <w:i/>
          <w:iCs/>
        </w:rPr>
        <w:t>à l</w:t>
      </w:r>
      <w:r w:rsidR="00C66A34">
        <w:rPr>
          <w:i/>
          <w:iCs/>
        </w:rPr>
        <w:t>’</w:t>
      </w:r>
      <w:r w:rsidR="00AF3F7D" w:rsidRPr="006D6DC4">
        <w:rPr>
          <w:i/>
          <w:iCs/>
        </w:rPr>
        <w:t>idée élémentaire selon laquelle le moyen le plus sûr de permettre à l</w:t>
      </w:r>
      <w:r w:rsidR="00C66A34">
        <w:rPr>
          <w:i/>
          <w:iCs/>
        </w:rPr>
        <w:t>’</w:t>
      </w:r>
      <w:r w:rsidR="00AF3F7D" w:rsidRPr="006D6DC4">
        <w:rPr>
          <w:i/>
          <w:iCs/>
        </w:rPr>
        <w:t>organe de contrôle d</w:t>
      </w:r>
      <w:r w:rsidR="00C66A34">
        <w:rPr>
          <w:i/>
          <w:iCs/>
        </w:rPr>
        <w:t>’</w:t>
      </w:r>
      <w:r w:rsidR="00AF3F7D" w:rsidRPr="006D6DC4">
        <w:rPr>
          <w:i/>
          <w:iCs/>
        </w:rPr>
        <w:t>apprécier le comportement d</w:t>
      </w:r>
      <w:r w:rsidR="00C66A34">
        <w:rPr>
          <w:i/>
          <w:iCs/>
        </w:rPr>
        <w:t>’</w:t>
      </w:r>
      <w:r w:rsidR="00AF3F7D" w:rsidRPr="006D6DC4">
        <w:rPr>
          <w:i/>
          <w:iCs/>
        </w:rPr>
        <w:t>un État est de l</w:t>
      </w:r>
      <w:r w:rsidR="00C66A34">
        <w:rPr>
          <w:i/>
          <w:iCs/>
        </w:rPr>
        <w:t>’</w:t>
      </w:r>
      <w:r w:rsidR="00AF3F7D" w:rsidRPr="006D6DC4">
        <w:rPr>
          <w:i/>
          <w:iCs/>
        </w:rPr>
        <w:t>habiliter à s</w:t>
      </w:r>
      <w:r w:rsidR="00C66A34">
        <w:rPr>
          <w:i/>
          <w:iCs/>
        </w:rPr>
        <w:t>’</w:t>
      </w:r>
      <w:r w:rsidR="00AF3F7D" w:rsidRPr="006D6DC4">
        <w:rPr>
          <w:i/>
          <w:iCs/>
        </w:rPr>
        <w:t>en informer par lui-même en se rendant sur le territoire où il exerce son activité</w:t>
      </w:r>
      <w:r w:rsidR="00AF3F7D">
        <w:t> »</w:t>
      </w:r>
      <w:r w:rsidR="00AF3F7D">
        <w:rPr>
          <w:rStyle w:val="Appelnotedebasdep"/>
        </w:rPr>
        <w:footnoteReference w:id="19"/>
      </w:r>
      <w:r w:rsidR="00E11CB6">
        <w:t xml:space="preserve">. </w:t>
      </w:r>
      <w:r w:rsidR="00627EBF">
        <w:t>Utilisée comme un mécanisme de</w:t>
      </w:r>
      <w:r w:rsidR="00AF3F7D">
        <w:t xml:space="preserve"> </w:t>
      </w:r>
      <w:r w:rsidR="00AF3F7D" w:rsidRPr="00AF3F7D">
        <w:rPr>
          <w:i/>
        </w:rPr>
        <w:t>garantie</w:t>
      </w:r>
      <w:r w:rsidR="00AF3F7D">
        <w:t xml:space="preserve"> en droit international conventionnel, </w:t>
      </w:r>
      <w:r w:rsidR="00627EBF">
        <w:t>elle n</w:t>
      </w:r>
      <w:r w:rsidR="00C66A34">
        <w:t>’</w:t>
      </w:r>
      <w:r w:rsidR="00627EBF">
        <w:t>est souvent pas désignée par le terme « inspection », bien qu</w:t>
      </w:r>
      <w:r w:rsidR="00C66A34">
        <w:t>’</w:t>
      </w:r>
      <w:r w:rsidR="00627EBF">
        <w:t xml:space="preserve">elle en revête les caractéristiques. Tel est en particulier le cas </w:t>
      </w:r>
      <w:r w:rsidR="00AF3F7D">
        <w:t xml:space="preserve">du Traité de Versailles créant les </w:t>
      </w:r>
      <w:r w:rsidR="00AF3F7D" w:rsidRPr="002B5406">
        <w:t>Commissions interalliées de contrôle</w:t>
      </w:r>
      <w:bookmarkStart w:id="5" w:name="_Ref522802022"/>
      <w:r w:rsidR="00E84BA6">
        <w:t>. Ainsi, « </w:t>
      </w:r>
      <w:r w:rsidR="00E84BA6" w:rsidRPr="006D6DC4">
        <w:rPr>
          <w:i/>
          <w:iCs/>
        </w:rPr>
        <w:t>[l]es Commissions interalliées de contrôle seront spécialement chargées de surveiller l</w:t>
      </w:r>
      <w:r w:rsidR="00C66A34">
        <w:rPr>
          <w:i/>
          <w:iCs/>
        </w:rPr>
        <w:t>’</w:t>
      </w:r>
      <w:r w:rsidR="00E84BA6" w:rsidRPr="006D6DC4">
        <w:rPr>
          <w:i/>
          <w:iCs/>
        </w:rPr>
        <w:t xml:space="preserve">exécution régulière des livraisons, des </w:t>
      </w:r>
      <w:r w:rsidR="00E84BA6" w:rsidRPr="006D6DC4">
        <w:rPr>
          <w:i/>
          <w:iCs/>
        </w:rPr>
        <w:lastRenderedPageBreak/>
        <w:t>destructions, démolitions et mises hors d</w:t>
      </w:r>
      <w:r w:rsidR="00C66A34">
        <w:rPr>
          <w:i/>
          <w:iCs/>
        </w:rPr>
        <w:t>’</w:t>
      </w:r>
      <w:r w:rsidR="00E84BA6" w:rsidRPr="006D6DC4">
        <w:rPr>
          <w:i/>
          <w:iCs/>
        </w:rPr>
        <w:t>usage, prévues à la charge du Gouvernement allemand par le présent traité</w:t>
      </w:r>
      <w:r w:rsidR="00E84BA6">
        <w:t> »</w:t>
      </w:r>
      <w:r w:rsidR="00E84BA6">
        <w:rPr>
          <w:rStyle w:val="Appelnotedebasdep"/>
        </w:rPr>
        <w:footnoteReference w:id="20"/>
      </w:r>
      <w:r w:rsidR="00E84BA6" w:rsidRPr="00E84BA6">
        <w:t xml:space="preserve"> ; elles </w:t>
      </w:r>
      <w:r w:rsidR="00386C01">
        <w:t>« </w:t>
      </w:r>
      <w:r w:rsidR="00E84BA6" w:rsidRPr="006D6DC4">
        <w:rPr>
          <w:i/>
          <w:iCs/>
        </w:rPr>
        <w:t>auront la faculté, aussi souvent qu</w:t>
      </w:r>
      <w:r w:rsidR="00C66A34">
        <w:rPr>
          <w:i/>
          <w:iCs/>
        </w:rPr>
        <w:t>’</w:t>
      </w:r>
      <w:r w:rsidR="00E84BA6" w:rsidRPr="006D6DC4">
        <w:rPr>
          <w:i/>
          <w:iCs/>
        </w:rPr>
        <w:t>elles le jugeront utile, de se rendre sur tout point quelconque du territoire allemand</w:t>
      </w:r>
      <w:r w:rsidR="00386C01">
        <w:t> »</w:t>
      </w:r>
      <w:r w:rsidR="00AF3F7D">
        <w:rPr>
          <w:rStyle w:val="Appelnotedebasdep"/>
        </w:rPr>
        <w:footnoteReference w:id="21"/>
      </w:r>
      <w:bookmarkEnd w:id="5"/>
      <w:r w:rsidR="00D50E90">
        <w:t xml:space="preserve">. Ce </w:t>
      </w:r>
      <w:r w:rsidR="00AF3F7D">
        <w:t>modèle est réutilisé sans modifications pour les Traités de Neuilly et de Sèvres</w:t>
      </w:r>
      <w:bookmarkStart w:id="6" w:name="_Ref522802029"/>
      <w:r w:rsidR="00AF3F7D">
        <w:rPr>
          <w:rStyle w:val="Appelnotedebasdep"/>
        </w:rPr>
        <w:footnoteReference w:id="22"/>
      </w:r>
      <w:bookmarkEnd w:id="6"/>
      <w:r w:rsidR="00D50E90">
        <w:t>, et avec modifications dans le traité de Tartu</w:t>
      </w:r>
      <w:r w:rsidR="00D50E90">
        <w:rPr>
          <w:rStyle w:val="Appelnotedebasdep"/>
        </w:rPr>
        <w:footnoteReference w:id="23"/>
      </w:r>
      <w:r w:rsidR="00D50E90">
        <w:t>.</w:t>
      </w:r>
    </w:p>
    <w:p w14:paraId="17BC7F4C" w14:textId="77777777" w:rsidR="00381995" w:rsidRDefault="00381995" w:rsidP="00DB16E0">
      <w:pPr>
        <w:spacing w:after="0" w:line="240" w:lineRule="auto"/>
      </w:pPr>
    </w:p>
    <w:p w14:paraId="356C3B5C" w14:textId="77777777" w:rsidR="00381995" w:rsidRPr="00A305E0" w:rsidRDefault="00A305E0" w:rsidP="00DB16E0">
      <w:pPr>
        <w:spacing w:after="0" w:line="240" w:lineRule="auto"/>
      </w:pPr>
      <w:r>
        <w:t>Ces traités</w:t>
      </w:r>
      <w:r w:rsidR="00381995">
        <w:t xml:space="preserve"> marque</w:t>
      </w:r>
      <w:r>
        <w:t>nt</w:t>
      </w:r>
      <w:r w:rsidR="00381995">
        <w:t xml:space="preserve"> le développement d</w:t>
      </w:r>
      <w:r w:rsidR="00C66A34">
        <w:t>’</w:t>
      </w:r>
      <w:r w:rsidR="00381995">
        <w:t>une conception fonctionnelle renouvelée de l</w:t>
      </w:r>
      <w:r w:rsidR="00C66A34">
        <w:t>’</w:t>
      </w:r>
      <w:r w:rsidR="00381995">
        <w:t xml:space="preserve">inspection – peu important sa désignation officielle – : </w:t>
      </w:r>
      <w:r>
        <w:t>il ne s</w:t>
      </w:r>
      <w:r w:rsidR="00C66A34">
        <w:t>’</w:t>
      </w:r>
      <w:r>
        <w:t>agit plus seulement de vérifier l</w:t>
      </w:r>
      <w:r w:rsidR="00C66A34">
        <w:t>’</w:t>
      </w:r>
      <w:r>
        <w:t>absence d</w:t>
      </w:r>
      <w:r w:rsidR="00C66A34">
        <w:t>’</w:t>
      </w:r>
      <w:r>
        <w:t xml:space="preserve">infraction, mais de créer des mécanismes de </w:t>
      </w:r>
      <w:r>
        <w:rPr>
          <w:i/>
          <w:iCs/>
        </w:rPr>
        <w:t>maintien de la paix</w:t>
      </w:r>
      <w:r>
        <w:t>, susceptibles de recréer une confiance entre les parties gagnante et perdante du conflit.</w:t>
      </w:r>
      <w:r w:rsidR="00E03258">
        <w:t xml:space="preserve"> Au regard de l</w:t>
      </w:r>
      <w:r w:rsidR="00C66A34">
        <w:t>’</w:t>
      </w:r>
      <w:r w:rsidR="00E03258">
        <w:t>échec de la société internationale et de ces dispositifs à empêcher la survenance de la Seconde Guerre Mondiale, il paraît cohérent que l</w:t>
      </w:r>
      <w:r w:rsidR="00C66A34">
        <w:t>’</w:t>
      </w:r>
      <w:r w:rsidR="00E03258">
        <w:t>inspection n</w:t>
      </w:r>
      <w:r w:rsidR="00C66A34">
        <w:t>’</w:t>
      </w:r>
      <w:r w:rsidR="00E03258">
        <w:t>ait pas été spécifiquement invoquée par la suite.</w:t>
      </w:r>
    </w:p>
    <w:p w14:paraId="142E0D78" w14:textId="77777777" w:rsidR="006B27D3" w:rsidRDefault="006B27D3" w:rsidP="00DB16E0">
      <w:pPr>
        <w:spacing w:after="0" w:line="240" w:lineRule="auto"/>
      </w:pPr>
    </w:p>
    <w:p w14:paraId="45C76E4A" w14:textId="735A9F4F" w:rsidR="00431591" w:rsidRDefault="00E03258" w:rsidP="00DB16E0">
      <w:pPr>
        <w:spacing w:after="0" w:line="240" w:lineRule="auto"/>
      </w:pPr>
      <w:r>
        <w:t>C</w:t>
      </w:r>
      <w:r w:rsidR="00C66A34">
        <w:t>’</w:t>
      </w:r>
      <w:r>
        <w:t>est donc après une relative absence que</w:t>
      </w:r>
      <w:r w:rsidR="00AF3F7D">
        <w:t xml:space="preserve"> le Traité sur l</w:t>
      </w:r>
      <w:r w:rsidR="00C66A34">
        <w:t>’</w:t>
      </w:r>
      <w:r w:rsidR="00AF3F7D">
        <w:t xml:space="preserve">Antarctique fait </w:t>
      </w:r>
      <w:r>
        <w:t>renaître l</w:t>
      </w:r>
      <w:r w:rsidR="00C66A34">
        <w:t>’</w:t>
      </w:r>
      <w:r>
        <w:t xml:space="preserve">inspection, </w:t>
      </w:r>
      <w:r w:rsidR="00AF3F7D">
        <w:t xml:space="preserve">dans </w:t>
      </w:r>
      <w:r w:rsidR="00182192">
        <w:t>le</w:t>
      </w:r>
      <w:r w:rsidR="00AF3F7D">
        <w:t xml:space="preserve"> contexte géopolitique </w:t>
      </w:r>
      <w:r w:rsidR="008A4DE4">
        <w:t xml:space="preserve">aussi inédit que </w:t>
      </w:r>
      <w:r w:rsidR="00CA1C07">
        <w:t>complexe</w:t>
      </w:r>
      <w:r>
        <w:t xml:space="preserve"> qu</w:t>
      </w:r>
      <w:r w:rsidR="00C66A34">
        <w:t>’</w:t>
      </w:r>
      <w:r>
        <w:t xml:space="preserve">est celui de la </w:t>
      </w:r>
      <w:r w:rsidR="00F270B6">
        <w:t>G</w:t>
      </w:r>
      <w:r>
        <w:t>uerre froide et de la course à l</w:t>
      </w:r>
      <w:r w:rsidR="00A069ED">
        <w:t>’armement</w:t>
      </w:r>
      <w:r w:rsidR="00AF3F7D">
        <w:t>.</w:t>
      </w:r>
      <w:r w:rsidR="00FE2A32">
        <w:t xml:space="preserve"> Il faut brièvement </w:t>
      </w:r>
      <w:r w:rsidR="00431591">
        <w:t>le rappeler</w:t>
      </w:r>
      <w:r w:rsidR="00FE2A32">
        <w:t> : alors que plusieurs États ont émis des revendications territoriales</w:t>
      </w:r>
      <w:r w:rsidR="00754087">
        <w:t xml:space="preserve"> parfois contradictoires</w:t>
      </w:r>
      <w:r w:rsidR="00FE2A32">
        <w:t xml:space="preserve"> sur l</w:t>
      </w:r>
      <w:r w:rsidR="00C66A34">
        <w:t>’</w:t>
      </w:r>
      <w:r w:rsidR="00FE2A32">
        <w:t>Antarctique, douze États</w:t>
      </w:r>
      <w:r w:rsidR="00FE2A32">
        <w:rPr>
          <w:rStyle w:val="Appelnotedebasdep"/>
        </w:rPr>
        <w:footnoteReference w:id="24"/>
      </w:r>
      <w:r w:rsidR="00754087">
        <w:t xml:space="preserve"> s</w:t>
      </w:r>
      <w:r w:rsidR="00C66A34">
        <w:t>’</w:t>
      </w:r>
      <w:r w:rsidR="00754087">
        <w:t>accordent sur la nécessité d</w:t>
      </w:r>
      <w:r w:rsidR="00C66A34">
        <w:t>’</w:t>
      </w:r>
      <w:r w:rsidR="00754087">
        <w:t>une Conférence internationale en vue d</w:t>
      </w:r>
      <w:r w:rsidR="00C66A34">
        <w:t>’</w:t>
      </w:r>
      <w:r w:rsidR="00754087">
        <w:t>étudier l</w:t>
      </w:r>
      <w:r w:rsidR="00C66A34">
        <w:t>’</w:t>
      </w:r>
      <w:r w:rsidR="00754087">
        <w:t>avenir du continent. Parmi les points clés</w:t>
      </w:r>
      <w:r w:rsidR="00D90F55">
        <w:t xml:space="preserve"> des débats</w:t>
      </w:r>
      <w:r w:rsidR="00754087">
        <w:t xml:space="preserve"> figurent le maintien de la paix internationale et la facilitation des recherches scientifiques en Antarctique.</w:t>
      </w:r>
      <w:r w:rsidR="00AF3F7D">
        <w:t xml:space="preserve"> En parvenant à une solution acceptable pour tous, les Parties</w:t>
      </w:r>
      <w:r>
        <w:t xml:space="preserve"> au Traité de 1959</w:t>
      </w:r>
      <w:r w:rsidR="00AF3F7D">
        <w:t xml:space="preserve"> posent</w:t>
      </w:r>
      <w:r w:rsidR="00754087">
        <w:t xml:space="preserve"> alors</w:t>
      </w:r>
      <w:r w:rsidR="00AF3F7D">
        <w:t xml:space="preserve"> les bases des régimes d</w:t>
      </w:r>
      <w:r w:rsidR="00C66A34">
        <w:t>’</w:t>
      </w:r>
      <w:r w:rsidR="00AF3F7D">
        <w:t xml:space="preserve">inspection modernes, </w:t>
      </w:r>
      <w:r w:rsidR="00A069ED">
        <w:t>que seule la rupture sémantique</w:t>
      </w:r>
      <w:r w:rsidR="00AF3F7D">
        <w:t xml:space="preserve"> inaugurée par la création du « </w:t>
      </w:r>
      <w:r w:rsidR="00AF3F7D" w:rsidRPr="006D6DC4">
        <w:rPr>
          <w:i/>
          <w:iCs/>
        </w:rPr>
        <w:t>Panel d</w:t>
      </w:r>
      <w:r w:rsidR="00C66A34">
        <w:rPr>
          <w:i/>
          <w:iCs/>
        </w:rPr>
        <w:t>’</w:t>
      </w:r>
      <w:r w:rsidR="00AF3F7D" w:rsidRPr="006D6DC4">
        <w:rPr>
          <w:i/>
          <w:iCs/>
        </w:rPr>
        <w:t>inspection</w:t>
      </w:r>
      <w:r w:rsidR="00AF3F7D">
        <w:t> » de la Banque mondiale en 1993</w:t>
      </w:r>
      <w:r w:rsidR="00A069ED">
        <w:t xml:space="preserve"> viendra « réinventer » de nouveau</w:t>
      </w:r>
      <w:r w:rsidR="00AF3F7D">
        <w:rPr>
          <w:rStyle w:val="Appelnotedebasdep"/>
        </w:rPr>
        <w:footnoteReference w:id="25"/>
      </w:r>
      <w:r w:rsidR="00AF3F7D">
        <w:t>.</w:t>
      </w:r>
      <w:r w:rsidR="00754087">
        <w:t xml:space="preserve"> </w:t>
      </w:r>
    </w:p>
    <w:p w14:paraId="0EDEE17B" w14:textId="77777777" w:rsidR="00431591" w:rsidRDefault="00431591" w:rsidP="00DB16E0">
      <w:pPr>
        <w:spacing w:after="0" w:line="240" w:lineRule="auto"/>
      </w:pPr>
    </w:p>
    <w:p w14:paraId="177CE1EF" w14:textId="6AF891A3" w:rsidR="00AF3F7D" w:rsidRDefault="001B14C5" w:rsidP="00DB16E0">
      <w:pPr>
        <w:spacing w:after="0" w:line="240" w:lineRule="auto"/>
      </w:pPr>
      <w:r>
        <w:t>L</w:t>
      </w:r>
      <w:r w:rsidR="00C66A34">
        <w:t>’</w:t>
      </w:r>
      <w:r w:rsidR="00E03258">
        <w:t>article 7 du Traité sur l</w:t>
      </w:r>
      <w:r w:rsidR="00C66A34">
        <w:t>’</w:t>
      </w:r>
      <w:r w:rsidR="00E03258">
        <w:t>Antarctique</w:t>
      </w:r>
      <w:r w:rsidR="00205644">
        <w:t>, qui grave dans le marbre cette solution</w:t>
      </w:r>
      <w:bookmarkStart w:id="7" w:name="_Ref24899770"/>
      <w:r w:rsidR="002054C5">
        <w:rPr>
          <w:rStyle w:val="Appelnotedebasdep"/>
        </w:rPr>
        <w:footnoteReference w:id="26"/>
      </w:r>
      <w:bookmarkEnd w:id="7"/>
      <w:r>
        <w:t xml:space="preserve">, </w:t>
      </w:r>
      <w:r w:rsidR="00375102">
        <w:t>a</w:t>
      </w:r>
      <w:r w:rsidR="00E101D1">
        <w:t xml:space="preserve"> certainement</w:t>
      </w:r>
      <w:r w:rsidR="00375102">
        <w:t xml:space="preserve"> fait l</w:t>
      </w:r>
      <w:r w:rsidR="00C66A34">
        <w:t>’</w:t>
      </w:r>
      <w:r w:rsidR="00375102">
        <w:t>objet de débats lors des travaux préparatoires</w:t>
      </w:r>
      <w:r w:rsidR="00205644">
        <w:t xml:space="preserve">. Cependant, les affirmations sont </w:t>
      </w:r>
      <w:r w:rsidR="00375102">
        <w:t>d</w:t>
      </w:r>
      <w:r w:rsidR="00205644">
        <w:t xml:space="preserve">élicates à </w:t>
      </w:r>
      <w:r w:rsidR="00D90F55">
        <w:t>avancer</w:t>
      </w:r>
      <w:r w:rsidR="00375102">
        <w:t xml:space="preserve"> sur ce point. Ces travaux préparatoires sont en effet difficilement accessibles : ni le secrétariat du Traité, basé en Argentine, ni l</w:t>
      </w:r>
      <w:r w:rsidR="00C66A34">
        <w:t>’</w:t>
      </w:r>
      <w:r w:rsidR="00375102" w:rsidRPr="00375102">
        <w:rPr>
          <w:i/>
          <w:iCs/>
        </w:rPr>
        <w:t xml:space="preserve">Office of </w:t>
      </w:r>
      <w:proofErr w:type="spellStart"/>
      <w:r w:rsidR="00375102" w:rsidRPr="00375102">
        <w:rPr>
          <w:i/>
          <w:iCs/>
        </w:rPr>
        <w:t>Ocean</w:t>
      </w:r>
      <w:proofErr w:type="spellEnd"/>
      <w:r w:rsidR="00375102" w:rsidRPr="00375102">
        <w:rPr>
          <w:i/>
          <w:iCs/>
        </w:rPr>
        <w:t xml:space="preserve"> and Polar </w:t>
      </w:r>
      <w:proofErr w:type="spellStart"/>
      <w:r w:rsidR="00375102" w:rsidRPr="00375102">
        <w:rPr>
          <w:i/>
          <w:iCs/>
        </w:rPr>
        <w:t>Affairs</w:t>
      </w:r>
      <w:proofErr w:type="spellEnd"/>
      <w:r w:rsidR="00375102" w:rsidRPr="00375102">
        <w:rPr>
          <w:i/>
          <w:iCs/>
        </w:rPr>
        <w:t xml:space="preserve"> </w:t>
      </w:r>
      <w:r w:rsidR="00375102">
        <w:t>du Département d</w:t>
      </w:r>
      <w:r w:rsidR="00C66A34">
        <w:t>’</w:t>
      </w:r>
      <w:r w:rsidR="00375102">
        <w:t>État des États-Unis, dépositaire du Traité, n</w:t>
      </w:r>
      <w:r w:rsidR="00C66A34">
        <w:t>’</w:t>
      </w:r>
      <w:r w:rsidR="00375102">
        <w:t>en disposent</w:t>
      </w:r>
      <w:r w:rsidR="00431591">
        <w:rPr>
          <w:rStyle w:val="Appelnotedebasdep"/>
        </w:rPr>
        <w:footnoteReference w:id="27"/>
      </w:r>
      <w:r w:rsidR="00375102">
        <w:t>.</w:t>
      </w:r>
    </w:p>
    <w:p w14:paraId="2CF454C8" w14:textId="77777777" w:rsidR="00D13303" w:rsidRDefault="00D13303" w:rsidP="00DB16E0">
      <w:pPr>
        <w:spacing w:after="0" w:line="240" w:lineRule="auto"/>
      </w:pPr>
    </w:p>
    <w:p w14:paraId="34655705" w14:textId="24552DDF" w:rsidR="00ED40DF" w:rsidRDefault="00D13303" w:rsidP="00DB16E0">
      <w:pPr>
        <w:spacing w:after="0" w:line="240" w:lineRule="auto"/>
      </w:pPr>
      <w:r>
        <w:lastRenderedPageBreak/>
        <w:t>Tout au plus sait-on, grâce à la doctrine et aux rares documents accessibles</w:t>
      </w:r>
      <w:r w:rsidR="00D90F55">
        <w:t xml:space="preserve"> et conservés dans certaines archives</w:t>
      </w:r>
      <w:r>
        <w:t>, que le</w:t>
      </w:r>
      <w:r w:rsidR="00BA7CA6">
        <w:t xml:space="preserve"> </w:t>
      </w:r>
      <w:r w:rsidRPr="00B34C96">
        <w:t>système d</w:t>
      </w:r>
      <w:r w:rsidR="00C66A34">
        <w:t>’</w:t>
      </w:r>
      <w:r w:rsidRPr="00B34C96">
        <w:t>inspection a été considéré d</w:t>
      </w:r>
      <w:r w:rsidR="00C66A34">
        <w:t>’</w:t>
      </w:r>
      <w:r w:rsidRPr="00B34C96">
        <w:t>emblée comme essentiel</w:t>
      </w:r>
      <w:r>
        <w:t>, et ce</w:t>
      </w:r>
      <w:r w:rsidRPr="00B34C96">
        <w:t xml:space="preserve"> dès les échanges de notes en prévision de la Conférence de Washington</w:t>
      </w:r>
      <w:r w:rsidR="00A01721">
        <w:rPr>
          <w:rStyle w:val="Appelnotedebasdep"/>
        </w:rPr>
        <w:footnoteReference w:id="28"/>
      </w:r>
      <w:r w:rsidR="00A01721">
        <w:t>.</w:t>
      </w:r>
      <w:r w:rsidR="00A238AB">
        <w:t xml:space="preserve"> </w:t>
      </w:r>
      <w:r w:rsidR="00A40D8F">
        <w:t>Les médias</w:t>
      </w:r>
      <w:r w:rsidR="000A179D">
        <w:t>, seules sources secondaires aisément accessibles</w:t>
      </w:r>
      <w:r w:rsidR="00D90F55">
        <w:t xml:space="preserve"> aujourd’hui</w:t>
      </w:r>
      <w:r w:rsidR="000A179D">
        <w:t>,</w:t>
      </w:r>
      <w:r w:rsidR="00A40D8F">
        <w:t xml:space="preserve"> s</w:t>
      </w:r>
      <w:r w:rsidR="00C66A34">
        <w:t>’</w:t>
      </w:r>
      <w:r w:rsidR="00A40D8F">
        <w:t>en font à l</w:t>
      </w:r>
      <w:r w:rsidR="00C66A34">
        <w:t>’</w:t>
      </w:r>
      <w:r w:rsidR="00A40D8F">
        <w:t>époque le relais</w:t>
      </w:r>
      <w:r w:rsidR="00A40D8F">
        <w:rPr>
          <w:rStyle w:val="Appelnotedebasdep"/>
        </w:rPr>
        <w:footnoteReference w:id="29"/>
      </w:r>
      <w:r w:rsidR="00754087">
        <w:t>, d</w:t>
      </w:r>
      <w:r w:rsidR="00C66A34">
        <w:t>’</w:t>
      </w:r>
      <w:r w:rsidR="00754087">
        <w:t>autant que la question du désarmement, et de la manière de s</w:t>
      </w:r>
      <w:r w:rsidR="00C66A34">
        <w:t>’</w:t>
      </w:r>
      <w:r w:rsidR="00754087">
        <w:t>en assurer, est centrale dans les échanges entre les États-Unis et l</w:t>
      </w:r>
      <w:r w:rsidR="00C66A34">
        <w:t>’</w:t>
      </w:r>
      <w:r w:rsidR="00754087">
        <w:t>URSS.</w:t>
      </w:r>
      <w:r w:rsidR="007B0E1C">
        <w:t xml:space="preserve"> </w:t>
      </w:r>
      <w:r w:rsidR="00A069ED">
        <w:t>Il est ainsi possible de</w:t>
      </w:r>
      <w:r w:rsidR="007B0E1C" w:rsidRPr="007B0E1C">
        <w:t xml:space="preserve"> lire</w:t>
      </w:r>
      <w:r w:rsidR="007B0E1C">
        <w:t xml:space="preserve"> dans la presse</w:t>
      </w:r>
      <w:r w:rsidR="007B0E1C" w:rsidRPr="007B0E1C">
        <w:t xml:space="preserve">, pendant les travaux de la Conférence, que </w:t>
      </w:r>
      <w:r w:rsidR="007B0E1C">
        <w:t>« </w:t>
      </w:r>
      <w:r w:rsidR="007B0E1C" w:rsidRPr="006D6DC4">
        <w:rPr>
          <w:i/>
          <w:iCs/>
        </w:rPr>
        <w:t>[l]es Américains seraient extrêmement favorables au principe de l</w:t>
      </w:r>
      <w:r w:rsidR="00C66A34">
        <w:rPr>
          <w:i/>
          <w:iCs/>
        </w:rPr>
        <w:t>’</w:t>
      </w:r>
      <w:r w:rsidR="007B0E1C" w:rsidRPr="006D6DC4">
        <w:rPr>
          <w:i/>
          <w:iCs/>
        </w:rPr>
        <w:t>inspection aérienne afin de prouver qu</w:t>
      </w:r>
      <w:r w:rsidR="00C66A34">
        <w:rPr>
          <w:i/>
          <w:iCs/>
        </w:rPr>
        <w:t>’</w:t>
      </w:r>
      <w:r w:rsidR="007B0E1C" w:rsidRPr="006D6DC4">
        <w:rPr>
          <w:i/>
          <w:iCs/>
        </w:rPr>
        <w:t>elle serait la plus efficace sur d</w:t>
      </w:r>
      <w:r w:rsidR="00C66A34">
        <w:rPr>
          <w:i/>
          <w:iCs/>
        </w:rPr>
        <w:t>’</w:t>
      </w:r>
      <w:r w:rsidR="007B0E1C" w:rsidRPr="006D6DC4">
        <w:rPr>
          <w:i/>
          <w:iCs/>
        </w:rPr>
        <w:t>autres territoires. La démilitarisation ou la neutralisation de l</w:t>
      </w:r>
      <w:r w:rsidR="00C66A34">
        <w:rPr>
          <w:i/>
          <w:iCs/>
        </w:rPr>
        <w:t>’</w:t>
      </w:r>
      <w:r w:rsidR="007B0E1C" w:rsidRPr="006D6DC4">
        <w:rPr>
          <w:i/>
          <w:iCs/>
        </w:rPr>
        <w:t>Antarctique serait garantie par le principe de la liberté d</w:t>
      </w:r>
      <w:r w:rsidR="00C66A34">
        <w:rPr>
          <w:i/>
          <w:iCs/>
        </w:rPr>
        <w:t>’</w:t>
      </w:r>
      <w:r w:rsidR="007B0E1C" w:rsidRPr="006D6DC4">
        <w:rPr>
          <w:i/>
          <w:iCs/>
        </w:rPr>
        <w:t>accès soit d</w:t>
      </w:r>
      <w:r w:rsidR="00C66A34">
        <w:rPr>
          <w:i/>
          <w:iCs/>
        </w:rPr>
        <w:t>’</w:t>
      </w:r>
      <w:r w:rsidR="007B0E1C" w:rsidRPr="006D6DC4">
        <w:rPr>
          <w:i/>
          <w:iCs/>
        </w:rPr>
        <w:t>observateurs ressortissants des douze pays qui ont des intérêts dans ce continent, soit d</w:t>
      </w:r>
      <w:r w:rsidR="00C66A34">
        <w:rPr>
          <w:i/>
          <w:iCs/>
        </w:rPr>
        <w:t>’</w:t>
      </w:r>
      <w:r w:rsidR="007B0E1C" w:rsidRPr="006D6DC4">
        <w:rPr>
          <w:i/>
          <w:iCs/>
        </w:rPr>
        <w:t>observateurs internationaux accrédités pour cette mission par l</w:t>
      </w:r>
      <w:r w:rsidR="00C66A34">
        <w:rPr>
          <w:i/>
          <w:iCs/>
        </w:rPr>
        <w:t>’</w:t>
      </w:r>
      <w:r w:rsidR="007B0E1C" w:rsidRPr="006D6DC4">
        <w:rPr>
          <w:i/>
          <w:iCs/>
        </w:rPr>
        <w:t>organisation des Douze</w:t>
      </w:r>
      <w:r w:rsidR="007B0E1C">
        <w:t> »</w:t>
      </w:r>
      <w:r w:rsidR="007B0E1C">
        <w:rPr>
          <w:rStyle w:val="Appelnotedebasdep"/>
        </w:rPr>
        <w:footnoteReference w:id="30"/>
      </w:r>
      <w:r w:rsidR="007B0E1C" w:rsidRPr="007B0E1C">
        <w:t xml:space="preserve">. </w:t>
      </w:r>
      <w:r w:rsidR="00A238AB">
        <w:t>L</w:t>
      </w:r>
      <w:r w:rsidR="00C66A34">
        <w:t>’</w:t>
      </w:r>
      <w:r w:rsidR="00A238AB">
        <w:t>on sait également que</w:t>
      </w:r>
      <w:r w:rsidR="00754087">
        <w:t xml:space="preserve"> la proposition, </w:t>
      </w:r>
      <w:r w:rsidR="00D17609">
        <w:t>d</w:t>
      </w:r>
      <w:r w:rsidR="00C66A34">
        <w:t>’</w:t>
      </w:r>
      <w:r w:rsidR="00D17609">
        <w:t xml:space="preserve">origine </w:t>
      </w:r>
      <w:r w:rsidR="00754087">
        <w:t>américaine</w:t>
      </w:r>
      <w:r w:rsidR="00754087">
        <w:rPr>
          <w:rStyle w:val="Appelnotedebasdep"/>
        </w:rPr>
        <w:footnoteReference w:id="31"/>
      </w:r>
      <w:r w:rsidR="001D1C5C">
        <w:t xml:space="preserve"> et</w:t>
      </w:r>
      <w:r w:rsidR="00F92D55">
        <w:t xml:space="preserve"> immédiatement</w:t>
      </w:r>
      <w:r w:rsidR="001D1C5C">
        <w:t xml:space="preserve"> annoncée comme difficilement acceptable par les soviétiques</w:t>
      </w:r>
      <w:r w:rsidR="00754087">
        <w:t>,</w:t>
      </w:r>
      <w:r>
        <w:t xml:space="preserve"> </w:t>
      </w:r>
      <w:r w:rsidR="00D17609">
        <w:t xml:space="preserve">est qualifiée par la délégation japonaise de </w:t>
      </w:r>
      <w:r>
        <w:t>« </w:t>
      </w:r>
      <w:proofErr w:type="spellStart"/>
      <w:r w:rsidRPr="00C64EBE">
        <w:rPr>
          <w:i/>
          <w:iCs/>
        </w:rPr>
        <w:t>such</w:t>
      </w:r>
      <w:proofErr w:type="spellEnd"/>
      <w:r w:rsidRPr="00C64EBE">
        <w:rPr>
          <w:i/>
          <w:iCs/>
        </w:rPr>
        <w:t xml:space="preserve"> </w:t>
      </w:r>
      <w:proofErr w:type="spellStart"/>
      <w:r w:rsidRPr="00C64EBE">
        <w:rPr>
          <w:i/>
          <w:iCs/>
        </w:rPr>
        <w:t>advanced</w:t>
      </w:r>
      <w:proofErr w:type="spellEnd"/>
      <w:r w:rsidRPr="00C64EBE">
        <w:rPr>
          <w:i/>
          <w:iCs/>
        </w:rPr>
        <w:t xml:space="preserve"> and progressive </w:t>
      </w:r>
      <w:proofErr w:type="spellStart"/>
      <w:r w:rsidRPr="00C64EBE">
        <w:rPr>
          <w:i/>
          <w:iCs/>
        </w:rPr>
        <w:t>measure</w:t>
      </w:r>
      <w:proofErr w:type="spellEnd"/>
      <w:r>
        <w:t> »</w:t>
      </w:r>
      <w:r w:rsidR="00F92D55">
        <w:t>,</w:t>
      </w:r>
      <w:r>
        <w:t xml:space="preserve"> parmi d</w:t>
      </w:r>
      <w:r w:rsidR="00C66A34">
        <w:t>’</w:t>
      </w:r>
      <w:r>
        <w:t>autres</w:t>
      </w:r>
      <w:r w:rsidR="00F92D55">
        <w:t>,</w:t>
      </w:r>
      <w:r>
        <w:t xml:space="preserve"> dans son intervention de clôture</w:t>
      </w:r>
      <w:r w:rsidR="00A238AB">
        <w:rPr>
          <w:rStyle w:val="Appelnotedebasdep"/>
        </w:rPr>
        <w:footnoteReference w:id="32"/>
      </w:r>
      <w:r w:rsidR="00A238AB">
        <w:t>.</w:t>
      </w:r>
      <w:r w:rsidR="004810CE">
        <w:t xml:space="preserve"> </w:t>
      </w:r>
    </w:p>
    <w:p w14:paraId="2EC836E8" w14:textId="77777777" w:rsidR="00ED40DF" w:rsidRDefault="00ED40DF" w:rsidP="00DB16E0">
      <w:pPr>
        <w:spacing w:after="0" w:line="240" w:lineRule="auto"/>
      </w:pPr>
    </w:p>
    <w:p w14:paraId="51EF1ED3" w14:textId="77777777" w:rsidR="00AF3F7D" w:rsidRDefault="004810CE" w:rsidP="00DB16E0">
      <w:pPr>
        <w:spacing w:after="0" w:line="240" w:lineRule="auto"/>
      </w:pPr>
      <w:r>
        <w:t>Le contexte géopolitique</w:t>
      </w:r>
      <w:r w:rsidR="001D1C5C">
        <w:t xml:space="preserve"> montre donc</w:t>
      </w:r>
      <w:r>
        <w:t xml:space="preserve"> que l</w:t>
      </w:r>
      <w:r w:rsidR="00C66A34">
        <w:t>’</w:t>
      </w:r>
      <w:r>
        <w:t>adoption de cet article 7 n</w:t>
      </w:r>
      <w:r w:rsidR="00C66A34">
        <w:t>’</w:t>
      </w:r>
      <w:r>
        <w:t>allait pas de soi</w:t>
      </w:r>
      <w:r w:rsidR="001D1C5C">
        <w:t>, d</w:t>
      </w:r>
      <w:r w:rsidR="00C66A34">
        <w:t>’</w:t>
      </w:r>
      <w:r w:rsidR="001D1C5C">
        <w:t>autant que l</w:t>
      </w:r>
      <w:r>
        <w:t>es États-Unis avaient</w:t>
      </w:r>
      <w:r w:rsidR="001D1C5C">
        <w:t xml:space="preserve">, </w:t>
      </w:r>
      <w:r>
        <w:t>en 1958, proposé</w:t>
      </w:r>
      <w:r w:rsidR="00F4497C">
        <w:t xml:space="preserve"> vainement</w:t>
      </w:r>
      <w:r>
        <w:t xml:space="preserve"> l</w:t>
      </w:r>
      <w:r w:rsidR="00C66A34">
        <w:t>’</w:t>
      </w:r>
      <w:r>
        <w:t>établissement d</w:t>
      </w:r>
      <w:r w:rsidR="00C66A34">
        <w:t>’</w:t>
      </w:r>
      <w:r>
        <w:t>un régime d</w:t>
      </w:r>
      <w:r w:rsidR="00C66A34">
        <w:t>’</w:t>
      </w:r>
      <w:r>
        <w:t>inspection similair</w:t>
      </w:r>
      <w:r w:rsidR="00F4497C">
        <w:t>e en Arctique.</w:t>
      </w:r>
      <w:r>
        <w:t xml:space="preserve"> </w:t>
      </w:r>
      <w:r w:rsidR="00F4497C">
        <w:t>C</w:t>
      </w:r>
      <w:r>
        <w:t>ette proposition a</w:t>
      </w:r>
      <w:r w:rsidR="00ED40DF">
        <w:t>vait alors</w:t>
      </w:r>
      <w:r>
        <w:t xml:space="preserve"> été rejetée par un veto soviétique</w:t>
      </w:r>
      <w:bookmarkStart w:id="8" w:name="_Ref528590897"/>
      <w:r>
        <w:rPr>
          <w:rStyle w:val="Appelnotedebasdep"/>
        </w:rPr>
        <w:footnoteReference w:id="33"/>
      </w:r>
      <w:bookmarkEnd w:id="8"/>
      <w:r>
        <w:t>.</w:t>
      </w:r>
      <w:r w:rsidR="00F4497C">
        <w:t xml:space="preserve"> </w:t>
      </w:r>
      <w:r w:rsidR="00ED40DF">
        <w:t>C</w:t>
      </w:r>
      <w:r w:rsidR="00C66A34">
        <w:t>’</w:t>
      </w:r>
      <w:r w:rsidR="00ED40DF">
        <w:t>est la raison pour laquelle le régime de contrôle international de l</w:t>
      </w:r>
      <w:r w:rsidR="00C66A34">
        <w:t>’</w:t>
      </w:r>
      <w:r w:rsidR="00ED40DF">
        <w:t>Antarctique est unanimement considéré comme un précédent devant servir de modèle pour d</w:t>
      </w:r>
      <w:r w:rsidR="00C66A34">
        <w:t>’</w:t>
      </w:r>
      <w:r w:rsidR="00ED40DF">
        <w:t>autres zones.</w:t>
      </w:r>
      <w:r w:rsidR="006D6DC4">
        <w:t xml:space="preserve"> </w:t>
      </w:r>
    </w:p>
    <w:p w14:paraId="5D7E5580" w14:textId="77777777" w:rsidR="00E03258" w:rsidRPr="003C11C0" w:rsidRDefault="00E03258" w:rsidP="00DB16E0">
      <w:pPr>
        <w:spacing w:after="0" w:line="240" w:lineRule="auto"/>
      </w:pPr>
    </w:p>
    <w:p w14:paraId="52A2E8F7" w14:textId="19E38E3B" w:rsidR="003C11C0" w:rsidRDefault="003C11C0" w:rsidP="00DB16E0">
      <w:pPr>
        <w:spacing w:after="0" w:line="240" w:lineRule="auto"/>
        <w:ind w:firstLine="708"/>
        <w:rPr>
          <w:b/>
        </w:rPr>
      </w:pPr>
      <w:r w:rsidRPr="00091A8A">
        <w:rPr>
          <w:b/>
        </w:rPr>
        <w:t>B</w:t>
      </w:r>
      <w:r w:rsidR="00F72171">
        <w:rPr>
          <w:b/>
        </w:rPr>
        <w:t>.</w:t>
      </w:r>
      <w:r w:rsidRPr="00091A8A">
        <w:rPr>
          <w:b/>
        </w:rPr>
        <w:t xml:space="preserve"> </w:t>
      </w:r>
      <w:r w:rsidR="001C54BA">
        <w:rPr>
          <w:b/>
        </w:rPr>
        <w:t>L</w:t>
      </w:r>
      <w:r w:rsidR="00A069ED">
        <w:rPr>
          <w:b/>
        </w:rPr>
        <w:t xml:space="preserve">’exportation </w:t>
      </w:r>
      <w:r w:rsidR="001C54BA">
        <w:rPr>
          <w:b/>
        </w:rPr>
        <w:t>réussie du</w:t>
      </w:r>
      <w:r w:rsidRPr="00091A8A">
        <w:rPr>
          <w:b/>
        </w:rPr>
        <w:t xml:space="preserve"> modèle </w:t>
      </w:r>
      <w:r w:rsidR="00A143D5">
        <w:rPr>
          <w:b/>
        </w:rPr>
        <w:t>d</w:t>
      </w:r>
      <w:r w:rsidR="00C66A34">
        <w:rPr>
          <w:b/>
        </w:rPr>
        <w:t>’</w:t>
      </w:r>
      <w:r w:rsidR="00A143D5">
        <w:rPr>
          <w:b/>
        </w:rPr>
        <w:t xml:space="preserve">inspection </w:t>
      </w:r>
      <w:r w:rsidRPr="00091A8A">
        <w:rPr>
          <w:b/>
        </w:rPr>
        <w:t>Antarctique</w:t>
      </w:r>
    </w:p>
    <w:p w14:paraId="4ED020EC" w14:textId="77777777" w:rsidR="006B27D3" w:rsidRDefault="006B27D3" w:rsidP="00DB16E0">
      <w:pPr>
        <w:spacing w:after="0" w:line="240" w:lineRule="auto"/>
        <w:rPr>
          <w:b/>
        </w:rPr>
      </w:pPr>
    </w:p>
    <w:p w14:paraId="218BEBBB" w14:textId="64667FC4" w:rsidR="00AF3F7D" w:rsidRDefault="006D6DC4" w:rsidP="00DB16E0">
      <w:pPr>
        <w:spacing w:after="0" w:line="240" w:lineRule="auto"/>
      </w:pPr>
      <w:r>
        <w:t>Tout d</w:t>
      </w:r>
      <w:r w:rsidR="00C66A34">
        <w:t>’</w:t>
      </w:r>
      <w:r>
        <w:t>abord,</w:t>
      </w:r>
      <w:r w:rsidR="00AF3F7D">
        <w:t xml:space="preserve"> le régime d</w:t>
      </w:r>
      <w:r w:rsidR="00C66A34">
        <w:t>’</w:t>
      </w:r>
      <w:r w:rsidR="00AF3F7D">
        <w:t>inspection Antarctique a été ré</w:t>
      </w:r>
      <w:r w:rsidR="00A069ED">
        <w:t xml:space="preserve">utilisé au sein même </w:t>
      </w:r>
      <w:r>
        <w:t>du système Antarctique, bien que l</w:t>
      </w:r>
      <w:r w:rsidR="00C66A34">
        <w:t>’</w:t>
      </w:r>
      <w:r>
        <w:t>ensemble des conventions et protocoles de ce système ne l</w:t>
      </w:r>
      <w:r w:rsidR="00C66A34">
        <w:t>’</w:t>
      </w:r>
      <w:r>
        <w:t>adopte pas.</w:t>
      </w:r>
      <w:r w:rsidR="00AF3F7D" w:rsidRPr="003C11C0">
        <w:t xml:space="preserve"> </w:t>
      </w:r>
      <w:r>
        <w:t>Ainsi, la</w:t>
      </w:r>
      <w:r w:rsidRPr="006D6DC4">
        <w:t xml:space="preserve"> </w:t>
      </w:r>
      <w:r w:rsidRPr="003C11C0">
        <w:t>Convention pour la protection des phoques de l</w:t>
      </w:r>
      <w:r w:rsidR="00C66A34">
        <w:t>’</w:t>
      </w:r>
      <w:r w:rsidRPr="003C11C0">
        <w:t>Antarctique de 1972</w:t>
      </w:r>
      <w:r>
        <w:t xml:space="preserve"> ne fait que </w:t>
      </w:r>
      <w:r w:rsidRPr="003C11C0">
        <w:t xml:space="preserve">préciser que les États </w:t>
      </w:r>
      <w:r w:rsidRPr="006145D7">
        <w:rPr>
          <w:i/>
        </w:rPr>
        <w:t>pourront décider</w:t>
      </w:r>
      <w:r w:rsidRPr="003C11C0">
        <w:t xml:space="preserve"> d</w:t>
      </w:r>
      <w:r w:rsidR="00C66A34">
        <w:t>’</w:t>
      </w:r>
      <w:r w:rsidRPr="003C11C0">
        <w:t>instaurer un tel mécanisme</w:t>
      </w:r>
      <w:r w:rsidRPr="003C11C0">
        <w:rPr>
          <w:rStyle w:val="Appelnotedebasdep"/>
        </w:rPr>
        <w:footnoteReference w:id="34"/>
      </w:r>
      <w:r>
        <w:t xml:space="preserve">, tandis que la Convention dite de Canberra de 1980 prévoit que </w:t>
      </w:r>
      <w:r w:rsidRPr="003C11C0">
        <w:t>la Commission pour la conservation de la faune et la flore marines de l</w:t>
      </w:r>
      <w:r w:rsidR="00C66A34">
        <w:t>’</w:t>
      </w:r>
      <w:r w:rsidRPr="003C11C0">
        <w:t>Antarctique</w:t>
      </w:r>
      <w:r>
        <w:t xml:space="preserve"> devra organiser un système d</w:t>
      </w:r>
      <w:r w:rsidR="00C66A34">
        <w:t>’</w:t>
      </w:r>
      <w:r>
        <w:t>observation et de contrôle prévoyant des inspections de navires</w:t>
      </w:r>
      <w:bookmarkStart w:id="9" w:name="_Ref523051465"/>
      <w:r w:rsidRPr="003C11C0">
        <w:rPr>
          <w:rStyle w:val="Appelnotedebasdep"/>
        </w:rPr>
        <w:footnoteReference w:id="35"/>
      </w:r>
      <w:bookmarkEnd w:id="9"/>
      <w:r>
        <w:t>. En revanche, le Protocole de Madrid de 1991 adopte pleinement le système de l</w:t>
      </w:r>
      <w:r w:rsidR="00C66A34">
        <w:t>’</w:t>
      </w:r>
      <w:r>
        <w:t>inspection</w:t>
      </w:r>
      <w:bookmarkStart w:id="10" w:name="_Ref523051370"/>
      <w:r w:rsidRPr="003C11C0">
        <w:rPr>
          <w:rStyle w:val="Appelnotedebasdep"/>
        </w:rPr>
        <w:footnoteReference w:id="36"/>
      </w:r>
      <w:bookmarkEnd w:id="10"/>
      <w:r>
        <w:t>.</w:t>
      </w:r>
    </w:p>
    <w:p w14:paraId="0FDF314A" w14:textId="77777777" w:rsidR="006D6DC4" w:rsidRDefault="006D6DC4" w:rsidP="00DB16E0">
      <w:pPr>
        <w:spacing w:after="0" w:line="240" w:lineRule="auto"/>
      </w:pPr>
    </w:p>
    <w:p w14:paraId="00729AE2" w14:textId="77777777" w:rsidR="006D6DC4" w:rsidRDefault="006D6DC4" w:rsidP="006D6DC4">
      <w:pPr>
        <w:spacing w:after="0" w:line="240" w:lineRule="auto"/>
        <w:rPr>
          <w:bCs/>
        </w:rPr>
      </w:pPr>
      <w:r>
        <w:lastRenderedPageBreak/>
        <w:t>C</w:t>
      </w:r>
      <w:r w:rsidR="00C66A34">
        <w:t>’</w:t>
      </w:r>
      <w:r>
        <w:t>est surtout au-delà du Système Antarctique que le régime d</w:t>
      </w:r>
      <w:r w:rsidR="00C66A34">
        <w:t>’</w:t>
      </w:r>
      <w:r>
        <w:t>inspection appelé des vœux américains a rencontré le plus grand succès. Comme le souligne dès 1959 la presse</w:t>
      </w:r>
      <w:r w:rsidR="00F73351">
        <w:t xml:space="preserve"> à propos du Traité de la même année</w:t>
      </w:r>
      <w:r>
        <w:t xml:space="preserve">, </w:t>
      </w:r>
      <w:r>
        <w:rPr>
          <w:bCs/>
        </w:rPr>
        <w:t>« </w:t>
      </w:r>
      <w:r w:rsidRPr="006D6DC4">
        <w:rPr>
          <w:bCs/>
          <w:i/>
          <w:iCs/>
        </w:rPr>
        <w:t>un premier système international d</w:t>
      </w:r>
      <w:r w:rsidR="00C66A34">
        <w:rPr>
          <w:bCs/>
          <w:i/>
          <w:iCs/>
        </w:rPr>
        <w:t>’</w:t>
      </w:r>
      <w:r w:rsidRPr="006D6DC4">
        <w:rPr>
          <w:bCs/>
          <w:i/>
          <w:iCs/>
        </w:rPr>
        <w:t>inspection et de contrôle a été approuvé : n</w:t>
      </w:r>
      <w:r w:rsidR="00C66A34">
        <w:rPr>
          <w:bCs/>
          <w:i/>
          <w:iCs/>
        </w:rPr>
        <w:t>’</w:t>
      </w:r>
      <w:r w:rsidRPr="006D6DC4">
        <w:rPr>
          <w:bCs/>
          <w:i/>
          <w:iCs/>
        </w:rPr>
        <w:t>importe lequel des douze États signataires du traité peut envoyer des observateurs en tout point de la zone couverte par l</w:t>
      </w:r>
      <w:r w:rsidR="00C66A34">
        <w:rPr>
          <w:bCs/>
          <w:i/>
          <w:iCs/>
        </w:rPr>
        <w:t>’</w:t>
      </w:r>
      <w:r w:rsidRPr="006D6DC4">
        <w:rPr>
          <w:bCs/>
          <w:i/>
          <w:iCs/>
        </w:rPr>
        <w:t>accord pour en vérifier la stricte observation. Bien que la région pour laquelle ce traité a été signé soit encore des plus déshéritées, l</w:t>
      </w:r>
      <w:r w:rsidR="00C66A34">
        <w:rPr>
          <w:bCs/>
          <w:i/>
          <w:iCs/>
        </w:rPr>
        <w:t>’</w:t>
      </w:r>
      <w:r w:rsidRPr="006D6DC4">
        <w:rPr>
          <w:bCs/>
          <w:i/>
          <w:iCs/>
        </w:rPr>
        <w:t>unanimité avec laquelle les douze participants ont ratifié l</w:t>
      </w:r>
      <w:r w:rsidR="00C66A34">
        <w:rPr>
          <w:bCs/>
          <w:i/>
          <w:iCs/>
        </w:rPr>
        <w:t>’</w:t>
      </w:r>
      <w:r w:rsidRPr="006D6DC4">
        <w:rPr>
          <w:bCs/>
          <w:i/>
          <w:iCs/>
        </w:rPr>
        <w:t>établissement d</w:t>
      </w:r>
      <w:r w:rsidR="00C66A34">
        <w:rPr>
          <w:bCs/>
          <w:i/>
          <w:iCs/>
        </w:rPr>
        <w:t>’</w:t>
      </w:r>
      <w:r w:rsidRPr="006D6DC4">
        <w:rPr>
          <w:bCs/>
          <w:i/>
          <w:iCs/>
        </w:rPr>
        <w:t>un système de contrôle effectif du désarmement constitue un précédent encourageant et utile qui pourrait servir de modèle pour d</w:t>
      </w:r>
      <w:r w:rsidR="00C66A34">
        <w:rPr>
          <w:bCs/>
          <w:i/>
          <w:iCs/>
        </w:rPr>
        <w:t>’</w:t>
      </w:r>
      <w:r w:rsidRPr="006D6DC4">
        <w:rPr>
          <w:bCs/>
          <w:i/>
          <w:iCs/>
        </w:rPr>
        <w:t>autres régions de la Terre ou pour les futures conquêtes extra-terrestres de l</w:t>
      </w:r>
      <w:r w:rsidR="00C66A34">
        <w:rPr>
          <w:bCs/>
          <w:i/>
          <w:iCs/>
        </w:rPr>
        <w:t>’</w:t>
      </w:r>
      <w:r w:rsidRPr="006D6DC4">
        <w:rPr>
          <w:bCs/>
          <w:i/>
          <w:iCs/>
        </w:rPr>
        <w:t>homme</w:t>
      </w:r>
      <w:r>
        <w:rPr>
          <w:bCs/>
        </w:rPr>
        <w:t> »</w:t>
      </w:r>
      <w:r>
        <w:rPr>
          <w:rStyle w:val="Appelnotedebasdep"/>
          <w:bCs/>
        </w:rPr>
        <w:footnoteReference w:id="37"/>
      </w:r>
      <w:r>
        <w:rPr>
          <w:bCs/>
        </w:rPr>
        <w:t>.</w:t>
      </w:r>
      <w:r w:rsidR="00F73351">
        <w:rPr>
          <w:bCs/>
        </w:rPr>
        <w:t xml:space="preserve"> Tel a effectivement été le cas.</w:t>
      </w:r>
    </w:p>
    <w:p w14:paraId="47AC9004" w14:textId="77777777" w:rsidR="00F73351" w:rsidRDefault="00F73351" w:rsidP="006D6DC4">
      <w:pPr>
        <w:spacing w:after="0" w:line="240" w:lineRule="auto"/>
        <w:rPr>
          <w:bCs/>
        </w:rPr>
      </w:pPr>
    </w:p>
    <w:p w14:paraId="421DC0F9" w14:textId="77777777" w:rsidR="00F73351" w:rsidRDefault="00F73351" w:rsidP="00F73351">
      <w:pPr>
        <w:spacing w:after="0" w:line="240" w:lineRule="auto"/>
      </w:pPr>
      <w:r>
        <w:t>Le</w:t>
      </w:r>
      <w:r w:rsidRPr="003C11C0">
        <w:t xml:space="preserve"> système d</w:t>
      </w:r>
      <w:r w:rsidR="00C66A34">
        <w:t>’</w:t>
      </w:r>
      <w:r w:rsidRPr="003C11C0">
        <w:t xml:space="preserve">inspection de 1959 est </w:t>
      </w:r>
      <w:r>
        <w:t>ainsi</w:t>
      </w:r>
      <w:r w:rsidRPr="003C11C0">
        <w:t xml:space="preserve"> considéré comme un « précédent » en matière de contrôle des armements</w:t>
      </w:r>
      <w:r w:rsidRPr="003C11C0">
        <w:rPr>
          <w:rStyle w:val="Appelnotedebasdep"/>
        </w:rPr>
        <w:footnoteReference w:id="38"/>
      </w:r>
      <w:r>
        <w:t>, conformément aux prédictions et prétentions américaines</w:t>
      </w:r>
      <w:r>
        <w:rPr>
          <w:rStyle w:val="Appelnotedebasdep"/>
        </w:rPr>
        <w:footnoteReference w:id="39"/>
      </w:r>
      <w:r w:rsidR="003C49F7">
        <w:t> : « </w:t>
      </w:r>
      <w:r w:rsidR="003C49F7" w:rsidRPr="00CB6F78">
        <w:rPr>
          <w:i/>
          <w:iCs/>
        </w:rPr>
        <w:t>[o]n fait remarquer dans les milieux diplomatiques de Washington que l</w:t>
      </w:r>
      <w:r w:rsidR="00C66A34">
        <w:rPr>
          <w:i/>
          <w:iCs/>
        </w:rPr>
        <w:t>’</w:t>
      </w:r>
      <w:r w:rsidR="003C49F7" w:rsidRPr="00CB6F78">
        <w:rPr>
          <w:i/>
          <w:iCs/>
        </w:rPr>
        <w:t>acceptation de l</w:t>
      </w:r>
      <w:r w:rsidR="00C66A34">
        <w:rPr>
          <w:i/>
          <w:iCs/>
        </w:rPr>
        <w:t>’</w:t>
      </w:r>
      <w:r w:rsidR="003C49F7" w:rsidRPr="00CB6F78">
        <w:rPr>
          <w:i/>
          <w:iCs/>
        </w:rPr>
        <w:t>inspection et de l</w:t>
      </w:r>
      <w:r w:rsidR="00C66A34">
        <w:rPr>
          <w:i/>
          <w:iCs/>
        </w:rPr>
        <w:t>’</w:t>
      </w:r>
      <w:r w:rsidR="003C49F7" w:rsidRPr="00CB6F78">
        <w:rPr>
          <w:i/>
          <w:iCs/>
        </w:rPr>
        <w:t>observation dans l</w:t>
      </w:r>
      <w:r w:rsidR="00C66A34">
        <w:rPr>
          <w:i/>
          <w:iCs/>
        </w:rPr>
        <w:t>’</w:t>
      </w:r>
      <w:r w:rsidR="003C49F7" w:rsidRPr="00CB6F78">
        <w:rPr>
          <w:i/>
          <w:iCs/>
        </w:rPr>
        <w:t>Antarctique par les États-Unis et l</w:t>
      </w:r>
      <w:r w:rsidR="00C66A34">
        <w:rPr>
          <w:i/>
          <w:iCs/>
        </w:rPr>
        <w:t>’</w:t>
      </w:r>
      <w:r w:rsidR="003C49F7" w:rsidRPr="00CB6F78">
        <w:rPr>
          <w:i/>
          <w:iCs/>
        </w:rPr>
        <w:t>U.R.S.S. est de bon augure pour un accord d</w:t>
      </w:r>
      <w:r w:rsidR="00C66A34">
        <w:rPr>
          <w:i/>
          <w:iCs/>
        </w:rPr>
        <w:t>’</w:t>
      </w:r>
      <w:r w:rsidR="003C49F7" w:rsidRPr="00CB6F78">
        <w:rPr>
          <w:i/>
          <w:iCs/>
        </w:rPr>
        <w:t>une portée plus étendue sur le désarmement entre les grandes puissances</w:t>
      </w:r>
      <w:r w:rsidR="003C49F7">
        <w:t> »</w:t>
      </w:r>
      <w:r w:rsidR="003C49F7">
        <w:rPr>
          <w:rStyle w:val="Appelnotedebasdep"/>
        </w:rPr>
        <w:footnoteReference w:id="40"/>
      </w:r>
      <w:r w:rsidR="003C49F7">
        <w:t>. En la matière, l</w:t>
      </w:r>
      <w:r w:rsidR="00C66A34">
        <w:t>’</w:t>
      </w:r>
      <w:r w:rsidR="003C49F7">
        <w:t>inspection Antarctique peut être considérée comme le régime fondateur d</w:t>
      </w:r>
      <w:r w:rsidR="00C66A34">
        <w:t>’</w:t>
      </w:r>
      <w:r w:rsidR="003C49F7">
        <w:t>un mécanisme au succès connu, et qui a lui-même subi des évolutions et généré de nouveaux modèles</w:t>
      </w:r>
      <w:r w:rsidR="002841A4">
        <w:t>. L</w:t>
      </w:r>
      <w:r w:rsidR="00C66A34">
        <w:t>’</w:t>
      </w:r>
      <w:r w:rsidR="002841A4">
        <w:t>on</w:t>
      </w:r>
      <w:r w:rsidR="002841A4" w:rsidRPr="002841A4">
        <w:t xml:space="preserve"> peut</w:t>
      </w:r>
      <w:r w:rsidR="002841A4">
        <w:t xml:space="preserve"> en effet</w:t>
      </w:r>
      <w:r w:rsidR="002841A4" w:rsidRPr="002841A4">
        <w:t xml:space="preserve"> </w:t>
      </w:r>
      <w:r w:rsidR="002841A4">
        <w:t>relever de nombreuses</w:t>
      </w:r>
      <w:r w:rsidR="002841A4" w:rsidRPr="002841A4">
        <w:t xml:space="preserve"> utilisations universelles et régionales de l</w:t>
      </w:r>
      <w:r w:rsidR="00C66A34">
        <w:t>’</w:t>
      </w:r>
      <w:r w:rsidR="002841A4" w:rsidRPr="002841A4">
        <w:t>inspection</w:t>
      </w:r>
      <w:r w:rsidR="002841A4">
        <w:t xml:space="preserve"> liées au désarmement</w:t>
      </w:r>
      <w:r w:rsidR="002841A4" w:rsidRPr="002841A4">
        <w:t>, toutes inspirées d</w:t>
      </w:r>
      <w:r w:rsidR="00C66A34">
        <w:t>’</w:t>
      </w:r>
      <w:r w:rsidR="002841A4" w:rsidRPr="002841A4">
        <w:t>une manière ou d</w:t>
      </w:r>
      <w:r w:rsidR="00C66A34">
        <w:t>’</w:t>
      </w:r>
      <w:r w:rsidR="002841A4" w:rsidRPr="002841A4">
        <w:t>une autre du régime Antarctique. Au niveau universel, le Conseil de sécurité a pu imposer à plusieurs reprises ce système</w:t>
      </w:r>
      <w:r w:rsidR="002841A4">
        <w:rPr>
          <w:rStyle w:val="Appelnotedebasdep"/>
        </w:rPr>
        <w:footnoteReference w:id="41"/>
      </w:r>
      <w:r w:rsidR="002841A4" w:rsidRPr="002841A4">
        <w:t xml:space="preserve"> ; plus célèbres sont les conventions de l</w:t>
      </w:r>
      <w:r w:rsidR="00C66A34">
        <w:t>’</w:t>
      </w:r>
      <w:r w:rsidR="00D52710">
        <w:t>Agence internationale pour l</w:t>
      </w:r>
      <w:r w:rsidR="00C66A34">
        <w:t>’</w:t>
      </w:r>
      <w:r w:rsidR="00D52710">
        <w:t>énergie atomique (AIEA)</w:t>
      </w:r>
      <w:r w:rsidR="00FA4D67">
        <w:rPr>
          <w:rStyle w:val="Appelnotedebasdep"/>
        </w:rPr>
        <w:footnoteReference w:id="42"/>
      </w:r>
      <w:r w:rsidR="002841A4" w:rsidRPr="002841A4">
        <w:t xml:space="preserve"> et de l</w:t>
      </w:r>
      <w:r w:rsidR="00C66A34">
        <w:t>’</w:t>
      </w:r>
      <w:r w:rsidR="00D52710">
        <w:t>Organisation internationale pour l</w:t>
      </w:r>
      <w:r w:rsidR="00C66A34">
        <w:t>’</w:t>
      </w:r>
      <w:r w:rsidR="00D52710">
        <w:t>interdiction des armes chimiques (</w:t>
      </w:r>
      <w:r w:rsidR="002841A4" w:rsidRPr="002841A4">
        <w:t>OIA</w:t>
      </w:r>
      <w:r w:rsidR="00D52710">
        <w:t>C)</w:t>
      </w:r>
      <w:r w:rsidR="00D52710">
        <w:rPr>
          <w:rStyle w:val="Appelnotedebasdep"/>
        </w:rPr>
        <w:footnoteReference w:id="43"/>
      </w:r>
      <w:r w:rsidR="002841A4" w:rsidRPr="002841A4">
        <w:t xml:space="preserve"> prévoyant </w:t>
      </w:r>
      <w:r w:rsidR="00FA4D67">
        <w:t>plusieurs types d</w:t>
      </w:r>
      <w:r w:rsidR="00C66A34">
        <w:t>’</w:t>
      </w:r>
      <w:r w:rsidR="002841A4" w:rsidRPr="002841A4">
        <w:t>inspectio</w:t>
      </w:r>
      <w:r w:rsidR="00D52710">
        <w:t>ns. D</w:t>
      </w:r>
      <w:r w:rsidR="00C66A34">
        <w:t>’</w:t>
      </w:r>
      <w:r w:rsidR="00D52710">
        <w:t>ailleurs, « </w:t>
      </w:r>
      <w:r w:rsidR="00D52710" w:rsidRPr="00CB6F78">
        <w:rPr>
          <w:i/>
          <w:iCs/>
        </w:rPr>
        <w:t>les inspections de l</w:t>
      </w:r>
      <w:r w:rsidR="00C66A34">
        <w:rPr>
          <w:i/>
          <w:iCs/>
        </w:rPr>
        <w:t>’</w:t>
      </w:r>
      <w:r w:rsidR="00D52710" w:rsidRPr="00CB6F78">
        <w:rPr>
          <w:i/>
          <w:iCs/>
        </w:rPr>
        <w:t>AIEA ont dessiné des schémas qui ont été repris pour les armes chimiques ou biologiques, et qui pourraient être étendus à d</w:t>
      </w:r>
      <w:r w:rsidR="00C66A34">
        <w:rPr>
          <w:i/>
          <w:iCs/>
        </w:rPr>
        <w:t>’</w:t>
      </w:r>
      <w:r w:rsidR="00D52710" w:rsidRPr="00CB6F78">
        <w:rPr>
          <w:i/>
          <w:iCs/>
        </w:rPr>
        <w:t>autres secteurs</w:t>
      </w:r>
      <w:r w:rsidR="00D52710">
        <w:t> »</w:t>
      </w:r>
      <w:bookmarkStart w:id="11" w:name="_Ref24995287"/>
      <w:r w:rsidR="00D52710">
        <w:rPr>
          <w:rStyle w:val="Appelnotedebasdep"/>
        </w:rPr>
        <w:footnoteReference w:id="44"/>
      </w:r>
      <w:bookmarkEnd w:id="11"/>
      <w:r w:rsidR="00D52710">
        <w:t>.</w:t>
      </w:r>
      <w:r w:rsidR="00CB6F78">
        <w:t xml:space="preserve"> </w:t>
      </w:r>
      <w:r w:rsidR="002841A4" w:rsidRPr="002841A4">
        <w:t>Au niveau régional, le Traité sur les forces conventionnelles en Europe est notamment complété par un protocole sur l</w:t>
      </w:r>
      <w:r w:rsidR="00C66A34">
        <w:t>’</w:t>
      </w:r>
      <w:r w:rsidR="002841A4" w:rsidRPr="002841A4">
        <w:t>inspection</w:t>
      </w:r>
      <w:r w:rsidR="00964562">
        <w:rPr>
          <w:rStyle w:val="Appelnotedebasdep"/>
        </w:rPr>
        <w:footnoteReference w:id="45"/>
      </w:r>
      <w:r w:rsidR="002841A4" w:rsidRPr="002841A4">
        <w:t xml:space="preserve">. </w:t>
      </w:r>
    </w:p>
    <w:p w14:paraId="0A80D565" w14:textId="77777777" w:rsidR="00F72171" w:rsidRDefault="00F72171" w:rsidP="00DB16E0">
      <w:pPr>
        <w:spacing w:after="0" w:line="240" w:lineRule="auto"/>
      </w:pPr>
    </w:p>
    <w:p w14:paraId="0B873B5E" w14:textId="12AC8E3B" w:rsidR="00754087" w:rsidRDefault="00010920" w:rsidP="00754087">
      <w:pPr>
        <w:spacing w:after="0" w:line="240" w:lineRule="auto"/>
      </w:pPr>
      <w:r>
        <w:lastRenderedPageBreak/>
        <w:t xml:space="preserve">Au-delà du désarmement </w:t>
      </w:r>
      <w:r>
        <w:rPr>
          <w:i/>
          <w:iCs/>
        </w:rPr>
        <w:t>per se</w:t>
      </w:r>
      <w:r w:rsidR="00AF3F7D">
        <w:t>, le modèle d</w:t>
      </w:r>
      <w:r w:rsidR="00C66A34">
        <w:t>’</w:t>
      </w:r>
      <w:r w:rsidR="00AF3F7D">
        <w:t>inspection a surtout été réutilisé pour négocier</w:t>
      </w:r>
      <w:r>
        <w:t xml:space="preserve"> l</w:t>
      </w:r>
      <w:r w:rsidR="00C66A34">
        <w:t>’</w:t>
      </w:r>
      <w:r>
        <w:t xml:space="preserve">une </w:t>
      </w:r>
      <w:r w:rsidR="00AF3F7D">
        <w:t>des modalités de l</w:t>
      </w:r>
      <w:r w:rsidR="00C66A34">
        <w:t>’</w:t>
      </w:r>
      <w:r w:rsidR="00AF3F7D">
        <w:t>un des plus importants tournants de l</w:t>
      </w:r>
      <w:r w:rsidR="00C66A34">
        <w:t>’</w:t>
      </w:r>
      <w:r w:rsidR="00AF3F7D">
        <w:t>humanité : l</w:t>
      </w:r>
      <w:r w:rsidR="00C66A34">
        <w:t>’</w:t>
      </w:r>
      <w:r w:rsidR="00AF3F7D">
        <w:t>exploration spatiale.</w:t>
      </w:r>
      <w:r w:rsidR="00DE25E0">
        <w:t xml:space="preserve"> </w:t>
      </w:r>
      <w:r w:rsidR="00034631" w:rsidRPr="00034631">
        <w:t>Dès l</w:t>
      </w:r>
      <w:r w:rsidR="00C66A34">
        <w:t>’</w:t>
      </w:r>
      <w:r w:rsidR="00034631" w:rsidRPr="00034631">
        <w:t>annonce</w:t>
      </w:r>
      <w:r w:rsidR="00034631">
        <w:t>, fin des années 1960,</w:t>
      </w:r>
      <w:r w:rsidR="00034631" w:rsidRPr="00034631">
        <w:t xml:space="preserve"> de la volonté</w:t>
      </w:r>
      <w:r w:rsidR="00034631">
        <w:t xml:space="preserve"> américaine</w:t>
      </w:r>
      <w:r w:rsidR="00034631" w:rsidRPr="00034631">
        <w:t xml:space="preserve"> de réunir les grandes puissances autour d</w:t>
      </w:r>
      <w:r w:rsidR="00C66A34">
        <w:t>’</w:t>
      </w:r>
      <w:r w:rsidR="00034631" w:rsidRPr="00034631">
        <w:t>un texte destiné à régir la conquête spatiale, le Président</w:t>
      </w:r>
      <w:r w:rsidR="00034631">
        <w:t xml:space="preserve"> </w:t>
      </w:r>
      <w:r w:rsidR="00034631" w:rsidRPr="00034631">
        <w:t xml:space="preserve">Johnson indique que le projet </w:t>
      </w:r>
      <w:r w:rsidR="00034631">
        <w:t>« </w:t>
      </w:r>
      <w:r w:rsidR="00034631" w:rsidRPr="00CB6F78">
        <w:rPr>
          <w:i/>
          <w:iCs/>
        </w:rPr>
        <w:t>présenterait des analogies avec le traité de neutralisation de l</w:t>
      </w:r>
      <w:r w:rsidR="00C66A34">
        <w:rPr>
          <w:i/>
          <w:iCs/>
        </w:rPr>
        <w:t>’</w:t>
      </w:r>
      <w:r w:rsidR="00034631" w:rsidRPr="00CB6F78">
        <w:rPr>
          <w:i/>
          <w:iCs/>
        </w:rPr>
        <w:t>Antarctique</w:t>
      </w:r>
      <w:r w:rsidR="00034631">
        <w:t> »</w:t>
      </w:r>
      <w:r w:rsidR="00CB6F78">
        <w:rPr>
          <w:rStyle w:val="Appelnotedebasdep"/>
        </w:rPr>
        <w:footnoteReference w:id="46"/>
      </w:r>
      <w:r w:rsidR="00034631">
        <w:t>.</w:t>
      </w:r>
      <w:r w:rsidR="0086699A">
        <w:t xml:space="preserve"> En effet, le projet </w:t>
      </w:r>
      <w:r w:rsidR="00AF3F7D" w:rsidRPr="003C11C0">
        <w:t>américain de droit de visite « à tout moment » des installations situées sur les corps célestes</w:t>
      </w:r>
      <w:r w:rsidR="00AF3F7D">
        <w:t xml:space="preserve"> </w:t>
      </w:r>
      <w:r w:rsidR="0086699A">
        <w:t>s</w:t>
      </w:r>
      <w:r w:rsidR="00C66A34">
        <w:t>’</w:t>
      </w:r>
      <w:r w:rsidR="0086699A">
        <w:t>appuie</w:t>
      </w:r>
      <w:r>
        <w:t xml:space="preserve"> </w:t>
      </w:r>
      <w:r w:rsidR="00AF3F7D" w:rsidRPr="003C11C0">
        <w:t>directement sur l</w:t>
      </w:r>
      <w:r w:rsidR="00C66A34">
        <w:t>’</w:t>
      </w:r>
      <w:r w:rsidR="00AF3F7D" w:rsidRPr="003C11C0">
        <w:t>article 7 du Traité sur l</w:t>
      </w:r>
      <w:r w:rsidR="00C66A34">
        <w:t>’</w:t>
      </w:r>
      <w:r w:rsidR="00AF3F7D" w:rsidRPr="003C11C0">
        <w:t xml:space="preserve">Antarctique adopté huit ans plus tôt. </w:t>
      </w:r>
      <w:r w:rsidR="0086699A" w:rsidRPr="0086699A">
        <w:t xml:space="preserve">Les velléités américaines sont cependant bloquées par les soviétiques et les réunions tournent </w:t>
      </w:r>
      <w:r w:rsidR="0086699A">
        <w:t xml:space="preserve">parfois </w:t>
      </w:r>
      <w:r w:rsidR="0086699A" w:rsidRPr="0086699A">
        <w:t>court. Les points de désaccord principaux entre les grandes puissances sont ainsi l</w:t>
      </w:r>
      <w:r w:rsidR="00C66A34">
        <w:t>’</w:t>
      </w:r>
      <w:r w:rsidR="0086699A" w:rsidRPr="0086699A">
        <w:t>opposition soviétique à l</w:t>
      </w:r>
      <w:r w:rsidR="00C66A34">
        <w:t>’</w:t>
      </w:r>
      <w:r w:rsidR="0086699A" w:rsidRPr="0086699A">
        <w:t>accessibilité et à la publicité des découvertes spatiales et aux renseignements scientifiques voulues par les État</w:t>
      </w:r>
      <w:r w:rsidR="0086699A">
        <w:t>s</w:t>
      </w:r>
      <w:r w:rsidR="0086699A" w:rsidRPr="0086699A">
        <w:t>-Unis</w:t>
      </w:r>
      <w:r w:rsidR="0086699A">
        <w:t xml:space="preserve"> – impliquant le droit de visite –</w:t>
      </w:r>
      <w:r w:rsidR="0086699A" w:rsidRPr="0086699A">
        <w:t xml:space="preserve"> et le rôle précis des Nations Unies dans le traité</w:t>
      </w:r>
      <w:r w:rsidR="0086699A">
        <w:t>,</w:t>
      </w:r>
      <w:r w:rsidR="0086699A" w:rsidRPr="0086699A">
        <w:t xml:space="preserve"> les américains souhaitant soumettre les litiges à la Cour internationale de Justice contre l</w:t>
      </w:r>
      <w:r w:rsidR="00C66A34">
        <w:t>’</w:t>
      </w:r>
      <w:r w:rsidR="0086699A" w:rsidRPr="0086699A">
        <w:t>avis soviétique</w:t>
      </w:r>
      <w:r w:rsidR="0086699A">
        <w:rPr>
          <w:rStyle w:val="Appelnotedebasdep"/>
        </w:rPr>
        <w:footnoteReference w:id="47"/>
      </w:r>
      <w:r w:rsidR="0086699A" w:rsidRPr="0086699A">
        <w:t>.</w:t>
      </w:r>
      <w:r w:rsidR="0086699A">
        <w:t xml:space="preserve"> </w:t>
      </w:r>
      <w:r w:rsidR="00AF3F7D" w:rsidRPr="003C11C0">
        <w:t xml:space="preserve">Le blocage soviétique obligea </w:t>
      </w:r>
      <w:r w:rsidR="00110768">
        <w:t>donc</w:t>
      </w:r>
      <w:r w:rsidR="00AF3F7D" w:rsidRPr="003C11C0">
        <w:t xml:space="preserve"> les rédacteurs à retenir une autre formulation de cet article 12</w:t>
      </w:r>
      <w:r w:rsidR="007A60BF">
        <w:t xml:space="preserve"> du traité final</w:t>
      </w:r>
      <w:r w:rsidR="00AF3F7D" w:rsidRPr="003C11C0">
        <w:t>, fondée sur le principe de la notification préalable de toute visite projetée</w:t>
      </w:r>
      <w:bookmarkStart w:id="12" w:name="_Ref522805809"/>
      <w:r w:rsidR="00AF3F7D" w:rsidRPr="003C11C0">
        <w:rPr>
          <w:rStyle w:val="Appelnotedebasdep"/>
        </w:rPr>
        <w:footnoteReference w:id="48"/>
      </w:r>
      <w:bookmarkEnd w:id="12"/>
      <w:r w:rsidR="00CB6F78">
        <w:t> : «</w:t>
      </w:r>
      <w:r w:rsidR="00CB6F78" w:rsidRPr="00FA060E">
        <w:t xml:space="preserve"> </w:t>
      </w:r>
      <w:r w:rsidR="00CB6F78" w:rsidRPr="00CB6F78">
        <w:rPr>
          <w:i/>
          <w:iCs/>
        </w:rPr>
        <w:t>[t]</w:t>
      </w:r>
      <w:proofErr w:type="spellStart"/>
      <w:r w:rsidR="00CB6F78" w:rsidRPr="00CB6F78">
        <w:rPr>
          <w:i/>
          <w:iCs/>
        </w:rPr>
        <w:t>outes</w:t>
      </w:r>
      <w:proofErr w:type="spellEnd"/>
      <w:r w:rsidR="00CB6F78" w:rsidRPr="00CB6F78">
        <w:rPr>
          <w:i/>
          <w:iCs/>
        </w:rPr>
        <w:t xml:space="preserve"> les stations et installations, tout le matériel et tous les véhicules spatiaux se trouvant sur la Lune ou d</w:t>
      </w:r>
      <w:r w:rsidR="00C66A34">
        <w:rPr>
          <w:i/>
          <w:iCs/>
        </w:rPr>
        <w:t>’</w:t>
      </w:r>
      <w:r w:rsidR="00CB6F78" w:rsidRPr="00CB6F78">
        <w:rPr>
          <w:i/>
          <w:iCs/>
        </w:rPr>
        <w:t xml:space="preserve">autres corps célestes seront accessibles, dans des conditions de réciprocité, aux représentants des autres États au Traité. Ces représentants notifieront au préalable toute visite projetée, de façon que les consultations voulues puissent avoir lieu et que le maximum de précautions </w:t>
      </w:r>
      <w:proofErr w:type="gramStart"/>
      <w:r w:rsidR="00CB6F78" w:rsidRPr="00CB6F78">
        <w:rPr>
          <w:i/>
          <w:iCs/>
        </w:rPr>
        <w:t>puissent</w:t>
      </w:r>
      <w:proofErr w:type="gramEnd"/>
      <w:r w:rsidR="00CB6F78" w:rsidRPr="00CB6F78">
        <w:rPr>
          <w:i/>
          <w:iCs/>
        </w:rPr>
        <w:t xml:space="preserve"> être prises pour assurer la sécurité et éviter de gêner les opérations normales sur les lieux de l</w:t>
      </w:r>
      <w:r w:rsidR="00C66A34">
        <w:rPr>
          <w:i/>
          <w:iCs/>
        </w:rPr>
        <w:t>’</w:t>
      </w:r>
      <w:r w:rsidR="00CB6F78" w:rsidRPr="00CB6F78">
        <w:rPr>
          <w:i/>
          <w:iCs/>
        </w:rPr>
        <w:t>installation à visiter</w:t>
      </w:r>
      <w:r w:rsidR="00CB6F78" w:rsidRPr="00FA060E">
        <w:t xml:space="preserve"> »</w:t>
      </w:r>
      <w:r w:rsidR="00CB6F78">
        <w:rPr>
          <w:rStyle w:val="Appelnotedebasdep"/>
        </w:rPr>
        <w:footnoteReference w:id="49"/>
      </w:r>
      <w:r w:rsidR="00CB6F78" w:rsidRPr="00FA060E">
        <w:t>.</w:t>
      </w:r>
      <w:r w:rsidR="00110768">
        <w:t xml:space="preserve"> </w:t>
      </w:r>
      <w:r w:rsidR="00E5185D">
        <w:t>Si l</w:t>
      </w:r>
      <w:r w:rsidR="00C66A34">
        <w:t>’</w:t>
      </w:r>
      <w:r w:rsidR="00E5185D">
        <w:t>on ne peut que relever le caractère « passablement hypocrite »</w:t>
      </w:r>
      <w:bookmarkStart w:id="13" w:name="_Ref24900153"/>
      <w:r w:rsidR="00E5185D">
        <w:rPr>
          <w:rStyle w:val="Appelnotedebasdep"/>
        </w:rPr>
        <w:footnoteReference w:id="50"/>
      </w:r>
      <w:bookmarkEnd w:id="13"/>
      <w:r w:rsidR="00E5185D">
        <w:t xml:space="preserve"> de l</w:t>
      </w:r>
      <w:r w:rsidR="00C66A34">
        <w:t>’</w:t>
      </w:r>
      <w:r w:rsidR="00E5185D">
        <w:t>ajout,</w:t>
      </w:r>
      <w:r w:rsidR="00E5185D" w:rsidRPr="00E5185D">
        <w:t xml:space="preserve"> </w:t>
      </w:r>
      <w:r w:rsidR="00E5185D">
        <w:t>pour justifier la notification préalable, de considérations sécuritaires et pratiques quant à la soi-disant nécessité de ne pas « gêner les opérations normales », ce compromis apparaît à l</w:t>
      </w:r>
      <w:r w:rsidR="00C66A34">
        <w:t>’</w:t>
      </w:r>
      <w:r w:rsidR="00E5185D">
        <w:t>époque comme un pas positif vers la paix. L</w:t>
      </w:r>
      <w:r w:rsidR="00110768">
        <w:t>e Président Johnson se félici</w:t>
      </w:r>
      <w:r w:rsidR="00E5185D">
        <w:t>te ainsi</w:t>
      </w:r>
      <w:r w:rsidR="00110768">
        <w:t xml:space="preserve"> que « </w:t>
      </w:r>
      <w:r w:rsidR="00110768" w:rsidRPr="00110768">
        <w:t>toute installation construite sur un corps céleste par quelque nation que ce soit sera accessible à des cosmonautes venant de n</w:t>
      </w:r>
      <w:r w:rsidR="00C66A34">
        <w:t>’</w:t>
      </w:r>
      <w:r w:rsidR="00110768" w:rsidRPr="00110768">
        <w:t>importe quel pays</w:t>
      </w:r>
      <w:r w:rsidR="00110768">
        <w:t> »</w:t>
      </w:r>
      <w:r w:rsidR="00110768">
        <w:rPr>
          <w:rStyle w:val="Appelnotedebasdep"/>
        </w:rPr>
        <w:footnoteReference w:id="51"/>
      </w:r>
      <w:r w:rsidR="00D90F55">
        <w:t>.</w:t>
      </w:r>
      <w:r w:rsidR="00110768">
        <w:t xml:space="preserve"> </w:t>
      </w:r>
      <w:r w:rsidR="007A60BF">
        <w:t>Enfin faut-il préciser que l</w:t>
      </w:r>
      <w:r w:rsidR="00C66A34">
        <w:t>’</w:t>
      </w:r>
      <w:r w:rsidR="00AF3F7D" w:rsidRPr="003C11C0">
        <w:t>inspiration du Traité sur l</w:t>
      </w:r>
      <w:r w:rsidR="00C66A34">
        <w:t>’</w:t>
      </w:r>
      <w:r w:rsidR="00AF3F7D" w:rsidRPr="003C11C0">
        <w:t>Antarctique en matière spatiale</w:t>
      </w:r>
      <w:r w:rsidR="00661DE5">
        <w:t>, dont les dispositions pourraient se révéler utiles dans les décennies à venir si une course à l’espace venait à se dérouler comme l’annoncent la Chine et les États-Unis,</w:t>
      </w:r>
      <w:r w:rsidR="00AF3F7D" w:rsidRPr="003C11C0">
        <w:t xml:space="preserve"> ne se limite</w:t>
      </w:r>
      <w:r w:rsidR="002A0EB9">
        <w:t xml:space="preserve"> </w:t>
      </w:r>
      <w:r w:rsidR="00AF3F7D" w:rsidRPr="003C11C0">
        <w:t>pas à la première convention céleste. L</w:t>
      </w:r>
      <w:r w:rsidR="00C66A34">
        <w:t>’</w:t>
      </w:r>
      <w:r w:rsidR="00AF3F7D" w:rsidRPr="003C11C0">
        <w:t>article 15 de l</w:t>
      </w:r>
      <w:r w:rsidR="00C66A34">
        <w:t>’</w:t>
      </w:r>
      <w:r w:rsidR="00AF3F7D" w:rsidRPr="003C11C0">
        <w:t xml:space="preserve">Accord de 1979 sur les activités des États sur la Lune et les autres corps célestes constitue </w:t>
      </w:r>
      <w:r w:rsidR="007A60BF">
        <w:t>ainsi</w:t>
      </w:r>
      <w:r w:rsidR="00AF3F7D" w:rsidRPr="003C11C0">
        <w:t xml:space="preserve"> un mélange évident de l</w:t>
      </w:r>
      <w:r w:rsidR="00C66A34">
        <w:t>’</w:t>
      </w:r>
      <w:r w:rsidR="00AF3F7D" w:rsidRPr="003C11C0">
        <w:t>article 7 du Traité sur l</w:t>
      </w:r>
      <w:r w:rsidR="00C66A34">
        <w:t>’</w:t>
      </w:r>
      <w:r w:rsidR="00AF3F7D" w:rsidRPr="003C11C0">
        <w:t>Antarctique et de l</w:t>
      </w:r>
      <w:r w:rsidR="00C66A34">
        <w:t>’</w:t>
      </w:r>
      <w:r w:rsidR="00AF3F7D" w:rsidRPr="003C11C0">
        <w:t>article 12 du Traité de 1967</w:t>
      </w:r>
      <w:r w:rsidR="00E5185D">
        <w:t>, conservant d</w:t>
      </w:r>
      <w:r w:rsidR="00C66A34">
        <w:t>’</w:t>
      </w:r>
      <w:r w:rsidR="00E5185D">
        <w:t>ailleurs l</w:t>
      </w:r>
      <w:r w:rsidR="006D248D">
        <w:t>a justification superfétatoire de la notification préalable</w:t>
      </w:r>
      <w:r w:rsidR="00AF3F7D" w:rsidRPr="003C11C0">
        <w:rPr>
          <w:rStyle w:val="Appelnotedebasdep"/>
        </w:rPr>
        <w:footnoteReference w:id="52"/>
      </w:r>
      <w:r w:rsidR="00AF3F7D" w:rsidRPr="003C11C0">
        <w:t xml:space="preserve">. </w:t>
      </w:r>
    </w:p>
    <w:p w14:paraId="5DFD370D" w14:textId="77777777" w:rsidR="002A0EB9" w:rsidRDefault="002A0EB9" w:rsidP="00754087">
      <w:pPr>
        <w:spacing w:after="0" w:line="240" w:lineRule="auto"/>
      </w:pPr>
    </w:p>
    <w:p w14:paraId="5635C683" w14:textId="1C354735" w:rsidR="002A0EB9" w:rsidRPr="00B528C0" w:rsidRDefault="004B5817" w:rsidP="00754087">
      <w:pPr>
        <w:spacing w:after="0" w:line="240" w:lineRule="auto"/>
      </w:pPr>
      <w:r>
        <w:t>Il est donc permis de conclure,</w:t>
      </w:r>
      <w:r w:rsidR="002A0EB9">
        <w:t xml:space="preserve"> à ce stade, que le modèle institué par l</w:t>
      </w:r>
      <w:r w:rsidR="00C66A34">
        <w:t>’</w:t>
      </w:r>
      <w:r w:rsidR="002A0EB9">
        <w:t>inspection Antarctique</w:t>
      </w:r>
      <w:r w:rsidR="00400BF1">
        <w:t>, voulue par les États-Unis pour conserver un contrôle sur l</w:t>
      </w:r>
      <w:r w:rsidR="00C66A34">
        <w:t>’</w:t>
      </w:r>
      <w:r w:rsidR="00400BF1">
        <w:t>activité soviétique,</w:t>
      </w:r>
      <w:r w:rsidR="002A0EB9">
        <w:t xml:space="preserve"> a servi de précédent remarquable </w:t>
      </w:r>
      <w:r w:rsidR="00400BF1">
        <w:t xml:space="preserve">et de base de négociation pour la plupart des grands accords liés au maintien de la paix </w:t>
      </w:r>
      <w:r w:rsidR="00CE3D0E">
        <w:t>au cours des</w:t>
      </w:r>
      <w:r w:rsidR="00400BF1">
        <w:t xml:space="preserve"> décennies suivantes.</w:t>
      </w:r>
      <w:r w:rsidR="00B528C0">
        <w:t xml:space="preserve"> Cependant, au-delà des textes et discours, il est utile de se livrer à une analyse plus avancée de </w:t>
      </w:r>
      <w:r w:rsidR="00B528C0" w:rsidRPr="00B528C0">
        <w:rPr>
          <w:i/>
          <w:iCs/>
        </w:rPr>
        <w:t>l</w:t>
      </w:r>
      <w:r w:rsidR="00C66A34">
        <w:rPr>
          <w:i/>
          <w:iCs/>
        </w:rPr>
        <w:t>’</w:t>
      </w:r>
      <w:r w:rsidR="00B528C0" w:rsidRPr="00B528C0">
        <w:rPr>
          <w:i/>
          <w:iCs/>
        </w:rPr>
        <w:t>emploi</w:t>
      </w:r>
      <w:r w:rsidR="00B528C0">
        <w:t xml:space="preserve"> du régime d</w:t>
      </w:r>
      <w:r w:rsidR="00C66A34">
        <w:t>’</w:t>
      </w:r>
      <w:r w:rsidR="00B528C0">
        <w:t xml:space="preserve">inspection Antarctique dans les faits. </w:t>
      </w:r>
    </w:p>
    <w:p w14:paraId="680D72CB" w14:textId="77777777" w:rsidR="00AF3F7D" w:rsidRPr="003C11C0" w:rsidRDefault="00AF3F7D" w:rsidP="00DB16E0">
      <w:pPr>
        <w:spacing w:after="0" w:line="240" w:lineRule="auto"/>
      </w:pPr>
    </w:p>
    <w:p w14:paraId="66F9C277" w14:textId="77777777" w:rsidR="003C11C0" w:rsidRDefault="003C11C0" w:rsidP="00DB16E0">
      <w:pPr>
        <w:spacing w:after="0" w:line="240" w:lineRule="auto"/>
        <w:rPr>
          <w:b/>
          <w:u w:val="single"/>
        </w:rPr>
      </w:pPr>
      <w:r w:rsidRPr="00091A8A">
        <w:rPr>
          <w:b/>
          <w:u w:val="single"/>
        </w:rPr>
        <w:t>II</w:t>
      </w:r>
      <w:r w:rsidR="00F72171">
        <w:rPr>
          <w:b/>
          <w:u w:val="single"/>
        </w:rPr>
        <w:t xml:space="preserve">. </w:t>
      </w:r>
      <w:r w:rsidR="00B7233C" w:rsidRPr="00091A8A">
        <w:rPr>
          <w:b/>
          <w:u w:val="single"/>
        </w:rPr>
        <w:t>L</w:t>
      </w:r>
      <w:r w:rsidR="00C66A34">
        <w:rPr>
          <w:b/>
          <w:u w:val="single"/>
        </w:rPr>
        <w:t>’</w:t>
      </w:r>
      <w:r w:rsidR="00B7233C" w:rsidRPr="00091A8A">
        <w:rPr>
          <w:b/>
          <w:u w:val="single"/>
        </w:rPr>
        <w:t>arrière-boutique</w:t>
      </w:r>
      <w:r w:rsidR="008729CA">
        <w:rPr>
          <w:b/>
          <w:u w:val="single"/>
        </w:rPr>
        <w:t xml:space="preserve"> </w:t>
      </w:r>
      <w:r w:rsidR="00B7233C" w:rsidRPr="00091A8A">
        <w:rPr>
          <w:b/>
          <w:u w:val="single"/>
        </w:rPr>
        <w:t xml:space="preserve">: </w:t>
      </w:r>
      <w:r w:rsidR="00091A8A" w:rsidRPr="00091A8A">
        <w:rPr>
          <w:b/>
          <w:u w:val="single"/>
        </w:rPr>
        <w:t>la création d</w:t>
      </w:r>
      <w:r w:rsidR="00C66A34">
        <w:rPr>
          <w:b/>
          <w:u w:val="single"/>
        </w:rPr>
        <w:t>’</w:t>
      </w:r>
      <w:r w:rsidR="00091A8A" w:rsidRPr="00091A8A">
        <w:rPr>
          <w:b/>
          <w:u w:val="single"/>
        </w:rPr>
        <w:t>un</w:t>
      </w:r>
      <w:r w:rsidR="001C54BA">
        <w:rPr>
          <w:b/>
          <w:u w:val="single"/>
        </w:rPr>
        <w:t xml:space="preserve"> produit</w:t>
      </w:r>
      <w:r w:rsidR="00091A8A" w:rsidRPr="00091A8A">
        <w:rPr>
          <w:b/>
          <w:u w:val="single"/>
        </w:rPr>
        <w:t xml:space="preserve"> </w:t>
      </w:r>
      <w:r w:rsidR="005E4728">
        <w:rPr>
          <w:b/>
          <w:u w:val="single"/>
        </w:rPr>
        <w:t>unique</w:t>
      </w:r>
      <w:r w:rsidR="00091A8A" w:rsidRPr="00091A8A">
        <w:rPr>
          <w:b/>
          <w:u w:val="single"/>
        </w:rPr>
        <w:t xml:space="preserve"> à l</w:t>
      </w:r>
      <w:r w:rsidR="00C66A34">
        <w:rPr>
          <w:b/>
          <w:u w:val="single"/>
        </w:rPr>
        <w:t>’</w:t>
      </w:r>
      <w:r w:rsidR="003B6277">
        <w:rPr>
          <w:b/>
          <w:u w:val="single"/>
        </w:rPr>
        <w:t>intérêt</w:t>
      </w:r>
      <w:r w:rsidR="00091A8A" w:rsidRPr="00091A8A">
        <w:rPr>
          <w:b/>
          <w:u w:val="single"/>
        </w:rPr>
        <w:t xml:space="preserve"> </w:t>
      </w:r>
      <w:r w:rsidR="003215AF">
        <w:rPr>
          <w:b/>
          <w:u w:val="single"/>
        </w:rPr>
        <w:t>déclinant</w:t>
      </w:r>
    </w:p>
    <w:p w14:paraId="16A63E94" w14:textId="77777777" w:rsidR="00E87E46" w:rsidRDefault="00E87E46" w:rsidP="00DB16E0">
      <w:pPr>
        <w:spacing w:after="0" w:line="240" w:lineRule="auto"/>
        <w:rPr>
          <w:b/>
          <w:u w:val="single"/>
        </w:rPr>
      </w:pPr>
    </w:p>
    <w:p w14:paraId="02BB6419" w14:textId="11F5D770" w:rsidR="00E87E46" w:rsidRPr="0085407C" w:rsidRDefault="0085407C" w:rsidP="00DB16E0">
      <w:pPr>
        <w:spacing w:after="0" w:line="240" w:lineRule="auto"/>
        <w:rPr>
          <w:bCs/>
        </w:rPr>
      </w:pPr>
      <w:r>
        <w:rPr>
          <w:bCs/>
        </w:rPr>
        <w:t>Plusieurs éléments viennent nuancer les constats particulièrement positifs</w:t>
      </w:r>
      <w:r w:rsidR="008F2A0D" w:rsidRPr="008F2A0D">
        <w:rPr>
          <w:bCs/>
        </w:rPr>
        <w:t xml:space="preserve"> </w:t>
      </w:r>
      <w:r w:rsidR="008F2A0D">
        <w:rPr>
          <w:bCs/>
        </w:rPr>
        <w:t>opérés précédemment</w:t>
      </w:r>
      <w:r>
        <w:rPr>
          <w:bCs/>
        </w:rPr>
        <w:t xml:space="preserve"> quant à l</w:t>
      </w:r>
      <w:r w:rsidR="00C66A34">
        <w:rPr>
          <w:bCs/>
        </w:rPr>
        <w:t>’</w:t>
      </w:r>
      <w:r>
        <w:rPr>
          <w:bCs/>
        </w:rPr>
        <w:t>intérêt du régime Antarctique. Une analyse de la mise en œuvre de l</w:t>
      </w:r>
      <w:r w:rsidR="00C66A34">
        <w:rPr>
          <w:bCs/>
        </w:rPr>
        <w:t>’</w:t>
      </w:r>
      <w:r>
        <w:rPr>
          <w:bCs/>
        </w:rPr>
        <w:t>article 7 du Traité sur l</w:t>
      </w:r>
      <w:r w:rsidR="00C66A34">
        <w:rPr>
          <w:bCs/>
        </w:rPr>
        <w:t>’</w:t>
      </w:r>
      <w:r>
        <w:rPr>
          <w:bCs/>
        </w:rPr>
        <w:t>Antarctique est d</w:t>
      </w:r>
      <w:r w:rsidR="00C66A34">
        <w:rPr>
          <w:bCs/>
        </w:rPr>
        <w:t>’</w:t>
      </w:r>
      <w:r>
        <w:rPr>
          <w:bCs/>
        </w:rPr>
        <w:t xml:space="preserve">abord révélateur de </w:t>
      </w:r>
      <w:r w:rsidR="00CE5427">
        <w:rPr>
          <w:bCs/>
        </w:rPr>
        <w:t xml:space="preserve">certaines </w:t>
      </w:r>
      <w:r>
        <w:rPr>
          <w:bCs/>
        </w:rPr>
        <w:t>limites du système (</w:t>
      </w:r>
      <w:r>
        <w:rPr>
          <w:b/>
        </w:rPr>
        <w:t>A</w:t>
      </w:r>
      <w:r>
        <w:rPr>
          <w:bCs/>
        </w:rPr>
        <w:t xml:space="preserve">). </w:t>
      </w:r>
      <w:r>
        <w:t>Celles-ci font apparaître des éléments de réponse à la question de savoir pourquoi un tel régime, en apparence si efficace</w:t>
      </w:r>
      <w:r w:rsidR="000E75EC">
        <w:t xml:space="preserve"> pour maintenir la paix</w:t>
      </w:r>
      <w:r>
        <w:t>, n</w:t>
      </w:r>
      <w:r w:rsidR="00C66A34">
        <w:t>’</w:t>
      </w:r>
      <w:r>
        <w:t>est pas devenu une « clause-type » de tout accord international</w:t>
      </w:r>
      <w:r w:rsidR="008879E3">
        <w:t>, et permet</w:t>
      </w:r>
      <w:r w:rsidR="00672161">
        <w:t>,</w:t>
      </w:r>
      <w:r w:rsidR="008879E3">
        <w:t xml:space="preserve"> à titre prospectif</w:t>
      </w:r>
      <w:r w:rsidR="00672161">
        <w:t>,</w:t>
      </w:r>
      <w:r w:rsidR="008879E3">
        <w:t xml:space="preserve"> de s</w:t>
      </w:r>
      <w:r w:rsidR="00C66A34">
        <w:t>’</w:t>
      </w:r>
      <w:r w:rsidR="008879E3">
        <w:t>interroger sur l</w:t>
      </w:r>
      <w:r w:rsidR="00C66A34">
        <w:t>’</w:t>
      </w:r>
      <w:r w:rsidR="008879E3">
        <w:t>avenir de l</w:t>
      </w:r>
      <w:r w:rsidR="00C66A34">
        <w:t>’</w:t>
      </w:r>
      <w:r w:rsidR="008879E3">
        <w:t>inspection Antarctique</w:t>
      </w:r>
      <w:r w:rsidR="00F4455A">
        <w:t xml:space="preserve"> (</w:t>
      </w:r>
      <w:r w:rsidR="00F4455A">
        <w:rPr>
          <w:b/>
          <w:bCs/>
        </w:rPr>
        <w:t>B</w:t>
      </w:r>
      <w:r w:rsidR="00F4455A">
        <w:t>)</w:t>
      </w:r>
      <w:r w:rsidR="008879E3">
        <w:t>.</w:t>
      </w:r>
    </w:p>
    <w:p w14:paraId="69FBCCA0" w14:textId="77777777" w:rsidR="0085407C" w:rsidRPr="00E87E46" w:rsidRDefault="0085407C" w:rsidP="00DB16E0">
      <w:pPr>
        <w:spacing w:after="0" w:line="240" w:lineRule="auto"/>
        <w:rPr>
          <w:bCs/>
        </w:rPr>
      </w:pPr>
    </w:p>
    <w:p w14:paraId="7BE60325" w14:textId="77777777" w:rsidR="003C11C0" w:rsidRDefault="003C11C0" w:rsidP="00CE5427">
      <w:pPr>
        <w:spacing w:after="0" w:line="240" w:lineRule="auto"/>
        <w:ind w:firstLine="708"/>
        <w:rPr>
          <w:b/>
        </w:rPr>
      </w:pPr>
      <w:r w:rsidRPr="00091A8A">
        <w:rPr>
          <w:b/>
        </w:rPr>
        <w:t>A</w:t>
      </w:r>
      <w:r w:rsidR="00F72171">
        <w:rPr>
          <w:b/>
        </w:rPr>
        <w:t xml:space="preserve">. </w:t>
      </w:r>
      <w:r w:rsidR="00D92A24">
        <w:rPr>
          <w:b/>
        </w:rPr>
        <w:t xml:space="preserve">Un </w:t>
      </w:r>
      <w:r w:rsidR="005E4728">
        <w:rPr>
          <w:b/>
        </w:rPr>
        <w:t xml:space="preserve">produit </w:t>
      </w:r>
      <w:r w:rsidR="00CE5427">
        <w:rPr>
          <w:b/>
        </w:rPr>
        <w:t xml:space="preserve">obsolescent : </w:t>
      </w:r>
      <w:r w:rsidR="005E4728">
        <w:rPr>
          <w:b/>
        </w:rPr>
        <w:t>l</w:t>
      </w:r>
      <w:r w:rsidR="00C66A34">
        <w:rPr>
          <w:b/>
        </w:rPr>
        <w:t>’</w:t>
      </w:r>
      <w:r w:rsidR="005E4728">
        <w:rPr>
          <w:b/>
        </w:rPr>
        <w:t>inspection</w:t>
      </w:r>
      <w:r w:rsidR="00B7233C" w:rsidRPr="00091A8A">
        <w:rPr>
          <w:b/>
        </w:rPr>
        <w:t xml:space="preserve"> </w:t>
      </w:r>
      <w:r w:rsidR="00091A8A">
        <w:rPr>
          <w:b/>
        </w:rPr>
        <w:t xml:space="preserve">Antarctique </w:t>
      </w:r>
      <w:r w:rsidR="00A00A5D">
        <w:rPr>
          <w:b/>
        </w:rPr>
        <w:t>en pratique</w:t>
      </w:r>
    </w:p>
    <w:p w14:paraId="42139E4C" w14:textId="77777777" w:rsidR="00F72171" w:rsidRDefault="00F72171" w:rsidP="00DB16E0">
      <w:pPr>
        <w:spacing w:after="0" w:line="240" w:lineRule="auto"/>
        <w:rPr>
          <w:b/>
        </w:rPr>
      </w:pPr>
    </w:p>
    <w:p w14:paraId="05ACAD31" w14:textId="48751CF2" w:rsidR="00F468C7" w:rsidRDefault="00F4455A" w:rsidP="00DB16E0">
      <w:pPr>
        <w:spacing w:after="0" w:line="240" w:lineRule="auto"/>
        <w:rPr>
          <w:bCs/>
        </w:rPr>
      </w:pPr>
      <w:r>
        <w:rPr>
          <w:bCs/>
        </w:rPr>
        <w:t>Avec soixante ans d</w:t>
      </w:r>
      <w:r w:rsidR="00C66A34">
        <w:rPr>
          <w:bCs/>
        </w:rPr>
        <w:t>’</w:t>
      </w:r>
      <w:r>
        <w:rPr>
          <w:bCs/>
        </w:rPr>
        <w:t>expérience, l</w:t>
      </w:r>
      <w:r w:rsidR="00C66A34">
        <w:rPr>
          <w:bCs/>
        </w:rPr>
        <w:t>’</w:t>
      </w:r>
      <w:r>
        <w:rPr>
          <w:bCs/>
        </w:rPr>
        <w:t>on p</w:t>
      </w:r>
      <w:r w:rsidR="004B5817">
        <w:rPr>
          <w:bCs/>
        </w:rPr>
        <w:t>ourrai</w:t>
      </w:r>
      <w:r>
        <w:rPr>
          <w:bCs/>
        </w:rPr>
        <w:t>t légitimement présumer que le régime d</w:t>
      </w:r>
      <w:r w:rsidR="00C66A34">
        <w:rPr>
          <w:bCs/>
        </w:rPr>
        <w:t>’</w:t>
      </w:r>
      <w:r>
        <w:rPr>
          <w:bCs/>
        </w:rPr>
        <w:t>inspection Antarctique est aujourd</w:t>
      </w:r>
      <w:r w:rsidR="00C66A34">
        <w:rPr>
          <w:bCs/>
        </w:rPr>
        <w:t>’</w:t>
      </w:r>
      <w:r>
        <w:rPr>
          <w:bCs/>
        </w:rPr>
        <w:t>hui particulièrement performant et abouti. Pourtant, la lecture des rapports d</w:t>
      </w:r>
      <w:r w:rsidR="00C66A34">
        <w:rPr>
          <w:bCs/>
        </w:rPr>
        <w:t>’</w:t>
      </w:r>
      <w:r>
        <w:rPr>
          <w:bCs/>
        </w:rPr>
        <w:t>inspections</w:t>
      </w:r>
      <w:r w:rsidR="000E75EC">
        <w:rPr>
          <w:rStyle w:val="Appelnotedebasdep"/>
          <w:bCs/>
        </w:rPr>
        <w:footnoteReference w:id="53"/>
      </w:r>
      <w:r>
        <w:rPr>
          <w:bCs/>
        </w:rPr>
        <w:t xml:space="preserve"> montre souvent le contraire, et tend parfois même à faire penser à un régime en cours de </w:t>
      </w:r>
      <w:r w:rsidR="00A50F08">
        <w:rPr>
          <w:bCs/>
        </w:rPr>
        <w:t>test.</w:t>
      </w:r>
    </w:p>
    <w:p w14:paraId="4C7CF3A3" w14:textId="77777777" w:rsidR="00F4455A" w:rsidRDefault="00F4455A" w:rsidP="00DB16E0">
      <w:pPr>
        <w:spacing w:after="0" w:line="240" w:lineRule="auto"/>
        <w:rPr>
          <w:bCs/>
        </w:rPr>
      </w:pPr>
    </w:p>
    <w:p w14:paraId="709B8EF3" w14:textId="3247268C" w:rsidR="00F4455A" w:rsidRDefault="00BF1A5A" w:rsidP="00DB16E0">
      <w:pPr>
        <w:spacing w:after="0" w:line="240" w:lineRule="auto"/>
        <w:rPr>
          <w:bCs/>
        </w:rPr>
      </w:pPr>
      <w:r>
        <w:rPr>
          <w:bCs/>
        </w:rPr>
        <w:t>Le rapport des récentes inspections menées</w:t>
      </w:r>
      <w:r w:rsidR="00F4455A">
        <w:rPr>
          <w:bCs/>
        </w:rPr>
        <w:t xml:space="preserve"> en 2019</w:t>
      </w:r>
      <w:r w:rsidR="00F4455A" w:rsidRPr="00F4455A">
        <w:rPr>
          <w:bCs/>
        </w:rPr>
        <w:t xml:space="preserve"> par l</w:t>
      </w:r>
      <w:r w:rsidR="00C66A34">
        <w:rPr>
          <w:bCs/>
        </w:rPr>
        <w:t>’</w:t>
      </w:r>
      <w:r w:rsidR="00F4455A" w:rsidRPr="00F4455A">
        <w:rPr>
          <w:bCs/>
        </w:rPr>
        <w:t>Argentine et le Chili est ainsi édifiant quant au sort réservé aux conclusions des inspections</w:t>
      </w:r>
      <w:r>
        <w:rPr>
          <w:bCs/>
        </w:rPr>
        <w:t xml:space="preserve"> précédentes</w:t>
      </w:r>
      <w:r w:rsidR="00F4455A" w:rsidRPr="00F4455A">
        <w:rPr>
          <w:bCs/>
        </w:rPr>
        <w:t xml:space="preserve">. Le </w:t>
      </w:r>
      <w:r w:rsidR="00A50F08">
        <w:rPr>
          <w:bCs/>
        </w:rPr>
        <w:t>document indique</w:t>
      </w:r>
      <w:r w:rsidR="00F4455A" w:rsidRPr="00F4455A">
        <w:rPr>
          <w:bCs/>
        </w:rPr>
        <w:t xml:space="preserve"> ainsi textuellement que </w:t>
      </w:r>
      <w:r w:rsidR="00F4455A">
        <w:rPr>
          <w:bCs/>
        </w:rPr>
        <w:t>« </w:t>
      </w:r>
      <w:r w:rsidR="00F4455A" w:rsidRPr="00306C7D">
        <w:rPr>
          <w:bCs/>
          <w:i/>
          <w:iCs/>
        </w:rPr>
        <w:t>[t]</w:t>
      </w:r>
      <w:proofErr w:type="spellStart"/>
      <w:r w:rsidR="00F4455A" w:rsidRPr="00306C7D">
        <w:rPr>
          <w:bCs/>
          <w:i/>
          <w:iCs/>
        </w:rPr>
        <w:t>he</w:t>
      </w:r>
      <w:proofErr w:type="spellEnd"/>
      <w:r w:rsidR="00F4455A" w:rsidRPr="00306C7D">
        <w:rPr>
          <w:bCs/>
          <w:i/>
          <w:iCs/>
        </w:rPr>
        <w:t xml:space="preserve"> </w:t>
      </w:r>
      <w:proofErr w:type="spellStart"/>
      <w:r w:rsidR="00F4455A" w:rsidRPr="00306C7D">
        <w:rPr>
          <w:bCs/>
          <w:i/>
          <w:iCs/>
        </w:rPr>
        <w:t>lack</w:t>
      </w:r>
      <w:proofErr w:type="spellEnd"/>
      <w:r w:rsidR="00F4455A" w:rsidRPr="00306C7D">
        <w:rPr>
          <w:bCs/>
          <w:i/>
          <w:iCs/>
        </w:rPr>
        <w:t xml:space="preserve"> of </w:t>
      </w:r>
      <w:proofErr w:type="spellStart"/>
      <w:r w:rsidR="00F4455A" w:rsidRPr="00306C7D">
        <w:rPr>
          <w:bCs/>
          <w:i/>
          <w:iCs/>
        </w:rPr>
        <w:t>proper</w:t>
      </w:r>
      <w:proofErr w:type="spellEnd"/>
      <w:r w:rsidR="00F4455A" w:rsidRPr="00306C7D">
        <w:rPr>
          <w:bCs/>
          <w:i/>
          <w:iCs/>
        </w:rPr>
        <w:t xml:space="preserve"> </w:t>
      </w:r>
      <w:proofErr w:type="spellStart"/>
      <w:r w:rsidR="00F4455A" w:rsidRPr="00306C7D">
        <w:rPr>
          <w:bCs/>
          <w:i/>
          <w:iCs/>
        </w:rPr>
        <w:t>follow</w:t>
      </w:r>
      <w:proofErr w:type="spellEnd"/>
      <w:r w:rsidR="00F4455A" w:rsidRPr="00306C7D">
        <w:rPr>
          <w:bCs/>
          <w:i/>
          <w:iCs/>
        </w:rPr>
        <w:t xml:space="preserve">-up to the </w:t>
      </w:r>
      <w:proofErr w:type="spellStart"/>
      <w:r w:rsidR="00F4455A" w:rsidRPr="00306C7D">
        <w:rPr>
          <w:bCs/>
          <w:i/>
          <w:iCs/>
        </w:rPr>
        <w:t>recommendations</w:t>
      </w:r>
      <w:proofErr w:type="spellEnd"/>
      <w:r w:rsidR="00F4455A" w:rsidRPr="00306C7D">
        <w:rPr>
          <w:bCs/>
          <w:i/>
          <w:iCs/>
        </w:rPr>
        <w:t xml:space="preserve"> </w:t>
      </w:r>
      <w:proofErr w:type="spellStart"/>
      <w:r w:rsidR="00F4455A" w:rsidRPr="00306C7D">
        <w:rPr>
          <w:bCs/>
          <w:i/>
          <w:iCs/>
        </w:rPr>
        <w:t>seems</w:t>
      </w:r>
      <w:proofErr w:type="spellEnd"/>
      <w:r w:rsidR="00F4455A" w:rsidRPr="00306C7D">
        <w:rPr>
          <w:bCs/>
          <w:i/>
          <w:iCs/>
        </w:rPr>
        <w:t xml:space="preserve"> to </w:t>
      </w:r>
      <w:proofErr w:type="spellStart"/>
      <w:r w:rsidR="00F4455A" w:rsidRPr="00306C7D">
        <w:rPr>
          <w:bCs/>
          <w:i/>
          <w:iCs/>
        </w:rPr>
        <w:t>undermine</w:t>
      </w:r>
      <w:proofErr w:type="spellEnd"/>
      <w:r w:rsidR="00F4455A" w:rsidRPr="00306C7D">
        <w:rPr>
          <w:bCs/>
          <w:i/>
          <w:iCs/>
        </w:rPr>
        <w:t xml:space="preserve"> the </w:t>
      </w:r>
      <w:proofErr w:type="spellStart"/>
      <w:r w:rsidR="00F4455A" w:rsidRPr="00306C7D">
        <w:rPr>
          <w:bCs/>
          <w:i/>
          <w:iCs/>
        </w:rPr>
        <w:t>effectiveness</w:t>
      </w:r>
      <w:proofErr w:type="spellEnd"/>
      <w:r w:rsidR="00F4455A" w:rsidRPr="00306C7D">
        <w:rPr>
          <w:bCs/>
          <w:i/>
          <w:iCs/>
        </w:rPr>
        <w:t xml:space="preserve"> of the inspection system, </w:t>
      </w:r>
      <w:proofErr w:type="spellStart"/>
      <w:r w:rsidR="00F4455A" w:rsidRPr="00306C7D">
        <w:rPr>
          <w:bCs/>
          <w:i/>
          <w:iCs/>
        </w:rPr>
        <w:t>with</w:t>
      </w:r>
      <w:proofErr w:type="spellEnd"/>
      <w:r w:rsidR="00F4455A" w:rsidRPr="00306C7D">
        <w:rPr>
          <w:bCs/>
          <w:i/>
          <w:iCs/>
        </w:rPr>
        <w:t xml:space="preserve"> the </w:t>
      </w:r>
      <w:proofErr w:type="spellStart"/>
      <w:r w:rsidR="00F4455A" w:rsidRPr="00306C7D">
        <w:rPr>
          <w:bCs/>
          <w:i/>
          <w:iCs/>
        </w:rPr>
        <w:t>consequent</w:t>
      </w:r>
      <w:proofErr w:type="spellEnd"/>
      <w:r w:rsidR="00F4455A" w:rsidRPr="00306C7D">
        <w:rPr>
          <w:bCs/>
          <w:i/>
          <w:iCs/>
        </w:rPr>
        <w:t xml:space="preserve"> </w:t>
      </w:r>
      <w:proofErr w:type="spellStart"/>
      <w:r w:rsidR="00F4455A" w:rsidRPr="00306C7D">
        <w:rPr>
          <w:bCs/>
          <w:i/>
          <w:iCs/>
        </w:rPr>
        <w:t>misuse</w:t>
      </w:r>
      <w:proofErr w:type="spellEnd"/>
      <w:r w:rsidR="00F4455A" w:rsidRPr="00306C7D">
        <w:rPr>
          <w:bCs/>
          <w:i/>
          <w:iCs/>
        </w:rPr>
        <w:t xml:space="preserve"> of </w:t>
      </w:r>
      <w:proofErr w:type="spellStart"/>
      <w:r w:rsidR="00F4455A" w:rsidRPr="00306C7D">
        <w:rPr>
          <w:bCs/>
          <w:i/>
          <w:iCs/>
        </w:rPr>
        <w:t>significant</w:t>
      </w:r>
      <w:proofErr w:type="spellEnd"/>
      <w:r w:rsidR="00F4455A" w:rsidRPr="00306C7D">
        <w:rPr>
          <w:bCs/>
          <w:i/>
          <w:iCs/>
        </w:rPr>
        <w:t xml:space="preserve"> </w:t>
      </w:r>
      <w:proofErr w:type="spellStart"/>
      <w:r w:rsidR="00F4455A" w:rsidRPr="00306C7D">
        <w:rPr>
          <w:bCs/>
          <w:i/>
          <w:iCs/>
        </w:rPr>
        <w:t>resources</w:t>
      </w:r>
      <w:proofErr w:type="spellEnd"/>
      <w:r w:rsidR="00F4455A" w:rsidRPr="00306C7D">
        <w:rPr>
          <w:bCs/>
          <w:i/>
          <w:iCs/>
        </w:rPr>
        <w:t xml:space="preserve"> </w:t>
      </w:r>
      <w:proofErr w:type="spellStart"/>
      <w:r w:rsidR="00F4455A" w:rsidRPr="00306C7D">
        <w:rPr>
          <w:bCs/>
          <w:i/>
          <w:iCs/>
        </w:rPr>
        <w:t>allocated</w:t>
      </w:r>
      <w:proofErr w:type="spellEnd"/>
      <w:r w:rsidR="00F4455A" w:rsidRPr="00306C7D">
        <w:rPr>
          <w:bCs/>
          <w:i/>
          <w:iCs/>
        </w:rPr>
        <w:t xml:space="preserve"> to </w:t>
      </w:r>
      <w:proofErr w:type="spellStart"/>
      <w:r w:rsidR="00F4455A" w:rsidRPr="00306C7D">
        <w:rPr>
          <w:bCs/>
          <w:i/>
          <w:iCs/>
        </w:rPr>
        <w:t>logistical</w:t>
      </w:r>
      <w:proofErr w:type="spellEnd"/>
      <w:r w:rsidR="00F4455A" w:rsidRPr="00306C7D">
        <w:rPr>
          <w:bCs/>
          <w:i/>
          <w:iCs/>
        </w:rPr>
        <w:t xml:space="preserve"> </w:t>
      </w:r>
      <w:proofErr w:type="spellStart"/>
      <w:r w:rsidR="00F4455A" w:rsidRPr="00306C7D">
        <w:rPr>
          <w:bCs/>
          <w:i/>
          <w:iCs/>
        </w:rPr>
        <w:t>deployment</w:t>
      </w:r>
      <w:proofErr w:type="spellEnd"/>
      <w:r w:rsidR="00F4455A" w:rsidRPr="00306C7D">
        <w:rPr>
          <w:bCs/>
          <w:i/>
          <w:iCs/>
        </w:rPr>
        <w:t xml:space="preserve">. Of the four </w:t>
      </w:r>
      <w:proofErr w:type="spellStart"/>
      <w:r w:rsidR="00F4455A" w:rsidRPr="00306C7D">
        <w:rPr>
          <w:bCs/>
          <w:i/>
          <w:iCs/>
        </w:rPr>
        <w:t>inspected</w:t>
      </w:r>
      <w:proofErr w:type="spellEnd"/>
      <w:r w:rsidR="00F4455A" w:rsidRPr="00306C7D">
        <w:rPr>
          <w:bCs/>
          <w:i/>
          <w:iCs/>
        </w:rPr>
        <w:t xml:space="preserve"> stations, </w:t>
      </w:r>
      <w:proofErr w:type="spellStart"/>
      <w:r w:rsidR="00F4455A" w:rsidRPr="00306C7D">
        <w:rPr>
          <w:bCs/>
          <w:i/>
          <w:iCs/>
        </w:rPr>
        <w:t>only</w:t>
      </w:r>
      <w:proofErr w:type="spellEnd"/>
      <w:r w:rsidR="00F4455A" w:rsidRPr="00306C7D">
        <w:rPr>
          <w:bCs/>
          <w:i/>
          <w:iCs/>
        </w:rPr>
        <w:t xml:space="preserve"> one </w:t>
      </w:r>
      <w:proofErr w:type="spellStart"/>
      <w:r w:rsidR="00F4455A" w:rsidRPr="00306C7D">
        <w:rPr>
          <w:bCs/>
          <w:i/>
          <w:iCs/>
        </w:rPr>
        <w:t>had</w:t>
      </w:r>
      <w:proofErr w:type="spellEnd"/>
      <w:r w:rsidR="00F4455A" w:rsidRPr="00306C7D">
        <w:rPr>
          <w:bCs/>
          <w:i/>
          <w:iCs/>
        </w:rPr>
        <w:t xml:space="preserve"> </w:t>
      </w:r>
      <w:proofErr w:type="spellStart"/>
      <w:r w:rsidR="00F4455A" w:rsidRPr="00306C7D">
        <w:rPr>
          <w:bCs/>
          <w:i/>
          <w:iCs/>
        </w:rPr>
        <w:t>adequately</w:t>
      </w:r>
      <w:proofErr w:type="spellEnd"/>
      <w:r w:rsidR="00F4455A" w:rsidRPr="00306C7D">
        <w:rPr>
          <w:bCs/>
          <w:i/>
          <w:iCs/>
        </w:rPr>
        <w:t xml:space="preserve"> </w:t>
      </w:r>
      <w:proofErr w:type="spellStart"/>
      <w:r w:rsidR="00F4455A" w:rsidRPr="00306C7D">
        <w:rPr>
          <w:bCs/>
          <w:i/>
          <w:iCs/>
        </w:rPr>
        <w:t>addressed</w:t>
      </w:r>
      <w:proofErr w:type="spellEnd"/>
      <w:r w:rsidR="00F4455A" w:rsidRPr="00306C7D">
        <w:rPr>
          <w:bCs/>
          <w:i/>
          <w:iCs/>
        </w:rPr>
        <w:t xml:space="preserve"> all of the observations made as a </w:t>
      </w:r>
      <w:proofErr w:type="spellStart"/>
      <w:r w:rsidR="00F4455A" w:rsidRPr="00306C7D">
        <w:rPr>
          <w:bCs/>
          <w:i/>
          <w:iCs/>
        </w:rPr>
        <w:t>result</w:t>
      </w:r>
      <w:proofErr w:type="spellEnd"/>
      <w:r w:rsidR="00F4455A" w:rsidRPr="00306C7D">
        <w:rPr>
          <w:bCs/>
          <w:i/>
          <w:iCs/>
        </w:rPr>
        <w:t xml:space="preserve"> of </w:t>
      </w:r>
      <w:proofErr w:type="spellStart"/>
      <w:r w:rsidR="00F4455A" w:rsidRPr="00306C7D">
        <w:rPr>
          <w:bCs/>
          <w:i/>
          <w:iCs/>
        </w:rPr>
        <w:t>previous</w:t>
      </w:r>
      <w:proofErr w:type="spellEnd"/>
      <w:r w:rsidR="00F4455A" w:rsidRPr="00306C7D">
        <w:rPr>
          <w:bCs/>
          <w:i/>
          <w:iCs/>
        </w:rPr>
        <w:t xml:space="preserve"> inspections </w:t>
      </w:r>
      <w:r w:rsidR="00F4455A">
        <w:rPr>
          <w:bCs/>
        </w:rPr>
        <w:t>»</w:t>
      </w:r>
      <w:r w:rsidR="00F4455A">
        <w:rPr>
          <w:rStyle w:val="Appelnotedebasdep"/>
          <w:bCs/>
        </w:rPr>
        <w:footnoteReference w:id="54"/>
      </w:r>
      <w:r w:rsidR="00F4455A" w:rsidRPr="00F4455A">
        <w:rPr>
          <w:bCs/>
        </w:rPr>
        <w:t>. Il est dans le même ordre d</w:t>
      </w:r>
      <w:r w:rsidR="00C66A34">
        <w:rPr>
          <w:bCs/>
        </w:rPr>
        <w:t>’</w:t>
      </w:r>
      <w:r w:rsidR="00F4455A" w:rsidRPr="00F4455A">
        <w:rPr>
          <w:bCs/>
        </w:rPr>
        <w:t xml:space="preserve">idées surprenant que les réponses officielles des gouvernements concernés aux recommandations mentionnent la </w:t>
      </w:r>
      <w:r w:rsidR="000E75EC">
        <w:rPr>
          <w:bCs/>
        </w:rPr>
        <w:t>simple « </w:t>
      </w:r>
      <w:r w:rsidR="00F4455A" w:rsidRPr="000E75EC">
        <w:rPr>
          <w:bCs/>
        </w:rPr>
        <w:t>possibilité</w:t>
      </w:r>
      <w:r w:rsidR="000E75EC">
        <w:rPr>
          <w:bCs/>
        </w:rPr>
        <w:t> »</w:t>
      </w:r>
      <w:r w:rsidR="00F4455A" w:rsidRPr="00F4455A">
        <w:rPr>
          <w:bCs/>
        </w:rPr>
        <w:t xml:space="preserve"> de mettre en </w:t>
      </w:r>
      <w:r w:rsidR="00306C7D" w:rsidRPr="00F4455A">
        <w:rPr>
          <w:bCs/>
        </w:rPr>
        <w:t>œuvre</w:t>
      </w:r>
      <w:r w:rsidR="00F4455A" w:rsidRPr="00F4455A">
        <w:rPr>
          <w:bCs/>
        </w:rPr>
        <w:t xml:space="preserve"> les précédentes recommandations, à l</w:t>
      </w:r>
      <w:r w:rsidR="00C66A34">
        <w:rPr>
          <w:bCs/>
        </w:rPr>
        <w:t>’</w:t>
      </w:r>
      <w:r w:rsidR="00F4455A" w:rsidRPr="00F4455A">
        <w:rPr>
          <w:bCs/>
        </w:rPr>
        <w:t xml:space="preserve">instar de la réponse Ukrainienne en 2019 : </w:t>
      </w:r>
      <w:r w:rsidR="00306C7D">
        <w:rPr>
          <w:bCs/>
        </w:rPr>
        <w:t>« </w:t>
      </w:r>
      <w:r w:rsidR="00F4455A" w:rsidRPr="000E75EC">
        <w:rPr>
          <w:bCs/>
          <w:i/>
          <w:iCs/>
        </w:rPr>
        <w:t>[</w:t>
      </w:r>
      <w:r w:rsidR="00F4455A" w:rsidRPr="00306C7D">
        <w:rPr>
          <w:bCs/>
          <w:i/>
          <w:iCs/>
        </w:rPr>
        <w:t xml:space="preserve">w]e </w:t>
      </w:r>
      <w:proofErr w:type="spellStart"/>
      <w:r w:rsidR="00F4455A" w:rsidRPr="00306C7D">
        <w:rPr>
          <w:bCs/>
          <w:i/>
          <w:iCs/>
        </w:rPr>
        <w:t>agree</w:t>
      </w:r>
      <w:proofErr w:type="spellEnd"/>
      <w:r w:rsidR="00F4455A" w:rsidRPr="00306C7D">
        <w:rPr>
          <w:bCs/>
          <w:i/>
          <w:iCs/>
        </w:rPr>
        <w:t xml:space="preserve"> </w:t>
      </w:r>
      <w:proofErr w:type="spellStart"/>
      <w:r w:rsidR="00F4455A" w:rsidRPr="00306C7D">
        <w:rPr>
          <w:bCs/>
          <w:i/>
          <w:iCs/>
        </w:rPr>
        <w:t>with</w:t>
      </w:r>
      <w:proofErr w:type="spellEnd"/>
      <w:r w:rsidR="00F4455A" w:rsidRPr="00306C7D">
        <w:rPr>
          <w:bCs/>
          <w:i/>
          <w:iCs/>
        </w:rPr>
        <w:t xml:space="preserve"> </w:t>
      </w:r>
      <w:proofErr w:type="spellStart"/>
      <w:r w:rsidR="00F4455A" w:rsidRPr="00306C7D">
        <w:rPr>
          <w:bCs/>
          <w:i/>
          <w:iCs/>
        </w:rPr>
        <w:t>inspection</w:t>
      </w:r>
      <w:r w:rsidR="00C66A34">
        <w:rPr>
          <w:bCs/>
          <w:i/>
          <w:iCs/>
        </w:rPr>
        <w:t>’</w:t>
      </w:r>
      <w:r w:rsidR="00F4455A" w:rsidRPr="00306C7D">
        <w:rPr>
          <w:bCs/>
          <w:i/>
          <w:iCs/>
        </w:rPr>
        <w:t>s</w:t>
      </w:r>
      <w:proofErr w:type="spellEnd"/>
      <w:r w:rsidR="00F4455A" w:rsidRPr="00306C7D">
        <w:rPr>
          <w:bCs/>
          <w:i/>
          <w:iCs/>
        </w:rPr>
        <w:t xml:space="preserve"> </w:t>
      </w:r>
      <w:proofErr w:type="spellStart"/>
      <w:r w:rsidR="00F4455A" w:rsidRPr="00306C7D">
        <w:rPr>
          <w:bCs/>
          <w:i/>
          <w:iCs/>
        </w:rPr>
        <w:t>recommendation</w:t>
      </w:r>
      <w:proofErr w:type="spellEnd"/>
      <w:r w:rsidR="00F4455A" w:rsidRPr="00306C7D">
        <w:rPr>
          <w:bCs/>
          <w:i/>
          <w:iCs/>
        </w:rPr>
        <w:t xml:space="preserve"> to design for the station a </w:t>
      </w:r>
      <w:proofErr w:type="spellStart"/>
      <w:r w:rsidR="00F4455A" w:rsidRPr="00306C7D">
        <w:rPr>
          <w:bCs/>
          <w:i/>
          <w:iCs/>
        </w:rPr>
        <w:t>clear</w:t>
      </w:r>
      <w:proofErr w:type="spellEnd"/>
      <w:r w:rsidR="00F4455A" w:rsidRPr="00306C7D">
        <w:rPr>
          <w:bCs/>
          <w:i/>
          <w:iCs/>
        </w:rPr>
        <w:t xml:space="preserve"> plan in </w:t>
      </w:r>
      <w:proofErr w:type="spellStart"/>
      <w:r w:rsidR="00F4455A" w:rsidRPr="00306C7D">
        <w:rPr>
          <w:bCs/>
          <w:i/>
          <w:iCs/>
        </w:rPr>
        <w:t>order</w:t>
      </w:r>
      <w:proofErr w:type="spellEnd"/>
      <w:r w:rsidR="00F4455A" w:rsidRPr="00306C7D">
        <w:rPr>
          <w:bCs/>
          <w:i/>
          <w:iCs/>
        </w:rPr>
        <w:t xml:space="preserve"> to </w:t>
      </w:r>
      <w:proofErr w:type="spellStart"/>
      <w:r w:rsidR="00F4455A" w:rsidRPr="00306C7D">
        <w:rPr>
          <w:bCs/>
          <w:i/>
          <w:iCs/>
        </w:rPr>
        <w:t>follow</w:t>
      </w:r>
      <w:proofErr w:type="spellEnd"/>
      <w:r w:rsidR="00F4455A" w:rsidRPr="00306C7D">
        <w:rPr>
          <w:bCs/>
          <w:i/>
          <w:iCs/>
        </w:rPr>
        <w:t xml:space="preserve">-up the </w:t>
      </w:r>
      <w:proofErr w:type="spellStart"/>
      <w:r w:rsidR="00F4455A" w:rsidRPr="00306C7D">
        <w:rPr>
          <w:bCs/>
          <w:i/>
          <w:iCs/>
        </w:rPr>
        <w:t>recommendation</w:t>
      </w:r>
      <w:proofErr w:type="spellEnd"/>
      <w:r w:rsidR="00F4455A" w:rsidRPr="00306C7D">
        <w:rPr>
          <w:bCs/>
          <w:i/>
          <w:iCs/>
        </w:rPr>
        <w:t xml:space="preserve"> </w:t>
      </w:r>
      <w:proofErr w:type="spellStart"/>
      <w:r w:rsidR="00F4455A" w:rsidRPr="00306C7D">
        <w:rPr>
          <w:bCs/>
          <w:i/>
          <w:iCs/>
        </w:rPr>
        <w:t>indicated</w:t>
      </w:r>
      <w:proofErr w:type="spellEnd"/>
      <w:r w:rsidR="00F4455A" w:rsidRPr="00306C7D">
        <w:rPr>
          <w:bCs/>
          <w:i/>
          <w:iCs/>
        </w:rPr>
        <w:t xml:space="preserve"> by the </w:t>
      </w:r>
      <w:proofErr w:type="spellStart"/>
      <w:r w:rsidR="00F4455A" w:rsidRPr="00306C7D">
        <w:rPr>
          <w:bCs/>
          <w:i/>
          <w:iCs/>
        </w:rPr>
        <w:t>previous</w:t>
      </w:r>
      <w:proofErr w:type="spellEnd"/>
      <w:r w:rsidR="00F4455A" w:rsidRPr="00306C7D">
        <w:rPr>
          <w:bCs/>
          <w:i/>
          <w:iCs/>
        </w:rPr>
        <w:t xml:space="preserve"> inspections. To </w:t>
      </w:r>
      <w:proofErr w:type="spellStart"/>
      <w:r w:rsidR="00F4455A" w:rsidRPr="00306C7D">
        <w:rPr>
          <w:bCs/>
          <w:i/>
          <w:iCs/>
        </w:rPr>
        <w:t>this</w:t>
      </w:r>
      <w:proofErr w:type="spellEnd"/>
      <w:r w:rsidR="00F4455A" w:rsidRPr="00306C7D">
        <w:rPr>
          <w:bCs/>
          <w:i/>
          <w:iCs/>
        </w:rPr>
        <w:t xml:space="preserve"> end, as the first </w:t>
      </w:r>
      <w:proofErr w:type="spellStart"/>
      <w:r w:rsidR="00F4455A" w:rsidRPr="00306C7D">
        <w:rPr>
          <w:bCs/>
          <w:i/>
          <w:iCs/>
        </w:rPr>
        <w:t>step</w:t>
      </w:r>
      <w:proofErr w:type="spellEnd"/>
      <w:r w:rsidR="00F4455A" w:rsidRPr="00306C7D">
        <w:rPr>
          <w:bCs/>
          <w:i/>
          <w:iCs/>
        </w:rPr>
        <w:t xml:space="preserve">, Ukraine </w:t>
      </w:r>
      <w:proofErr w:type="spellStart"/>
      <w:r w:rsidR="00F4455A" w:rsidRPr="00306C7D">
        <w:rPr>
          <w:bCs/>
          <w:i/>
          <w:iCs/>
        </w:rPr>
        <w:t>will</w:t>
      </w:r>
      <w:proofErr w:type="spellEnd"/>
      <w:r w:rsidR="00F4455A" w:rsidRPr="00306C7D">
        <w:rPr>
          <w:bCs/>
          <w:i/>
          <w:iCs/>
        </w:rPr>
        <w:t xml:space="preserve"> </w:t>
      </w:r>
      <w:proofErr w:type="spellStart"/>
      <w:r w:rsidR="00F4455A" w:rsidRPr="00306C7D">
        <w:rPr>
          <w:bCs/>
          <w:i/>
          <w:iCs/>
        </w:rPr>
        <w:t>prepare</w:t>
      </w:r>
      <w:proofErr w:type="spellEnd"/>
      <w:r w:rsidR="00F4455A" w:rsidRPr="00306C7D">
        <w:rPr>
          <w:bCs/>
          <w:i/>
          <w:iCs/>
        </w:rPr>
        <w:t xml:space="preserve"> a </w:t>
      </w:r>
      <w:proofErr w:type="spellStart"/>
      <w:r w:rsidR="00F4455A" w:rsidRPr="00306C7D">
        <w:rPr>
          <w:bCs/>
          <w:i/>
          <w:iCs/>
        </w:rPr>
        <w:t>separate</w:t>
      </w:r>
      <w:proofErr w:type="spellEnd"/>
      <w:r w:rsidR="00F4455A" w:rsidRPr="00306C7D">
        <w:rPr>
          <w:bCs/>
          <w:i/>
          <w:iCs/>
        </w:rPr>
        <w:t xml:space="preserve"> information </w:t>
      </w:r>
      <w:proofErr w:type="spellStart"/>
      <w:r w:rsidR="00F4455A" w:rsidRPr="00306C7D">
        <w:rPr>
          <w:bCs/>
          <w:i/>
          <w:iCs/>
        </w:rPr>
        <w:t>paper</w:t>
      </w:r>
      <w:proofErr w:type="spellEnd"/>
      <w:r w:rsidR="00F4455A" w:rsidRPr="00306C7D">
        <w:rPr>
          <w:bCs/>
          <w:i/>
          <w:iCs/>
        </w:rPr>
        <w:t xml:space="preserve"> </w:t>
      </w:r>
      <w:proofErr w:type="spellStart"/>
      <w:r w:rsidR="00F4455A" w:rsidRPr="00306C7D">
        <w:rPr>
          <w:bCs/>
          <w:i/>
          <w:iCs/>
        </w:rPr>
        <w:t>regarding</w:t>
      </w:r>
      <w:proofErr w:type="spellEnd"/>
      <w:r w:rsidR="00F4455A" w:rsidRPr="00306C7D">
        <w:rPr>
          <w:bCs/>
          <w:i/>
          <w:iCs/>
        </w:rPr>
        <w:t xml:space="preserve"> the </w:t>
      </w:r>
      <w:proofErr w:type="spellStart"/>
      <w:r w:rsidR="00F4455A" w:rsidRPr="00306C7D">
        <w:rPr>
          <w:bCs/>
          <w:i/>
          <w:iCs/>
        </w:rPr>
        <w:t>follow</w:t>
      </w:r>
      <w:proofErr w:type="spellEnd"/>
      <w:r w:rsidR="00F4455A" w:rsidRPr="00306C7D">
        <w:rPr>
          <w:bCs/>
          <w:i/>
          <w:iCs/>
        </w:rPr>
        <w:t xml:space="preserve">-up of </w:t>
      </w:r>
      <w:proofErr w:type="spellStart"/>
      <w:r w:rsidR="00F4455A" w:rsidRPr="00306C7D">
        <w:rPr>
          <w:bCs/>
          <w:i/>
          <w:iCs/>
        </w:rPr>
        <w:t>past</w:t>
      </w:r>
      <w:proofErr w:type="spellEnd"/>
      <w:r w:rsidR="00F4455A" w:rsidRPr="00306C7D">
        <w:rPr>
          <w:bCs/>
          <w:i/>
          <w:iCs/>
        </w:rPr>
        <w:t xml:space="preserve"> </w:t>
      </w:r>
      <w:proofErr w:type="spellStart"/>
      <w:r w:rsidR="00F4455A" w:rsidRPr="00306C7D">
        <w:rPr>
          <w:bCs/>
          <w:i/>
          <w:iCs/>
        </w:rPr>
        <w:t>recommendations</w:t>
      </w:r>
      <w:proofErr w:type="spellEnd"/>
      <w:r w:rsidR="00F4455A" w:rsidRPr="00306C7D">
        <w:rPr>
          <w:bCs/>
          <w:i/>
          <w:iCs/>
        </w:rPr>
        <w:t xml:space="preserve"> made by </w:t>
      </w:r>
      <w:proofErr w:type="spellStart"/>
      <w:r w:rsidR="00F4455A" w:rsidRPr="00306C7D">
        <w:rPr>
          <w:bCs/>
          <w:i/>
          <w:iCs/>
        </w:rPr>
        <w:t>each</w:t>
      </w:r>
      <w:proofErr w:type="spellEnd"/>
      <w:r w:rsidR="00F4455A" w:rsidRPr="00306C7D">
        <w:rPr>
          <w:bCs/>
          <w:i/>
          <w:iCs/>
        </w:rPr>
        <w:t xml:space="preserve"> </w:t>
      </w:r>
      <w:r w:rsidR="00F4455A" w:rsidRPr="00306C7D">
        <w:rPr>
          <w:bCs/>
          <w:i/>
          <w:iCs/>
        </w:rPr>
        <w:lastRenderedPageBreak/>
        <w:t xml:space="preserve">inspection team </w:t>
      </w:r>
      <w:proofErr w:type="spellStart"/>
      <w:r w:rsidR="00F4455A" w:rsidRPr="00306C7D">
        <w:rPr>
          <w:bCs/>
          <w:i/>
          <w:iCs/>
        </w:rPr>
        <w:t>since</w:t>
      </w:r>
      <w:proofErr w:type="spellEnd"/>
      <w:r w:rsidR="00F4455A" w:rsidRPr="00306C7D">
        <w:rPr>
          <w:bCs/>
          <w:i/>
          <w:iCs/>
        </w:rPr>
        <w:t xml:space="preserve"> 1998/1999 </w:t>
      </w:r>
      <w:proofErr w:type="spellStart"/>
      <w:r w:rsidR="00F4455A" w:rsidRPr="00306C7D">
        <w:rPr>
          <w:bCs/>
          <w:i/>
          <w:iCs/>
        </w:rPr>
        <w:t>season</w:t>
      </w:r>
      <w:proofErr w:type="spellEnd"/>
      <w:r w:rsidR="00306C7D">
        <w:rPr>
          <w:bCs/>
        </w:rPr>
        <w:t> »</w:t>
      </w:r>
      <w:r w:rsidR="00306C7D">
        <w:rPr>
          <w:rStyle w:val="Appelnotedebasdep"/>
          <w:bCs/>
        </w:rPr>
        <w:footnoteReference w:id="55"/>
      </w:r>
      <w:r w:rsidR="00306C7D">
        <w:rPr>
          <w:bCs/>
        </w:rPr>
        <w:t>.</w:t>
      </w:r>
      <w:r w:rsidR="00E528B5">
        <w:rPr>
          <w:bCs/>
        </w:rPr>
        <w:t xml:space="preserve"> On ne peut que s</w:t>
      </w:r>
      <w:r w:rsidR="00C66A34">
        <w:rPr>
          <w:bCs/>
        </w:rPr>
        <w:t>’</w:t>
      </w:r>
      <w:r w:rsidR="00E528B5">
        <w:rPr>
          <w:bCs/>
        </w:rPr>
        <w:t xml:space="preserve">inquiéter, par ailleurs, que les documents relatifs aux stations, censés être à la disposition des inspecteurs – </w:t>
      </w:r>
      <w:r w:rsidR="00A50F08">
        <w:rPr>
          <w:bCs/>
        </w:rPr>
        <w:t>comme les</w:t>
      </w:r>
      <w:r w:rsidR="00E528B5">
        <w:rPr>
          <w:bCs/>
        </w:rPr>
        <w:t xml:space="preserve"> documents de sécurité – ne soient pas toujours traduits dans l</w:t>
      </w:r>
      <w:r w:rsidR="00C66A34">
        <w:rPr>
          <w:bCs/>
        </w:rPr>
        <w:t>’</w:t>
      </w:r>
      <w:r w:rsidR="00E528B5">
        <w:rPr>
          <w:bCs/>
        </w:rPr>
        <w:t>une des langues officielles du Traité, rendant leur compréhension et donc leur évaluation impossible lors de la visite</w:t>
      </w:r>
      <w:r w:rsidR="00E528B5">
        <w:rPr>
          <w:rStyle w:val="Appelnotedebasdep"/>
          <w:bCs/>
        </w:rPr>
        <w:footnoteReference w:id="56"/>
      </w:r>
      <w:r w:rsidR="00E528B5">
        <w:rPr>
          <w:bCs/>
        </w:rPr>
        <w:t>.</w:t>
      </w:r>
    </w:p>
    <w:p w14:paraId="1AC7FF35" w14:textId="77777777" w:rsidR="00BF1A5A" w:rsidRDefault="00BF1A5A" w:rsidP="00DB16E0">
      <w:pPr>
        <w:spacing w:after="0" w:line="240" w:lineRule="auto"/>
        <w:rPr>
          <w:bCs/>
        </w:rPr>
      </w:pPr>
    </w:p>
    <w:p w14:paraId="059662B5" w14:textId="03A3B0F3" w:rsidR="00A35F91" w:rsidRDefault="00BF1A5A" w:rsidP="00DB16E0">
      <w:pPr>
        <w:spacing w:after="0" w:line="240" w:lineRule="auto"/>
        <w:rPr>
          <w:bCs/>
        </w:rPr>
      </w:pPr>
      <w:r w:rsidRPr="00BF1A5A">
        <w:rPr>
          <w:bCs/>
        </w:rPr>
        <w:t>Comme dans d</w:t>
      </w:r>
      <w:r w:rsidR="00C66A34">
        <w:rPr>
          <w:bCs/>
        </w:rPr>
        <w:t>’</w:t>
      </w:r>
      <w:r w:rsidRPr="00BF1A5A">
        <w:rPr>
          <w:bCs/>
        </w:rPr>
        <w:t>autres domaines</w:t>
      </w:r>
      <w:r w:rsidR="00A50F08">
        <w:rPr>
          <w:bCs/>
        </w:rPr>
        <w:t>,</w:t>
      </w:r>
      <w:r w:rsidRPr="00BF1A5A">
        <w:rPr>
          <w:bCs/>
        </w:rPr>
        <w:t xml:space="preserve"> les inspections Antarctiques ne permettent pas toujours de laisser le temps aux inspecteurs de mener une visite complète des installations</w:t>
      </w:r>
      <w:r w:rsidR="008D6F20">
        <w:rPr>
          <w:bCs/>
        </w:rPr>
        <w:t>, par souci d</w:t>
      </w:r>
      <w:r w:rsidR="00C66A34">
        <w:rPr>
          <w:bCs/>
        </w:rPr>
        <w:t>’</w:t>
      </w:r>
      <w:r w:rsidR="008D6F20">
        <w:rPr>
          <w:bCs/>
        </w:rPr>
        <w:t>efficacité économique</w:t>
      </w:r>
      <w:r w:rsidR="00A50F08">
        <w:rPr>
          <w:bCs/>
        </w:rPr>
        <w:t>.</w:t>
      </w:r>
      <w:r w:rsidR="008D6F20">
        <w:rPr>
          <w:bCs/>
        </w:rPr>
        <w:t xml:space="preserve"> </w:t>
      </w:r>
      <w:r w:rsidRPr="00BF1A5A">
        <w:rPr>
          <w:bCs/>
        </w:rPr>
        <w:t>Outre la présence régulière de touristes freinant les inspections</w:t>
      </w:r>
      <w:r w:rsidR="0049454B">
        <w:rPr>
          <w:bCs/>
        </w:rPr>
        <w:t xml:space="preserve"> du fait de la priori</w:t>
      </w:r>
      <w:r w:rsidR="00A510F5">
        <w:rPr>
          <w:bCs/>
        </w:rPr>
        <w:t>t</w:t>
      </w:r>
      <w:r w:rsidR="0049454B">
        <w:rPr>
          <w:bCs/>
        </w:rPr>
        <w:t>é qui leur est souvent accordée</w:t>
      </w:r>
      <w:r>
        <w:rPr>
          <w:rStyle w:val="Appelnotedebasdep"/>
          <w:bCs/>
        </w:rPr>
        <w:footnoteReference w:id="57"/>
      </w:r>
      <w:r w:rsidRPr="00BF1A5A">
        <w:rPr>
          <w:bCs/>
        </w:rPr>
        <w:t xml:space="preserve">, il faut </w:t>
      </w:r>
      <w:r w:rsidR="0049454B">
        <w:rPr>
          <w:bCs/>
        </w:rPr>
        <w:t>noter que les visites sont manifestement trop</w:t>
      </w:r>
      <w:r w:rsidRPr="00BF1A5A">
        <w:rPr>
          <w:bCs/>
        </w:rPr>
        <w:t xml:space="preserve"> rapides. </w:t>
      </w:r>
      <w:r w:rsidR="00A510F5">
        <w:rPr>
          <w:bCs/>
        </w:rPr>
        <w:t>L</w:t>
      </w:r>
      <w:r w:rsidR="00C66A34">
        <w:rPr>
          <w:bCs/>
        </w:rPr>
        <w:t>’</w:t>
      </w:r>
      <w:r w:rsidR="00A510F5">
        <w:rPr>
          <w:bCs/>
        </w:rPr>
        <w:t>inspection</w:t>
      </w:r>
      <w:r w:rsidR="00A510F5" w:rsidRPr="00A510F5">
        <w:rPr>
          <w:bCs/>
        </w:rPr>
        <w:t xml:space="preserve"> menée par la Chine en 2016 avait </w:t>
      </w:r>
      <w:r w:rsidR="00A510F5">
        <w:rPr>
          <w:bCs/>
        </w:rPr>
        <w:t xml:space="preserve">par exemple </w:t>
      </w:r>
      <w:r w:rsidR="00A510F5" w:rsidRPr="00A510F5">
        <w:rPr>
          <w:bCs/>
        </w:rPr>
        <w:t>permis de visiter pas moins de six sites entre le 25 et le 28 décembre, dont trois stations chiliennes le 28</w:t>
      </w:r>
      <w:r w:rsidR="00A510F5">
        <w:rPr>
          <w:rStyle w:val="Appelnotedebasdep"/>
          <w:bCs/>
        </w:rPr>
        <w:footnoteReference w:id="58"/>
      </w:r>
      <w:r w:rsidR="00A510F5">
        <w:rPr>
          <w:bCs/>
        </w:rPr>
        <w:t>. Dans le même ordre d</w:t>
      </w:r>
      <w:r w:rsidR="00C66A34">
        <w:rPr>
          <w:bCs/>
        </w:rPr>
        <w:t>’</w:t>
      </w:r>
      <w:r w:rsidR="00A510F5">
        <w:rPr>
          <w:bCs/>
        </w:rPr>
        <w:t>idées</w:t>
      </w:r>
      <w:r w:rsidRPr="00BF1A5A">
        <w:rPr>
          <w:bCs/>
        </w:rPr>
        <w:t>, l</w:t>
      </w:r>
      <w:r w:rsidR="00C66A34">
        <w:rPr>
          <w:bCs/>
        </w:rPr>
        <w:t>’</w:t>
      </w:r>
      <w:r w:rsidRPr="00BF1A5A">
        <w:rPr>
          <w:bCs/>
        </w:rPr>
        <w:t>équipe d</w:t>
      </w:r>
      <w:r w:rsidR="00C66A34">
        <w:rPr>
          <w:bCs/>
        </w:rPr>
        <w:t>’</w:t>
      </w:r>
      <w:r w:rsidRPr="00BF1A5A">
        <w:rPr>
          <w:bCs/>
        </w:rPr>
        <w:t>inspection norvégienne a visité</w:t>
      </w:r>
      <w:r w:rsidR="0049454B">
        <w:rPr>
          <w:bCs/>
        </w:rPr>
        <w:t xml:space="preserve"> en 2018</w:t>
      </w:r>
      <w:r w:rsidRPr="00BF1A5A">
        <w:rPr>
          <w:bCs/>
        </w:rPr>
        <w:t xml:space="preserve"> sept installations</w:t>
      </w:r>
      <w:r w:rsidR="0049454B">
        <w:rPr>
          <w:bCs/>
        </w:rPr>
        <w:t>, parfois éloignées de plus de 750 km l</w:t>
      </w:r>
      <w:r w:rsidR="00C66A34">
        <w:rPr>
          <w:bCs/>
        </w:rPr>
        <w:t>’</w:t>
      </w:r>
      <w:r w:rsidR="0049454B">
        <w:rPr>
          <w:bCs/>
        </w:rPr>
        <w:t>une de l</w:t>
      </w:r>
      <w:r w:rsidR="00C66A34">
        <w:rPr>
          <w:bCs/>
        </w:rPr>
        <w:t>’</w:t>
      </w:r>
      <w:r w:rsidR="0049454B">
        <w:rPr>
          <w:bCs/>
        </w:rPr>
        <w:t>autre,</w:t>
      </w:r>
      <w:r w:rsidRPr="00BF1A5A">
        <w:rPr>
          <w:bCs/>
        </w:rPr>
        <w:t xml:space="preserve"> du 9 au 17 février,</w:t>
      </w:r>
      <w:r w:rsidR="0049454B">
        <w:rPr>
          <w:bCs/>
        </w:rPr>
        <w:t xml:space="preserve"> </w:t>
      </w:r>
      <w:r w:rsidRPr="00BF1A5A">
        <w:rPr>
          <w:bCs/>
        </w:rPr>
        <w:t>ce qui limite considérablement la durée des inspections sur chaque site</w:t>
      </w:r>
      <w:r w:rsidR="0049454B">
        <w:rPr>
          <w:rStyle w:val="Appelnotedebasdep"/>
          <w:bCs/>
        </w:rPr>
        <w:footnoteReference w:id="59"/>
      </w:r>
      <w:r w:rsidRPr="00BF1A5A">
        <w:rPr>
          <w:bCs/>
        </w:rPr>
        <w:t>. Ce constat pourrait être pondéré par le fait que l</w:t>
      </w:r>
      <w:r w:rsidR="00C66A34">
        <w:rPr>
          <w:bCs/>
        </w:rPr>
        <w:t>’</w:t>
      </w:r>
      <w:r w:rsidRPr="00BF1A5A">
        <w:rPr>
          <w:bCs/>
        </w:rPr>
        <w:t>équipe d</w:t>
      </w:r>
      <w:r w:rsidR="00C66A34">
        <w:rPr>
          <w:bCs/>
        </w:rPr>
        <w:t>’</w:t>
      </w:r>
      <w:r w:rsidRPr="00BF1A5A">
        <w:rPr>
          <w:bCs/>
        </w:rPr>
        <w:t>inspection connaît les sites à l</w:t>
      </w:r>
      <w:r w:rsidR="00C66A34">
        <w:rPr>
          <w:bCs/>
        </w:rPr>
        <w:t>’</w:t>
      </w:r>
      <w:r w:rsidRPr="00BF1A5A">
        <w:rPr>
          <w:bCs/>
        </w:rPr>
        <w:t>avance et prépare donc ses visites ; mais tel n</w:t>
      </w:r>
      <w:r w:rsidR="00C66A34">
        <w:rPr>
          <w:bCs/>
        </w:rPr>
        <w:t>’</w:t>
      </w:r>
      <w:r w:rsidRPr="00BF1A5A">
        <w:rPr>
          <w:bCs/>
        </w:rPr>
        <w:t xml:space="preserve">est pas le cas, puisque son rapport indique que </w:t>
      </w:r>
      <w:r w:rsidR="004551A5">
        <w:rPr>
          <w:bCs/>
        </w:rPr>
        <w:t>« </w:t>
      </w:r>
      <w:r w:rsidRPr="001A1849">
        <w:rPr>
          <w:bCs/>
          <w:i/>
          <w:iCs/>
        </w:rPr>
        <w:t xml:space="preserve">the </w:t>
      </w:r>
      <w:proofErr w:type="spellStart"/>
      <w:r w:rsidRPr="001A1849">
        <w:rPr>
          <w:bCs/>
          <w:i/>
          <w:iCs/>
        </w:rPr>
        <w:t>decision</w:t>
      </w:r>
      <w:proofErr w:type="spellEnd"/>
      <w:r w:rsidRPr="001A1849">
        <w:rPr>
          <w:bCs/>
          <w:i/>
          <w:iCs/>
        </w:rPr>
        <w:t xml:space="preserve"> to </w:t>
      </w:r>
      <w:proofErr w:type="spellStart"/>
      <w:r w:rsidRPr="001A1849">
        <w:rPr>
          <w:bCs/>
          <w:i/>
          <w:iCs/>
        </w:rPr>
        <w:t>inspect</w:t>
      </w:r>
      <w:proofErr w:type="spellEnd"/>
      <w:r w:rsidRPr="001A1849">
        <w:rPr>
          <w:bCs/>
          <w:i/>
          <w:iCs/>
        </w:rPr>
        <w:t xml:space="preserve"> SANAP </w:t>
      </w:r>
      <w:proofErr w:type="spellStart"/>
      <w:r w:rsidRPr="001A1849">
        <w:rPr>
          <w:bCs/>
          <w:i/>
          <w:iCs/>
        </w:rPr>
        <w:t>summer</w:t>
      </w:r>
      <w:proofErr w:type="spellEnd"/>
      <w:r w:rsidRPr="001A1849">
        <w:rPr>
          <w:bCs/>
          <w:i/>
          <w:iCs/>
        </w:rPr>
        <w:t xml:space="preserve"> station </w:t>
      </w:r>
      <w:proofErr w:type="spellStart"/>
      <w:r w:rsidRPr="001A1849">
        <w:rPr>
          <w:bCs/>
          <w:i/>
          <w:iCs/>
        </w:rPr>
        <w:t>was</w:t>
      </w:r>
      <w:proofErr w:type="spellEnd"/>
      <w:r w:rsidRPr="001A1849">
        <w:rPr>
          <w:bCs/>
          <w:i/>
          <w:iCs/>
        </w:rPr>
        <w:t xml:space="preserve"> </w:t>
      </w:r>
      <w:proofErr w:type="spellStart"/>
      <w:r w:rsidRPr="001A1849">
        <w:rPr>
          <w:bCs/>
          <w:i/>
          <w:iCs/>
        </w:rPr>
        <w:t>taken</w:t>
      </w:r>
      <w:proofErr w:type="spellEnd"/>
      <w:r w:rsidRPr="001A1849">
        <w:rPr>
          <w:bCs/>
          <w:i/>
          <w:iCs/>
        </w:rPr>
        <w:t xml:space="preserve"> </w:t>
      </w:r>
      <w:proofErr w:type="spellStart"/>
      <w:r w:rsidRPr="001A1849">
        <w:rPr>
          <w:bCs/>
          <w:i/>
          <w:iCs/>
        </w:rPr>
        <w:t>while</w:t>
      </w:r>
      <w:proofErr w:type="spellEnd"/>
      <w:r w:rsidRPr="001A1849">
        <w:rPr>
          <w:bCs/>
          <w:i/>
          <w:iCs/>
        </w:rPr>
        <w:t xml:space="preserve"> the inspection team </w:t>
      </w:r>
      <w:proofErr w:type="spellStart"/>
      <w:r w:rsidRPr="001A1849">
        <w:rPr>
          <w:bCs/>
          <w:i/>
          <w:iCs/>
        </w:rPr>
        <w:t>was</w:t>
      </w:r>
      <w:proofErr w:type="spellEnd"/>
      <w:r w:rsidRPr="001A1849">
        <w:rPr>
          <w:bCs/>
          <w:i/>
          <w:iCs/>
        </w:rPr>
        <w:t xml:space="preserve"> </w:t>
      </w:r>
      <w:proofErr w:type="spellStart"/>
      <w:r w:rsidRPr="001A1849">
        <w:rPr>
          <w:bCs/>
          <w:i/>
          <w:iCs/>
        </w:rPr>
        <w:t>inspecting</w:t>
      </w:r>
      <w:proofErr w:type="spellEnd"/>
      <w:r w:rsidRPr="001A1849">
        <w:rPr>
          <w:bCs/>
          <w:i/>
          <w:iCs/>
        </w:rPr>
        <w:t xml:space="preserve"> </w:t>
      </w:r>
      <w:proofErr w:type="spellStart"/>
      <w:r w:rsidRPr="001A1849">
        <w:rPr>
          <w:bCs/>
          <w:i/>
          <w:iCs/>
        </w:rPr>
        <w:t>Neumayer</w:t>
      </w:r>
      <w:proofErr w:type="spellEnd"/>
      <w:r w:rsidRPr="001A1849">
        <w:rPr>
          <w:bCs/>
          <w:i/>
          <w:iCs/>
        </w:rPr>
        <w:t xml:space="preserve"> III, at </w:t>
      </w:r>
      <w:proofErr w:type="spellStart"/>
      <w:r w:rsidRPr="001A1849">
        <w:rPr>
          <w:bCs/>
          <w:i/>
          <w:iCs/>
        </w:rPr>
        <w:t>which</w:t>
      </w:r>
      <w:proofErr w:type="spellEnd"/>
      <w:r w:rsidRPr="001A1849">
        <w:rPr>
          <w:bCs/>
          <w:i/>
          <w:iCs/>
        </w:rPr>
        <w:t xml:space="preserve"> time the team </w:t>
      </w:r>
      <w:proofErr w:type="spellStart"/>
      <w:r w:rsidRPr="001A1849">
        <w:rPr>
          <w:bCs/>
          <w:i/>
          <w:iCs/>
        </w:rPr>
        <w:t>was</w:t>
      </w:r>
      <w:proofErr w:type="spellEnd"/>
      <w:r w:rsidRPr="001A1849">
        <w:rPr>
          <w:bCs/>
          <w:i/>
          <w:iCs/>
        </w:rPr>
        <w:t xml:space="preserve"> </w:t>
      </w:r>
      <w:proofErr w:type="spellStart"/>
      <w:r w:rsidRPr="001A1849">
        <w:rPr>
          <w:bCs/>
          <w:i/>
          <w:iCs/>
        </w:rPr>
        <w:t>informed</w:t>
      </w:r>
      <w:proofErr w:type="spellEnd"/>
      <w:r w:rsidRPr="001A1849">
        <w:rPr>
          <w:bCs/>
          <w:i/>
          <w:iCs/>
        </w:rPr>
        <w:t xml:space="preserve"> of the existence of </w:t>
      </w:r>
      <w:proofErr w:type="spellStart"/>
      <w:r w:rsidRPr="001A1849">
        <w:rPr>
          <w:bCs/>
          <w:i/>
          <w:iCs/>
        </w:rPr>
        <w:t>this</w:t>
      </w:r>
      <w:proofErr w:type="spellEnd"/>
      <w:r w:rsidRPr="001A1849">
        <w:rPr>
          <w:bCs/>
          <w:i/>
          <w:iCs/>
        </w:rPr>
        <w:t xml:space="preserve"> station</w:t>
      </w:r>
      <w:r w:rsidR="004551A5">
        <w:rPr>
          <w:bCs/>
        </w:rPr>
        <w:t> »</w:t>
      </w:r>
      <w:r w:rsidR="004551A5">
        <w:rPr>
          <w:rStyle w:val="Appelnotedebasdep"/>
          <w:bCs/>
        </w:rPr>
        <w:footnoteReference w:id="60"/>
      </w:r>
      <w:r w:rsidRPr="00BF1A5A">
        <w:rPr>
          <w:bCs/>
        </w:rPr>
        <w:t xml:space="preserve">. </w:t>
      </w:r>
      <w:r w:rsidR="007E31A3">
        <w:rPr>
          <w:bCs/>
        </w:rPr>
        <w:t>L</w:t>
      </w:r>
      <w:r w:rsidRPr="00BF1A5A">
        <w:rPr>
          <w:bCs/>
        </w:rPr>
        <w:t xml:space="preserve">a visite norvégienne du site belge </w:t>
      </w:r>
      <w:r w:rsidRPr="001A1849">
        <w:rPr>
          <w:bCs/>
          <w:i/>
          <w:iCs/>
        </w:rPr>
        <w:t xml:space="preserve">Princess </w:t>
      </w:r>
      <w:proofErr w:type="spellStart"/>
      <w:r w:rsidRPr="001A1849">
        <w:rPr>
          <w:bCs/>
          <w:i/>
          <w:iCs/>
        </w:rPr>
        <w:t>Elisabeth</w:t>
      </w:r>
      <w:proofErr w:type="spellEnd"/>
      <w:r w:rsidRPr="001A1849">
        <w:rPr>
          <w:bCs/>
          <w:i/>
          <w:iCs/>
        </w:rPr>
        <w:t xml:space="preserve"> </w:t>
      </w:r>
      <w:proofErr w:type="spellStart"/>
      <w:r w:rsidRPr="001A1849">
        <w:rPr>
          <w:bCs/>
          <w:i/>
          <w:iCs/>
        </w:rPr>
        <w:t>Antarctica</w:t>
      </w:r>
      <w:proofErr w:type="spellEnd"/>
      <w:r w:rsidRPr="00BF1A5A">
        <w:rPr>
          <w:bCs/>
        </w:rPr>
        <w:t>, le 11 février 2018, n</w:t>
      </w:r>
      <w:r w:rsidR="00C66A34">
        <w:rPr>
          <w:bCs/>
        </w:rPr>
        <w:t>’</w:t>
      </w:r>
      <w:r w:rsidRPr="00BF1A5A">
        <w:rPr>
          <w:bCs/>
        </w:rPr>
        <w:t xml:space="preserve">a </w:t>
      </w:r>
      <w:r w:rsidR="007E31A3">
        <w:rPr>
          <w:bCs/>
        </w:rPr>
        <w:t xml:space="preserve">par exemple </w:t>
      </w:r>
      <w:r w:rsidRPr="00BF1A5A">
        <w:rPr>
          <w:bCs/>
        </w:rPr>
        <w:t>duré que 3h, sachant que la propriété de la station, connue pour être une question complexe depuis l</w:t>
      </w:r>
      <w:r w:rsidR="00C66A34">
        <w:rPr>
          <w:bCs/>
        </w:rPr>
        <w:t>’</w:t>
      </w:r>
      <w:r w:rsidRPr="00BF1A5A">
        <w:rPr>
          <w:bCs/>
        </w:rPr>
        <w:t xml:space="preserve">inspection </w:t>
      </w:r>
      <w:r w:rsidR="006A5010">
        <w:rPr>
          <w:bCs/>
        </w:rPr>
        <w:t xml:space="preserve">également </w:t>
      </w:r>
      <w:r w:rsidRPr="00BF1A5A">
        <w:rPr>
          <w:bCs/>
        </w:rPr>
        <w:t>norvégienne de 2009, a conduit l</w:t>
      </w:r>
      <w:r w:rsidR="00C66A34">
        <w:rPr>
          <w:bCs/>
        </w:rPr>
        <w:t>’</w:t>
      </w:r>
      <w:r w:rsidRPr="00BF1A5A">
        <w:rPr>
          <w:bCs/>
        </w:rPr>
        <w:t>équipe à passer</w:t>
      </w:r>
      <w:r w:rsidR="001A1849">
        <w:rPr>
          <w:bCs/>
        </w:rPr>
        <w:t>, pour ne pas dire perdre,</w:t>
      </w:r>
      <w:r w:rsidRPr="00BF1A5A">
        <w:rPr>
          <w:bCs/>
        </w:rPr>
        <w:t xml:space="preserve"> </w:t>
      </w:r>
      <w:r w:rsidR="001A1849">
        <w:rPr>
          <w:bCs/>
        </w:rPr>
        <w:t>« </w:t>
      </w:r>
      <w:proofErr w:type="spellStart"/>
      <w:r w:rsidRPr="00A35F91">
        <w:rPr>
          <w:bCs/>
          <w:i/>
          <w:iCs/>
        </w:rPr>
        <w:t>some</w:t>
      </w:r>
      <w:proofErr w:type="spellEnd"/>
      <w:r w:rsidRPr="00A35F91">
        <w:rPr>
          <w:bCs/>
          <w:i/>
          <w:iCs/>
        </w:rPr>
        <w:t xml:space="preserve"> time and effort in </w:t>
      </w:r>
      <w:proofErr w:type="spellStart"/>
      <w:r w:rsidRPr="00A35F91">
        <w:rPr>
          <w:bCs/>
          <w:i/>
          <w:iCs/>
        </w:rPr>
        <w:t>trying</w:t>
      </w:r>
      <w:proofErr w:type="spellEnd"/>
      <w:r w:rsidRPr="00A35F91">
        <w:rPr>
          <w:bCs/>
          <w:i/>
          <w:iCs/>
        </w:rPr>
        <w:t xml:space="preserve"> to </w:t>
      </w:r>
      <w:proofErr w:type="spellStart"/>
      <w:r w:rsidRPr="00A35F91">
        <w:rPr>
          <w:bCs/>
          <w:i/>
          <w:iCs/>
        </w:rPr>
        <w:t>understand</w:t>
      </w:r>
      <w:proofErr w:type="spellEnd"/>
      <w:r w:rsidRPr="00A35F91">
        <w:rPr>
          <w:bCs/>
          <w:i/>
          <w:iCs/>
        </w:rPr>
        <w:t xml:space="preserve"> and </w:t>
      </w:r>
      <w:proofErr w:type="spellStart"/>
      <w:r w:rsidRPr="00A35F91">
        <w:rPr>
          <w:bCs/>
          <w:i/>
          <w:iCs/>
        </w:rPr>
        <w:t>get</w:t>
      </w:r>
      <w:proofErr w:type="spellEnd"/>
      <w:r w:rsidRPr="00A35F91">
        <w:rPr>
          <w:bCs/>
          <w:i/>
          <w:iCs/>
        </w:rPr>
        <w:t xml:space="preserve"> </w:t>
      </w:r>
      <w:proofErr w:type="spellStart"/>
      <w:r w:rsidRPr="00A35F91">
        <w:rPr>
          <w:bCs/>
          <w:i/>
          <w:iCs/>
        </w:rPr>
        <w:t>clarity</w:t>
      </w:r>
      <w:proofErr w:type="spellEnd"/>
      <w:r w:rsidRPr="00A35F91">
        <w:rPr>
          <w:bCs/>
          <w:i/>
          <w:iCs/>
        </w:rPr>
        <w:t xml:space="preserve"> </w:t>
      </w:r>
      <w:proofErr w:type="spellStart"/>
      <w:r w:rsidRPr="00A35F91">
        <w:rPr>
          <w:bCs/>
          <w:i/>
          <w:iCs/>
        </w:rPr>
        <w:t>with</w:t>
      </w:r>
      <w:proofErr w:type="spellEnd"/>
      <w:r w:rsidRPr="00A35F91">
        <w:rPr>
          <w:bCs/>
          <w:i/>
          <w:iCs/>
        </w:rPr>
        <w:t xml:space="preserve"> regard to the </w:t>
      </w:r>
      <w:proofErr w:type="spellStart"/>
      <w:r w:rsidRPr="00A35F91">
        <w:rPr>
          <w:bCs/>
          <w:i/>
          <w:iCs/>
        </w:rPr>
        <w:t>current</w:t>
      </w:r>
      <w:proofErr w:type="spellEnd"/>
      <w:r w:rsidRPr="00A35F91">
        <w:rPr>
          <w:bCs/>
          <w:i/>
          <w:iCs/>
        </w:rPr>
        <w:t xml:space="preserve"> situation</w:t>
      </w:r>
      <w:r w:rsidR="001A1849">
        <w:rPr>
          <w:bCs/>
        </w:rPr>
        <w:t> »</w:t>
      </w:r>
      <w:r w:rsidR="001A1849">
        <w:rPr>
          <w:rStyle w:val="Appelnotedebasdep"/>
          <w:bCs/>
        </w:rPr>
        <w:footnoteReference w:id="61"/>
      </w:r>
      <w:r w:rsidRPr="00BF1A5A">
        <w:rPr>
          <w:bCs/>
        </w:rPr>
        <w:t xml:space="preserve">. Par </w:t>
      </w:r>
      <w:r w:rsidR="00A35F91">
        <w:rPr>
          <w:bCs/>
        </w:rPr>
        <w:t>ailleurs</w:t>
      </w:r>
      <w:r w:rsidRPr="00BF1A5A">
        <w:rPr>
          <w:bCs/>
        </w:rPr>
        <w:t>, l</w:t>
      </w:r>
      <w:r w:rsidR="00C66A34">
        <w:rPr>
          <w:bCs/>
        </w:rPr>
        <w:t>’</w:t>
      </w:r>
      <w:r w:rsidRPr="00BF1A5A">
        <w:rPr>
          <w:bCs/>
        </w:rPr>
        <w:t xml:space="preserve">inspection de la station </w:t>
      </w:r>
      <w:r w:rsidRPr="00A35F91">
        <w:rPr>
          <w:bCs/>
          <w:i/>
          <w:iCs/>
        </w:rPr>
        <w:t>Perseus</w:t>
      </w:r>
      <w:r w:rsidRPr="00BF1A5A">
        <w:rPr>
          <w:bCs/>
        </w:rPr>
        <w:t xml:space="preserve"> (détenue par la société russe ALCI Nord) </w:t>
      </w:r>
      <w:r w:rsidR="00A35F91">
        <w:rPr>
          <w:bCs/>
        </w:rPr>
        <w:t xml:space="preserve">pendant la même campagne </w:t>
      </w:r>
      <w:r w:rsidRPr="00BF1A5A">
        <w:rPr>
          <w:bCs/>
        </w:rPr>
        <w:t>a été réduite à un simple survol composé de trois cercles au-dessus de la station, du fait de l</w:t>
      </w:r>
      <w:r w:rsidR="00C66A34">
        <w:rPr>
          <w:bCs/>
        </w:rPr>
        <w:t>’</w:t>
      </w:r>
      <w:r w:rsidRPr="00BF1A5A">
        <w:rPr>
          <w:bCs/>
        </w:rPr>
        <w:t>absence d</w:t>
      </w:r>
      <w:r w:rsidR="00C66A34">
        <w:rPr>
          <w:bCs/>
        </w:rPr>
        <w:t>’</w:t>
      </w:r>
      <w:r w:rsidRPr="00BF1A5A">
        <w:rPr>
          <w:bCs/>
        </w:rPr>
        <w:t>autorisation d</w:t>
      </w:r>
      <w:r w:rsidR="00C66A34">
        <w:rPr>
          <w:bCs/>
        </w:rPr>
        <w:t>’</w:t>
      </w:r>
      <w:r w:rsidRPr="00BF1A5A">
        <w:rPr>
          <w:bCs/>
        </w:rPr>
        <w:t>atterrir. Les inspecteurs se sont donc contentés de survoler la zone puis, à l</w:t>
      </w:r>
      <w:r w:rsidR="00C66A34">
        <w:rPr>
          <w:bCs/>
        </w:rPr>
        <w:t>’</w:t>
      </w:r>
      <w:r w:rsidRPr="00BF1A5A">
        <w:rPr>
          <w:bCs/>
        </w:rPr>
        <w:t>occasion de la visite d</w:t>
      </w:r>
      <w:r w:rsidR="00C66A34">
        <w:rPr>
          <w:bCs/>
        </w:rPr>
        <w:t>’</w:t>
      </w:r>
      <w:r w:rsidRPr="00BF1A5A">
        <w:rPr>
          <w:bCs/>
        </w:rPr>
        <w:t xml:space="preserve">une autre base </w:t>
      </w:r>
      <w:r w:rsidR="00A35F91">
        <w:rPr>
          <w:bCs/>
        </w:rPr>
        <w:t>–</w:t>
      </w:r>
      <w:r w:rsidRPr="00BF1A5A">
        <w:rPr>
          <w:bCs/>
        </w:rPr>
        <w:t xml:space="preserve"> au pas de course, puisqu</w:t>
      </w:r>
      <w:r w:rsidR="00C66A34">
        <w:rPr>
          <w:bCs/>
        </w:rPr>
        <w:t>’</w:t>
      </w:r>
      <w:r w:rsidRPr="00BF1A5A">
        <w:rPr>
          <w:bCs/>
        </w:rPr>
        <w:t xml:space="preserve">elle </w:t>
      </w:r>
      <w:r w:rsidRPr="00BF1A5A">
        <w:rPr>
          <w:bCs/>
        </w:rPr>
        <w:lastRenderedPageBreak/>
        <w:t>a duré 2h seulement</w:t>
      </w:r>
      <w:r w:rsidR="00A35F91">
        <w:rPr>
          <w:rStyle w:val="Appelnotedebasdep"/>
          <w:bCs/>
        </w:rPr>
        <w:footnoteReference w:id="62"/>
      </w:r>
      <w:r w:rsidR="006A5010">
        <w:rPr>
          <w:bCs/>
        </w:rPr>
        <w:t xml:space="preserve"> –</w:t>
      </w:r>
      <w:r w:rsidRPr="00BF1A5A">
        <w:rPr>
          <w:bCs/>
        </w:rPr>
        <w:t xml:space="preserve">, de poser des questions sur les activités en cours à </w:t>
      </w:r>
      <w:r w:rsidRPr="00B45FF0">
        <w:rPr>
          <w:bCs/>
          <w:i/>
          <w:iCs/>
        </w:rPr>
        <w:t>Perseus</w:t>
      </w:r>
      <w:r w:rsidR="00893D9B">
        <w:rPr>
          <w:rStyle w:val="Appelnotedebasdep"/>
          <w:bCs/>
        </w:rPr>
        <w:footnoteReference w:id="63"/>
      </w:r>
      <w:r w:rsidRPr="00BF1A5A">
        <w:rPr>
          <w:bCs/>
        </w:rPr>
        <w:t>. Bien que l</w:t>
      </w:r>
      <w:r w:rsidR="00C66A34">
        <w:rPr>
          <w:bCs/>
        </w:rPr>
        <w:t>’</w:t>
      </w:r>
      <w:r w:rsidRPr="00BF1A5A">
        <w:rPr>
          <w:bCs/>
        </w:rPr>
        <w:t>inspection par survol soit dûment autorisée par l</w:t>
      </w:r>
      <w:r w:rsidR="00C66A34">
        <w:rPr>
          <w:bCs/>
        </w:rPr>
        <w:t>’</w:t>
      </w:r>
      <w:r w:rsidRPr="00BF1A5A">
        <w:rPr>
          <w:bCs/>
        </w:rPr>
        <w:t>article 7 du Traité sur l</w:t>
      </w:r>
      <w:r w:rsidR="00C66A34">
        <w:rPr>
          <w:bCs/>
        </w:rPr>
        <w:t>’</w:t>
      </w:r>
      <w:r w:rsidRPr="00BF1A5A">
        <w:rPr>
          <w:bCs/>
        </w:rPr>
        <w:t>Antarctique</w:t>
      </w:r>
      <w:r w:rsidR="0069110B">
        <w:rPr>
          <w:rStyle w:val="Appelnotedebasdep"/>
          <w:bCs/>
        </w:rPr>
        <w:footnoteReference w:id="64"/>
      </w:r>
      <w:r w:rsidRPr="00BF1A5A">
        <w:rPr>
          <w:bCs/>
        </w:rPr>
        <w:t>, le récit de ces difficultés</w:t>
      </w:r>
      <w:r w:rsidR="00B45FF0">
        <w:rPr>
          <w:bCs/>
        </w:rPr>
        <w:t>, au regard de l</w:t>
      </w:r>
      <w:r w:rsidR="00C66A34">
        <w:rPr>
          <w:bCs/>
        </w:rPr>
        <w:t>’</w:t>
      </w:r>
      <w:r w:rsidR="00B45FF0">
        <w:rPr>
          <w:bCs/>
        </w:rPr>
        <w:t>ancienneté du régime,</w:t>
      </w:r>
      <w:r w:rsidRPr="00BF1A5A">
        <w:rPr>
          <w:bCs/>
        </w:rPr>
        <w:t xml:space="preserve"> ne peut que surprendre</w:t>
      </w:r>
      <w:r w:rsidR="00B45FF0">
        <w:rPr>
          <w:bCs/>
        </w:rPr>
        <w:t>.</w:t>
      </w:r>
    </w:p>
    <w:p w14:paraId="7555740C" w14:textId="77777777" w:rsidR="00A35F91" w:rsidRDefault="00A35F91" w:rsidP="00DB16E0">
      <w:pPr>
        <w:spacing w:after="0" w:line="240" w:lineRule="auto"/>
        <w:rPr>
          <w:bCs/>
        </w:rPr>
      </w:pPr>
    </w:p>
    <w:p w14:paraId="6A51D656" w14:textId="510CE44E" w:rsidR="003C64AB" w:rsidRDefault="00A35F91" w:rsidP="00EA63E3">
      <w:pPr>
        <w:spacing w:after="0" w:line="240" w:lineRule="auto"/>
        <w:rPr>
          <w:bCs/>
        </w:rPr>
      </w:pPr>
      <w:r w:rsidRPr="00BF1A5A">
        <w:rPr>
          <w:bCs/>
        </w:rPr>
        <w:t>La lecture des rapports récents, alors que l</w:t>
      </w:r>
      <w:r w:rsidR="007265A2">
        <w:rPr>
          <w:bCs/>
        </w:rPr>
        <w:t xml:space="preserve">es </w:t>
      </w:r>
      <w:r w:rsidRPr="00BF1A5A">
        <w:rPr>
          <w:bCs/>
        </w:rPr>
        <w:t>inspection</w:t>
      </w:r>
      <w:r w:rsidR="007265A2">
        <w:rPr>
          <w:bCs/>
        </w:rPr>
        <w:t>s</w:t>
      </w:r>
      <w:r w:rsidRPr="00BF1A5A">
        <w:rPr>
          <w:bCs/>
        </w:rPr>
        <w:t xml:space="preserve"> existe</w:t>
      </w:r>
      <w:r w:rsidR="007265A2">
        <w:rPr>
          <w:bCs/>
        </w:rPr>
        <w:t>nt</w:t>
      </w:r>
      <w:r w:rsidRPr="00BF1A5A">
        <w:rPr>
          <w:bCs/>
        </w:rPr>
        <w:t xml:space="preserve"> depuis soixante ans, laisse ainsi le lecteur circonspect quant à leur organisation</w:t>
      </w:r>
      <w:r w:rsidR="00DC0EEC">
        <w:rPr>
          <w:bCs/>
        </w:rPr>
        <w:t>,</w:t>
      </w:r>
      <w:r w:rsidR="0069110B">
        <w:rPr>
          <w:bCs/>
        </w:rPr>
        <w:t xml:space="preserve"> et</w:t>
      </w:r>
      <w:r w:rsidR="00DC0EEC">
        <w:rPr>
          <w:bCs/>
        </w:rPr>
        <w:t xml:space="preserve"> par conséquent</w:t>
      </w:r>
      <w:r w:rsidR="0069110B">
        <w:rPr>
          <w:bCs/>
        </w:rPr>
        <w:t xml:space="preserve"> quant à l</w:t>
      </w:r>
      <w:r w:rsidR="00C66A34">
        <w:rPr>
          <w:bCs/>
        </w:rPr>
        <w:t>’</w:t>
      </w:r>
      <w:r w:rsidR="0069110B">
        <w:rPr>
          <w:bCs/>
        </w:rPr>
        <w:t>importance accordée par les États membres à ce contrôle</w:t>
      </w:r>
      <w:r w:rsidR="00DC0EEC">
        <w:rPr>
          <w:bCs/>
        </w:rPr>
        <w:t xml:space="preserve"> pourtant si durement acquis</w:t>
      </w:r>
      <w:r w:rsidR="0069110B">
        <w:rPr>
          <w:bCs/>
        </w:rPr>
        <w:t>.</w:t>
      </w:r>
      <w:r w:rsidR="00A50F08">
        <w:rPr>
          <w:bCs/>
        </w:rPr>
        <w:t xml:space="preserve"> L’importance conférée aux inspections demeure naturellement un critère subjectif. Cependant, </w:t>
      </w:r>
      <w:r w:rsidR="002150DD">
        <w:rPr>
          <w:bCs/>
        </w:rPr>
        <w:t>l</w:t>
      </w:r>
      <w:r w:rsidR="00A50F08">
        <w:rPr>
          <w:bCs/>
        </w:rPr>
        <w:t xml:space="preserve">es activités menées sur les stations </w:t>
      </w:r>
      <w:r w:rsidR="002150DD">
        <w:rPr>
          <w:bCs/>
        </w:rPr>
        <w:t>de manière concomitante aux</w:t>
      </w:r>
      <w:r w:rsidR="00A50F08">
        <w:rPr>
          <w:bCs/>
        </w:rPr>
        <w:t xml:space="preserve"> inspections, alors mêmes qu’elles sont notifiées à l’avance – bien que le Traité ne rende pas cette information préalable obligatoire – </w:t>
      </w:r>
      <w:r w:rsidR="002150DD">
        <w:rPr>
          <w:bCs/>
        </w:rPr>
        <w:t>sont révélatrices des priorités locales.</w:t>
      </w:r>
      <w:r w:rsidR="0069110B">
        <w:rPr>
          <w:bCs/>
        </w:rPr>
        <w:t xml:space="preserve"> </w:t>
      </w:r>
      <w:r w:rsidR="002150DD">
        <w:rPr>
          <w:bCs/>
        </w:rPr>
        <w:t xml:space="preserve">En particulier, le </w:t>
      </w:r>
      <w:r w:rsidR="0069110B">
        <w:rPr>
          <w:bCs/>
        </w:rPr>
        <w:t>tourisme</w:t>
      </w:r>
      <w:r w:rsidR="002150DD">
        <w:rPr>
          <w:bCs/>
        </w:rPr>
        <w:t xml:space="preserve"> est</w:t>
      </w:r>
      <w:r w:rsidR="007265A2">
        <w:rPr>
          <w:bCs/>
        </w:rPr>
        <w:t xml:space="preserve"> manifestement devenu</w:t>
      </w:r>
      <w:r w:rsidR="0069110B">
        <w:rPr>
          <w:bCs/>
        </w:rPr>
        <w:t xml:space="preserve"> un enjeu majeur du développement des activités en Antarctique</w:t>
      </w:r>
      <w:r w:rsidR="002150DD">
        <w:rPr>
          <w:bCs/>
        </w:rPr>
        <w:t>,</w:t>
      </w:r>
      <w:r w:rsidR="00DC0EEC">
        <w:rPr>
          <w:bCs/>
        </w:rPr>
        <w:t xml:space="preserve"> à tel point que </w:t>
      </w:r>
      <w:r w:rsidR="0069110B">
        <w:rPr>
          <w:bCs/>
        </w:rPr>
        <w:t xml:space="preserve">la priorité semble </w:t>
      </w:r>
      <w:r w:rsidR="00DC0EEC">
        <w:rPr>
          <w:bCs/>
        </w:rPr>
        <w:t>aujourd</w:t>
      </w:r>
      <w:r w:rsidR="00C66A34">
        <w:rPr>
          <w:bCs/>
        </w:rPr>
        <w:t>’</w:t>
      </w:r>
      <w:r w:rsidR="00DC0EEC">
        <w:rPr>
          <w:bCs/>
        </w:rPr>
        <w:t xml:space="preserve">hui </w:t>
      </w:r>
      <w:r w:rsidR="0069110B">
        <w:rPr>
          <w:bCs/>
        </w:rPr>
        <w:t>volontiers donnée à l</w:t>
      </w:r>
      <w:r w:rsidR="00C66A34">
        <w:rPr>
          <w:bCs/>
        </w:rPr>
        <w:t>’</w:t>
      </w:r>
      <w:r w:rsidR="0069110B">
        <w:rPr>
          <w:bCs/>
        </w:rPr>
        <w:t>accueil de visiteurs</w:t>
      </w:r>
      <w:r w:rsidR="00DC0EEC">
        <w:rPr>
          <w:bCs/>
        </w:rPr>
        <w:t xml:space="preserve"> y compris pendant les inspections</w:t>
      </w:r>
      <w:r w:rsidR="002150DD">
        <w:rPr>
          <w:bCs/>
        </w:rPr>
        <w:t>. C</w:t>
      </w:r>
      <w:r w:rsidR="00DC0EEC">
        <w:rPr>
          <w:bCs/>
        </w:rPr>
        <w:t>es enjeux</w:t>
      </w:r>
      <w:r w:rsidR="002150DD">
        <w:rPr>
          <w:bCs/>
        </w:rPr>
        <w:t>, de nature géopolitique,</w:t>
      </w:r>
      <w:r w:rsidR="00DC0EEC">
        <w:rPr>
          <w:bCs/>
        </w:rPr>
        <w:t xml:space="preserve"> ont un</w:t>
      </w:r>
      <w:r w:rsidR="007265A2">
        <w:rPr>
          <w:bCs/>
        </w:rPr>
        <w:t xml:space="preserve"> impact direct sur l</w:t>
      </w:r>
      <w:r w:rsidR="00C66A34">
        <w:rPr>
          <w:bCs/>
        </w:rPr>
        <w:t>’</w:t>
      </w:r>
      <w:r w:rsidR="007265A2">
        <w:rPr>
          <w:bCs/>
        </w:rPr>
        <w:t>intérêt porté aux inspections.</w:t>
      </w:r>
      <w:r w:rsidR="0069110B">
        <w:rPr>
          <w:bCs/>
        </w:rPr>
        <w:t xml:space="preserve"> </w:t>
      </w:r>
      <w:r w:rsidR="007265A2">
        <w:rPr>
          <w:bCs/>
        </w:rPr>
        <w:t>La</w:t>
      </w:r>
      <w:r w:rsidR="00B766E2" w:rsidRPr="00B766E2">
        <w:rPr>
          <w:bCs/>
        </w:rPr>
        <w:t xml:space="preserve"> </w:t>
      </w:r>
      <w:r w:rsidR="00B766E2">
        <w:rPr>
          <w:bCs/>
        </w:rPr>
        <w:t>« </w:t>
      </w:r>
      <w:r w:rsidR="00B766E2" w:rsidRPr="00B766E2">
        <w:rPr>
          <w:bCs/>
        </w:rPr>
        <w:t>Checklist</w:t>
      </w:r>
      <w:r w:rsidR="00B766E2">
        <w:rPr>
          <w:bCs/>
        </w:rPr>
        <w:t> » officielle</w:t>
      </w:r>
      <w:r w:rsidR="00B766E2" w:rsidRPr="00B766E2">
        <w:rPr>
          <w:bCs/>
        </w:rPr>
        <w:t xml:space="preserve"> des inspections, qui constitue une ligne directrice non contraignante mais en pratique utilisée par toutes les équipes d</w:t>
      </w:r>
      <w:r w:rsidR="00C66A34">
        <w:rPr>
          <w:bCs/>
        </w:rPr>
        <w:t>’</w:t>
      </w:r>
      <w:r w:rsidR="00B766E2" w:rsidRPr="00B766E2">
        <w:rPr>
          <w:bCs/>
        </w:rPr>
        <w:t xml:space="preserve">inspection pour évaluer les installations visitées, prévoit </w:t>
      </w:r>
      <w:r w:rsidR="007265A2">
        <w:rPr>
          <w:bCs/>
        </w:rPr>
        <w:t>d</w:t>
      </w:r>
      <w:r w:rsidR="00C66A34">
        <w:rPr>
          <w:bCs/>
        </w:rPr>
        <w:t>’</w:t>
      </w:r>
      <w:r w:rsidR="007265A2">
        <w:rPr>
          <w:bCs/>
        </w:rPr>
        <w:t xml:space="preserve">ailleurs, </w:t>
      </w:r>
      <w:r w:rsidR="00B766E2" w:rsidRPr="00B766E2">
        <w:rPr>
          <w:bCs/>
        </w:rPr>
        <w:t>dorénavant</w:t>
      </w:r>
      <w:r w:rsidR="007265A2">
        <w:rPr>
          <w:bCs/>
        </w:rPr>
        <w:t>,</w:t>
      </w:r>
      <w:r w:rsidR="00B766E2" w:rsidRPr="00B766E2">
        <w:rPr>
          <w:bCs/>
        </w:rPr>
        <w:t xml:space="preserve"> une section 6</w:t>
      </w:r>
      <w:r w:rsidR="00205644">
        <w:rPr>
          <w:bCs/>
        </w:rPr>
        <w:t xml:space="preserve"> </w:t>
      </w:r>
      <w:r w:rsidR="00B766E2" w:rsidRPr="00B766E2">
        <w:rPr>
          <w:bCs/>
        </w:rPr>
        <w:t xml:space="preserve">relative </w:t>
      </w:r>
      <w:r w:rsidR="00B766E2">
        <w:rPr>
          <w:bCs/>
        </w:rPr>
        <w:t>à la mesure des</w:t>
      </w:r>
      <w:r w:rsidR="00B766E2" w:rsidRPr="00B766E2">
        <w:rPr>
          <w:bCs/>
        </w:rPr>
        <w:t xml:space="preserve"> activités touristiques et des organisations non gouvernementales</w:t>
      </w:r>
      <w:r w:rsidR="00B766E2">
        <w:rPr>
          <w:rStyle w:val="Appelnotedebasdep"/>
          <w:bCs/>
        </w:rPr>
        <w:footnoteReference w:id="65"/>
      </w:r>
      <w:r w:rsidR="00B766E2" w:rsidRPr="00B766E2">
        <w:rPr>
          <w:bCs/>
        </w:rPr>
        <w:t xml:space="preserve">. </w:t>
      </w:r>
      <w:r w:rsidR="00B766E2">
        <w:rPr>
          <w:bCs/>
        </w:rPr>
        <w:t xml:space="preserve">Il </w:t>
      </w:r>
      <w:r w:rsidR="007265A2">
        <w:rPr>
          <w:bCs/>
        </w:rPr>
        <w:t>résulte de ces nouveaux intérêts économiques, à l</w:t>
      </w:r>
      <w:r w:rsidR="00C66A34">
        <w:rPr>
          <w:bCs/>
        </w:rPr>
        <w:t>’</w:t>
      </w:r>
      <w:r w:rsidR="007265A2">
        <w:rPr>
          <w:bCs/>
        </w:rPr>
        <w:t xml:space="preserve">heure où la </w:t>
      </w:r>
      <w:r w:rsidR="00F35FBB">
        <w:rPr>
          <w:bCs/>
        </w:rPr>
        <w:t>G</w:t>
      </w:r>
      <w:r w:rsidR="007265A2">
        <w:rPr>
          <w:bCs/>
        </w:rPr>
        <w:t>uerre froide n</w:t>
      </w:r>
      <w:r w:rsidR="00C66A34">
        <w:rPr>
          <w:bCs/>
        </w:rPr>
        <w:t>’</w:t>
      </w:r>
      <w:r w:rsidR="007265A2">
        <w:rPr>
          <w:bCs/>
        </w:rPr>
        <w:t>est plus,</w:t>
      </w:r>
      <w:r w:rsidR="00B766E2">
        <w:rPr>
          <w:bCs/>
        </w:rPr>
        <w:t xml:space="preserve"> un changement de paradigme </w:t>
      </w:r>
      <w:r w:rsidR="002150DD">
        <w:rPr>
          <w:bCs/>
        </w:rPr>
        <w:t xml:space="preserve">quant à </w:t>
      </w:r>
      <w:r w:rsidR="00B766E2">
        <w:rPr>
          <w:bCs/>
        </w:rPr>
        <w:t>l</w:t>
      </w:r>
      <w:r w:rsidR="00C66A34">
        <w:rPr>
          <w:bCs/>
        </w:rPr>
        <w:t>’</w:t>
      </w:r>
      <w:r w:rsidR="00B766E2">
        <w:rPr>
          <w:bCs/>
        </w:rPr>
        <w:t>utilisation pacifique de l</w:t>
      </w:r>
      <w:r w:rsidR="00C66A34">
        <w:rPr>
          <w:bCs/>
        </w:rPr>
        <w:t>’</w:t>
      </w:r>
      <w:r w:rsidR="00B766E2">
        <w:rPr>
          <w:bCs/>
        </w:rPr>
        <w:t>Antarctique</w:t>
      </w:r>
      <w:r w:rsidR="006A5010">
        <w:rPr>
          <w:bCs/>
        </w:rPr>
        <w:t>, lequel est</w:t>
      </w:r>
      <w:r w:rsidR="00B766E2">
        <w:rPr>
          <w:bCs/>
        </w:rPr>
        <w:t xml:space="preserve"> nature à relativiser, voire à éteindre, les</w:t>
      </w:r>
      <w:r w:rsidR="002150DD">
        <w:rPr>
          <w:bCs/>
        </w:rPr>
        <w:t xml:space="preserve"> anciennes</w:t>
      </w:r>
      <w:r w:rsidR="00B766E2">
        <w:rPr>
          <w:bCs/>
        </w:rPr>
        <w:t xml:space="preserve"> craintes mondiales</w:t>
      </w:r>
      <w:r w:rsidR="007265A2">
        <w:rPr>
          <w:bCs/>
        </w:rPr>
        <w:t xml:space="preserve"> –</w:t>
      </w:r>
      <w:r w:rsidR="00B766E2">
        <w:rPr>
          <w:bCs/>
        </w:rPr>
        <w:t xml:space="preserve"> datées</w:t>
      </w:r>
      <w:r w:rsidR="007265A2">
        <w:rPr>
          <w:bCs/>
        </w:rPr>
        <w:t xml:space="preserve"> –</w:t>
      </w:r>
      <w:r w:rsidR="00B766E2">
        <w:rPr>
          <w:bCs/>
        </w:rPr>
        <w:t xml:space="preserve"> quant à la démilitarisation de la zone.</w:t>
      </w:r>
      <w:r w:rsidR="00CE5427">
        <w:rPr>
          <w:bCs/>
        </w:rPr>
        <w:t xml:space="preserve"> Ces évolutions, </w:t>
      </w:r>
      <w:r w:rsidR="002150DD">
        <w:rPr>
          <w:bCs/>
        </w:rPr>
        <w:t>aus</w:t>
      </w:r>
      <w:r w:rsidR="00CE5427">
        <w:rPr>
          <w:bCs/>
        </w:rPr>
        <w:t>si positives qu</w:t>
      </w:r>
      <w:r w:rsidR="00C66A34">
        <w:rPr>
          <w:bCs/>
        </w:rPr>
        <w:t>’</w:t>
      </w:r>
      <w:r w:rsidR="00CE5427">
        <w:rPr>
          <w:bCs/>
        </w:rPr>
        <w:t xml:space="preserve">elles puissent être perçues du point de vue de la stabilité du monde, font cependant craindre </w:t>
      </w:r>
      <w:r w:rsidR="003C64AB">
        <w:rPr>
          <w:bCs/>
        </w:rPr>
        <w:t>une forme de dégénérescence de l</w:t>
      </w:r>
      <w:r w:rsidR="00C66A34">
        <w:rPr>
          <w:bCs/>
        </w:rPr>
        <w:t>’</w:t>
      </w:r>
      <w:r w:rsidR="003C64AB">
        <w:rPr>
          <w:bCs/>
        </w:rPr>
        <w:t>inspection Antarctique. Standardisée à l</w:t>
      </w:r>
      <w:r w:rsidR="00C66A34">
        <w:rPr>
          <w:bCs/>
        </w:rPr>
        <w:t>’</w:t>
      </w:r>
      <w:r w:rsidR="003C64AB">
        <w:rPr>
          <w:bCs/>
        </w:rPr>
        <w:t>excès pour gagner en efficacité, son objet paraît, de l</w:t>
      </w:r>
      <w:r w:rsidR="00C66A34">
        <w:rPr>
          <w:bCs/>
        </w:rPr>
        <w:t>’</w:t>
      </w:r>
      <w:r w:rsidR="003C64AB">
        <w:rPr>
          <w:bCs/>
        </w:rPr>
        <w:t>extérieur, philosophiquement désuet, de sorte qu</w:t>
      </w:r>
      <w:r w:rsidR="00C66A34">
        <w:rPr>
          <w:bCs/>
        </w:rPr>
        <w:t>’</w:t>
      </w:r>
      <w:r w:rsidR="003C64AB">
        <w:rPr>
          <w:bCs/>
        </w:rPr>
        <w:t>il est possible de questionner l</w:t>
      </w:r>
      <w:r w:rsidR="00C66A34">
        <w:rPr>
          <w:bCs/>
        </w:rPr>
        <w:t>’</w:t>
      </w:r>
      <w:r w:rsidR="003C64AB">
        <w:rPr>
          <w:bCs/>
        </w:rPr>
        <w:t>avenir de ce régime qui a pourtant fait ses preuves – puisqu</w:t>
      </w:r>
      <w:r w:rsidR="00C66A34">
        <w:rPr>
          <w:bCs/>
        </w:rPr>
        <w:t>’</w:t>
      </w:r>
      <w:r w:rsidR="003C64AB">
        <w:rPr>
          <w:bCs/>
        </w:rPr>
        <w:t>aucune arme ni tentative d</w:t>
      </w:r>
      <w:r w:rsidR="00C66A34">
        <w:rPr>
          <w:bCs/>
        </w:rPr>
        <w:t>’</w:t>
      </w:r>
      <w:r w:rsidR="003C64AB">
        <w:rPr>
          <w:bCs/>
        </w:rPr>
        <w:t>armement n</w:t>
      </w:r>
      <w:r w:rsidR="00C66A34">
        <w:rPr>
          <w:bCs/>
        </w:rPr>
        <w:t>’</w:t>
      </w:r>
      <w:r w:rsidR="003C64AB">
        <w:rPr>
          <w:bCs/>
        </w:rPr>
        <w:t xml:space="preserve">a </w:t>
      </w:r>
      <w:r w:rsidR="002150DD">
        <w:rPr>
          <w:bCs/>
        </w:rPr>
        <w:t xml:space="preserve">jamais </w:t>
      </w:r>
      <w:r w:rsidR="003C64AB">
        <w:rPr>
          <w:bCs/>
        </w:rPr>
        <w:t>été décelée en Antarctique. Bien que le Protocole de Madrid</w:t>
      </w:r>
      <w:r w:rsidR="002150DD">
        <w:rPr>
          <w:bCs/>
        </w:rPr>
        <w:t xml:space="preserve"> de 1991</w:t>
      </w:r>
      <w:r w:rsidR="002150DD">
        <w:rPr>
          <w:rStyle w:val="Appelnotedebasdep"/>
          <w:bCs/>
        </w:rPr>
        <w:footnoteReference w:id="66"/>
      </w:r>
      <w:r w:rsidR="003C64AB">
        <w:rPr>
          <w:bCs/>
        </w:rPr>
        <w:t>, en ce qu</w:t>
      </w:r>
      <w:r w:rsidR="00C66A34">
        <w:rPr>
          <w:bCs/>
        </w:rPr>
        <w:t>’</w:t>
      </w:r>
      <w:r w:rsidR="003C64AB">
        <w:rPr>
          <w:bCs/>
        </w:rPr>
        <w:t xml:space="preserve">il concerne les impacts environnementaux, participe à donner un </w:t>
      </w:r>
      <w:r w:rsidR="006A5010">
        <w:rPr>
          <w:bCs/>
        </w:rPr>
        <w:t>sens nouveau</w:t>
      </w:r>
      <w:r w:rsidR="003C64AB">
        <w:rPr>
          <w:bCs/>
        </w:rPr>
        <w:t xml:space="preserve"> aux opérations d</w:t>
      </w:r>
      <w:r w:rsidR="00C66A34">
        <w:rPr>
          <w:bCs/>
        </w:rPr>
        <w:t>’</w:t>
      </w:r>
      <w:r w:rsidR="003C64AB">
        <w:rPr>
          <w:bCs/>
        </w:rPr>
        <w:t>inspection, les États eux-mêmes semblent aujourd</w:t>
      </w:r>
      <w:r w:rsidR="00C66A34">
        <w:rPr>
          <w:bCs/>
        </w:rPr>
        <w:t>’</w:t>
      </w:r>
      <w:r w:rsidR="003C64AB">
        <w:rPr>
          <w:bCs/>
        </w:rPr>
        <w:t>hui ne plus leur accorder une importance fondamentale</w:t>
      </w:r>
      <w:r w:rsidR="002150DD">
        <w:rPr>
          <w:bCs/>
        </w:rPr>
        <w:t>.</w:t>
      </w:r>
      <w:r w:rsidR="003C64AB">
        <w:rPr>
          <w:bCs/>
        </w:rPr>
        <w:t xml:space="preserve"> </w:t>
      </w:r>
      <w:r w:rsidR="002150DD">
        <w:rPr>
          <w:bCs/>
        </w:rPr>
        <w:t>Ainsi, il</w:t>
      </w:r>
      <w:r w:rsidR="003C64AB">
        <w:rPr>
          <w:bCs/>
        </w:rPr>
        <w:t xml:space="preserve"> n</w:t>
      </w:r>
      <w:r w:rsidR="00C66A34">
        <w:rPr>
          <w:bCs/>
        </w:rPr>
        <w:t>’</w:t>
      </w:r>
      <w:r w:rsidR="003C64AB">
        <w:rPr>
          <w:bCs/>
        </w:rPr>
        <w:t>est pas exclu que des considérations économiques conduisent, progressivement, à accélérer encore leur déroulement</w:t>
      </w:r>
      <w:r w:rsidR="002150DD">
        <w:rPr>
          <w:bCs/>
        </w:rPr>
        <w:t xml:space="preserve"> </w:t>
      </w:r>
      <w:r w:rsidR="003C64AB">
        <w:rPr>
          <w:bCs/>
        </w:rPr>
        <w:t xml:space="preserve">tout en se félicitant </w:t>
      </w:r>
      <w:r w:rsidR="002150DD">
        <w:rPr>
          <w:bCs/>
        </w:rPr>
        <w:t>de leur</w:t>
      </w:r>
      <w:r w:rsidR="003C64AB">
        <w:rPr>
          <w:bCs/>
        </w:rPr>
        <w:t xml:space="preserve"> efficacité, à limiter le nombre d</w:t>
      </w:r>
      <w:r w:rsidR="00C66A34">
        <w:rPr>
          <w:bCs/>
        </w:rPr>
        <w:t>’</w:t>
      </w:r>
      <w:r w:rsidR="003C64AB">
        <w:rPr>
          <w:bCs/>
        </w:rPr>
        <w:t>inspections, puis à terme à interroger l</w:t>
      </w:r>
      <w:r w:rsidR="00C66A34">
        <w:rPr>
          <w:bCs/>
        </w:rPr>
        <w:t>’</w:t>
      </w:r>
      <w:r w:rsidR="003C64AB">
        <w:rPr>
          <w:bCs/>
        </w:rPr>
        <w:t xml:space="preserve">intérêt de leur maintien. </w:t>
      </w:r>
    </w:p>
    <w:p w14:paraId="60988352" w14:textId="77777777" w:rsidR="003C64AB" w:rsidRDefault="003C64AB" w:rsidP="00EA63E3">
      <w:pPr>
        <w:spacing w:after="0" w:line="240" w:lineRule="auto"/>
        <w:rPr>
          <w:bCs/>
        </w:rPr>
      </w:pPr>
    </w:p>
    <w:p w14:paraId="55F2D813" w14:textId="0105D0AC" w:rsidR="002E3754" w:rsidRPr="00D15FEF" w:rsidRDefault="003C64AB" w:rsidP="00DB16E0">
      <w:pPr>
        <w:spacing w:after="0" w:line="240" w:lineRule="auto"/>
        <w:rPr>
          <w:bCs/>
        </w:rPr>
      </w:pPr>
      <w:r>
        <w:rPr>
          <w:bCs/>
        </w:rPr>
        <w:lastRenderedPageBreak/>
        <w:t xml:space="preserve">Au-delà de ce déclin </w:t>
      </w:r>
      <w:r w:rsidRPr="003C64AB">
        <w:rPr>
          <w:bCs/>
          <w:i/>
          <w:iCs/>
        </w:rPr>
        <w:t>interne</w:t>
      </w:r>
      <w:r>
        <w:rPr>
          <w:bCs/>
        </w:rPr>
        <w:t xml:space="preserve"> de l</w:t>
      </w:r>
      <w:r w:rsidR="00C66A34">
        <w:rPr>
          <w:bCs/>
        </w:rPr>
        <w:t>’</w:t>
      </w:r>
      <w:r>
        <w:rPr>
          <w:bCs/>
        </w:rPr>
        <w:t>inspection internationale en Antarctique, il faut également s</w:t>
      </w:r>
      <w:r w:rsidR="00C66A34">
        <w:rPr>
          <w:bCs/>
        </w:rPr>
        <w:t>’</w:t>
      </w:r>
      <w:r>
        <w:rPr>
          <w:bCs/>
        </w:rPr>
        <w:t xml:space="preserve">interroger plus avant sur les raisons du désintérêt plus général </w:t>
      </w:r>
      <w:r w:rsidR="009A151D">
        <w:rPr>
          <w:bCs/>
        </w:rPr>
        <w:t>pour les régimes d</w:t>
      </w:r>
      <w:r w:rsidR="00C66A34">
        <w:rPr>
          <w:bCs/>
        </w:rPr>
        <w:t>’</w:t>
      </w:r>
      <w:r w:rsidR="009A151D">
        <w:rPr>
          <w:bCs/>
        </w:rPr>
        <w:t>inspection en droit international</w:t>
      </w:r>
      <w:r w:rsidR="002150DD">
        <w:rPr>
          <w:bCs/>
        </w:rPr>
        <w:t>.</w:t>
      </w:r>
    </w:p>
    <w:p w14:paraId="60583155" w14:textId="77777777" w:rsidR="002E3754" w:rsidRDefault="002E3754" w:rsidP="00DB16E0">
      <w:pPr>
        <w:spacing w:after="0" w:line="240" w:lineRule="auto"/>
      </w:pPr>
    </w:p>
    <w:p w14:paraId="32698151" w14:textId="77777777" w:rsidR="00B7233C" w:rsidRDefault="00B7233C" w:rsidP="00DB16E0">
      <w:pPr>
        <w:spacing w:after="0" w:line="240" w:lineRule="auto"/>
        <w:ind w:firstLine="708"/>
        <w:rPr>
          <w:b/>
        </w:rPr>
      </w:pPr>
      <w:r w:rsidRPr="00091A8A">
        <w:rPr>
          <w:b/>
        </w:rPr>
        <w:t>B</w:t>
      </w:r>
      <w:r w:rsidR="00F72171">
        <w:rPr>
          <w:b/>
        </w:rPr>
        <w:t xml:space="preserve">. </w:t>
      </w:r>
      <w:r w:rsidR="001C54BA">
        <w:rPr>
          <w:b/>
        </w:rPr>
        <w:t xml:space="preserve">Un produit </w:t>
      </w:r>
      <w:r w:rsidR="00F468C7">
        <w:rPr>
          <w:b/>
        </w:rPr>
        <w:t>peu vendu</w:t>
      </w:r>
      <w:r w:rsidR="001C54BA">
        <w:rPr>
          <w:b/>
        </w:rPr>
        <w:t xml:space="preserve"> : </w:t>
      </w:r>
      <w:r w:rsidR="00603515">
        <w:rPr>
          <w:b/>
        </w:rPr>
        <w:t xml:space="preserve">le déclin </w:t>
      </w:r>
      <w:r w:rsidR="00CE5427">
        <w:rPr>
          <w:b/>
        </w:rPr>
        <w:t xml:space="preserve">externe </w:t>
      </w:r>
      <w:r w:rsidR="00603515">
        <w:rPr>
          <w:b/>
        </w:rPr>
        <w:t>du modèle de</w:t>
      </w:r>
      <w:r w:rsidR="008879E3">
        <w:rPr>
          <w:b/>
        </w:rPr>
        <w:t xml:space="preserve"> l</w:t>
      </w:r>
      <w:r w:rsidR="00C66A34">
        <w:rPr>
          <w:b/>
        </w:rPr>
        <w:t>’</w:t>
      </w:r>
      <w:r w:rsidR="008879E3">
        <w:rPr>
          <w:b/>
        </w:rPr>
        <w:t>inspection Antarctique</w:t>
      </w:r>
    </w:p>
    <w:p w14:paraId="1492C86F" w14:textId="77777777" w:rsidR="006B27D3" w:rsidRPr="00091A8A" w:rsidRDefault="006B27D3" w:rsidP="00DB16E0">
      <w:pPr>
        <w:spacing w:after="0" w:line="240" w:lineRule="auto"/>
        <w:rPr>
          <w:b/>
        </w:rPr>
      </w:pPr>
    </w:p>
    <w:p w14:paraId="5E201327" w14:textId="73442F5E" w:rsidR="00806CF3" w:rsidRDefault="00806CF3" w:rsidP="007265A2">
      <w:pPr>
        <w:spacing w:after="0" w:line="240" w:lineRule="auto"/>
      </w:pPr>
      <w:r>
        <w:t>Le dernier élément de cette contribution consiste à interroger l</w:t>
      </w:r>
      <w:r w:rsidR="00C66A34">
        <w:t>’</w:t>
      </w:r>
      <w:r>
        <w:t>impact du modèle d</w:t>
      </w:r>
      <w:r w:rsidR="00C66A34">
        <w:t>’</w:t>
      </w:r>
      <w:r>
        <w:t>inspection Antarctique, non plus du point de vue de son influence historique sur l</w:t>
      </w:r>
      <w:r w:rsidR="00C66A34">
        <w:t>’</w:t>
      </w:r>
      <w:r>
        <w:t xml:space="preserve">élaboration de régimes adoptés dans le même contexte géopolitique, mais du point de vue purement juridique. </w:t>
      </w:r>
      <w:r w:rsidR="005F4D66">
        <w:t>En d</w:t>
      </w:r>
      <w:r w:rsidR="00C66A34">
        <w:t>’</w:t>
      </w:r>
      <w:r w:rsidR="005F4D66">
        <w:t>autres termes, pour quelles raisons le modèle Antarctique, au-delà des problématiques liées à son efficacité, n</w:t>
      </w:r>
      <w:r w:rsidR="00C66A34">
        <w:t>’</w:t>
      </w:r>
      <w:r w:rsidR="005F4D66">
        <w:t>a-t-il fait l</w:t>
      </w:r>
      <w:r w:rsidR="00C66A34">
        <w:t>’</w:t>
      </w:r>
      <w:r w:rsidR="005F4D66">
        <w:t>objet que d</w:t>
      </w:r>
      <w:r w:rsidR="00C66A34">
        <w:t>’</w:t>
      </w:r>
      <w:r w:rsidR="005F4D66">
        <w:t>adaptations en matière de désarmement, d</w:t>
      </w:r>
      <w:r w:rsidR="00C66A34">
        <w:t>’</w:t>
      </w:r>
      <w:r w:rsidR="005F4D66">
        <w:t>exploration spatiale – les deux thèmes étant liés –, de pêcheries</w:t>
      </w:r>
      <w:r w:rsidR="002966F6">
        <w:rPr>
          <w:rStyle w:val="Appelnotedebasdep"/>
        </w:rPr>
        <w:footnoteReference w:id="67"/>
      </w:r>
      <w:r w:rsidR="005F4D66">
        <w:t xml:space="preserve"> et, plus marginalement, en matière de droits de l</w:t>
      </w:r>
      <w:r w:rsidR="00C66A34">
        <w:t>’</w:t>
      </w:r>
      <w:r w:rsidR="005F4D66">
        <w:t>homme</w:t>
      </w:r>
      <w:r w:rsidR="005F4D66">
        <w:rPr>
          <w:rStyle w:val="Appelnotedebasdep"/>
        </w:rPr>
        <w:footnoteReference w:id="68"/>
      </w:r>
      <w:r w:rsidR="005F4D66">
        <w:t> ?</w:t>
      </w:r>
      <w:r w:rsidR="00273F3A">
        <w:t xml:space="preserve"> Pour quelles raisons les grandes questions telles que la lutte contre le réchauffement climatique, pour ne prendre que cet exemple topique, n</w:t>
      </w:r>
      <w:r w:rsidR="00C66A34">
        <w:t>’</w:t>
      </w:r>
      <w:r w:rsidR="00273F3A">
        <w:t>ont</w:t>
      </w:r>
      <w:r w:rsidR="00E01E93">
        <w:t xml:space="preserve">-elles </w:t>
      </w:r>
      <w:r w:rsidR="00273F3A">
        <w:t>pas</w:t>
      </w:r>
      <w:r w:rsidR="00E01E93">
        <w:t xml:space="preserve"> entraîné l</w:t>
      </w:r>
      <w:r w:rsidR="00C66A34">
        <w:t>’</w:t>
      </w:r>
      <w:r w:rsidR="00E01E93">
        <w:t>adoption,</w:t>
      </w:r>
      <w:r w:rsidR="00273F3A">
        <w:t xml:space="preserve"> par analogie</w:t>
      </w:r>
      <w:r w:rsidR="00E01E93">
        <w:t>,</w:t>
      </w:r>
      <w:r w:rsidR="00273F3A">
        <w:t xml:space="preserve"> </w:t>
      </w:r>
      <w:r w:rsidR="002150DD">
        <w:t>d’</w:t>
      </w:r>
      <w:r w:rsidR="00273F3A">
        <w:t>un tel régime ?</w:t>
      </w:r>
    </w:p>
    <w:p w14:paraId="0F8BAE4A" w14:textId="77777777" w:rsidR="00806CF3" w:rsidRDefault="00806CF3" w:rsidP="007265A2">
      <w:pPr>
        <w:spacing w:after="0" w:line="240" w:lineRule="auto"/>
      </w:pPr>
    </w:p>
    <w:p w14:paraId="7CAA0EAB" w14:textId="58351966" w:rsidR="00065631" w:rsidRDefault="00BE4557" w:rsidP="00065631">
      <w:pPr>
        <w:spacing w:after="0" w:line="240" w:lineRule="auto"/>
      </w:pPr>
      <w:r>
        <w:t>La première raison expliquant le peu de diffusion du modèle Antarctique est d</w:t>
      </w:r>
      <w:r w:rsidR="00C66A34">
        <w:t>’</w:t>
      </w:r>
      <w:r>
        <w:t>abord, très prosaïquement, son coût. À moins qu</w:t>
      </w:r>
      <w:r w:rsidR="00C66A34">
        <w:t>’</w:t>
      </w:r>
      <w:r>
        <w:t>une organisation internationale dispose d</w:t>
      </w:r>
      <w:r w:rsidR="00C66A34">
        <w:t>’</w:t>
      </w:r>
      <w:r>
        <w:t>un financement international pour institutionnaliser les inspections – comme dans le cas des armes chimiques</w:t>
      </w:r>
      <w:r w:rsidR="00FD22A9">
        <w:t xml:space="preserve"> </w:t>
      </w:r>
      <w:r>
        <w:t>–, ces opérations sont financées par les États eux-mêmes. Dans le cas de l</w:t>
      </w:r>
      <w:r w:rsidR="00C66A34">
        <w:t>’</w:t>
      </w:r>
      <w:r>
        <w:t>Antarctique, il convient donc de mettre à disposition un avion et/ou des satellites coûteux. Dans le cas des inspections menées par l</w:t>
      </w:r>
      <w:r w:rsidR="00C66A34">
        <w:t>’</w:t>
      </w:r>
      <w:r>
        <w:t>OIAC, il est indiqué en interne de l</w:t>
      </w:r>
      <w:r w:rsidR="00C66A34">
        <w:t>’</w:t>
      </w:r>
      <w:r>
        <w:t>organisation que le regroupement d</w:t>
      </w:r>
      <w:r w:rsidR="00C66A34">
        <w:t>’</w:t>
      </w:r>
      <w:r>
        <w:t>inspections et la standardisation des procédures, permettant d</w:t>
      </w:r>
      <w:r w:rsidR="00C66A34">
        <w:t>’</w:t>
      </w:r>
      <w:r>
        <w:t>effectuer plusieurs inspections sur le sol de plusieurs États sur une plage temporelle réduite, permet</w:t>
      </w:r>
      <w:r w:rsidR="003A7262">
        <w:t>tent</w:t>
      </w:r>
      <w:r>
        <w:t xml:space="preserve"> de limiter les coûts importants des opérations</w:t>
      </w:r>
      <w:r w:rsidR="00FD22A9">
        <w:t>, ce qui est un objectif visiblement essentiel</w:t>
      </w:r>
      <w:r w:rsidR="00FD22A9">
        <w:rPr>
          <w:rStyle w:val="Appelnotedebasdep"/>
        </w:rPr>
        <w:footnoteReference w:id="69"/>
      </w:r>
      <w:r>
        <w:t xml:space="preserve">. Dans le cas des inspections maritimes, le </w:t>
      </w:r>
      <w:r>
        <w:rPr>
          <w:i/>
        </w:rPr>
        <w:t>Vessel monitoring system</w:t>
      </w:r>
      <w:r>
        <w:t>, « </w:t>
      </w:r>
      <w:r w:rsidRPr="008E415D">
        <w:rPr>
          <w:rFonts w:cs="Times New Roman"/>
          <w:i/>
          <w:iCs/>
          <w:szCs w:val="24"/>
        </w:rPr>
        <w:t>outil de surveillance conçu à l</w:t>
      </w:r>
      <w:r w:rsidR="00C66A34">
        <w:rPr>
          <w:rFonts w:cs="Times New Roman"/>
          <w:i/>
          <w:iCs/>
          <w:szCs w:val="24"/>
        </w:rPr>
        <w:t>’</w:t>
      </w:r>
      <w:r w:rsidRPr="008E415D">
        <w:rPr>
          <w:rFonts w:cs="Times New Roman"/>
          <w:i/>
          <w:iCs/>
          <w:szCs w:val="24"/>
        </w:rPr>
        <w:t>origine par l</w:t>
      </w:r>
      <w:r w:rsidR="00C66A34">
        <w:rPr>
          <w:rFonts w:cs="Times New Roman"/>
          <w:i/>
          <w:iCs/>
          <w:szCs w:val="24"/>
        </w:rPr>
        <w:t>’</w:t>
      </w:r>
      <w:r w:rsidRPr="008E415D">
        <w:rPr>
          <w:rFonts w:cs="Times New Roman"/>
          <w:i/>
          <w:iCs/>
          <w:szCs w:val="24"/>
        </w:rPr>
        <w:t>Organisation internationale de télécommunications maritimes par satellite (</w:t>
      </w:r>
      <w:proofErr w:type="spellStart"/>
      <w:r w:rsidRPr="008E415D">
        <w:rPr>
          <w:rFonts w:cs="Times New Roman"/>
          <w:i/>
          <w:iCs/>
          <w:szCs w:val="24"/>
        </w:rPr>
        <w:t>Inmarsat</w:t>
      </w:r>
      <w:proofErr w:type="spellEnd"/>
      <w:r w:rsidRPr="008E415D">
        <w:rPr>
          <w:rFonts w:cs="Times New Roman"/>
          <w:i/>
          <w:iCs/>
          <w:szCs w:val="24"/>
        </w:rPr>
        <w:t>) et l</w:t>
      </w:r>
      <w:r w:rsidR="00C66A34">
        <w:rPr>
          <w:rFonts w:cs="Times New Roman"/>
          <w:i/>
          <w:iCs/>
          <w:szCs w:val="24"/>
        </w:rPr>
        <w:t>’</w:t>
      </w:r>
      <w:r w:rsidRPr="008E415D">
        <w:rPr>
          <w:rFonts w:cs="Times New Roman"/>
          <w:i/>
          <w:iCs/>
          <w:szCs w:val="24"/>
        </w:rPr>
        <w:t>Organisation maritime internationale (OMI) pour renforcer la sécurité en mer</w:t>
      </w:r>
      <w:r>
        <w:rPr>
          <w:rFonts w:cs="Times New Roman"/>
          <w:szCs w:val="24"/>
        </w:rPr>
        <w:t> »</w:t>
      </w:r>
      <w:r>
        <w:rPr>
          <w:rStyle w:val="Appelnotedebasdep"/>
          <w:rFonts w:cs="Times New Roman"/>
          <w:szCs w:val="24"/>
        </w:rPr>
        <w:footnoteReference w:id="70"/>
      </w:r>
      <w:r>
        <w:rPr>
          <w:rFonts w:cs="Times New Roman"/>
          <w:szCs w:val="24"/>
        </w:rPr>
        <w:t xml:space="preserve"> dans les années 1980, a été transposé au domaine de la pêche et</w:t>
      </w:r>
      <w:r>
        <w:t xml:space="preserve"> est aujourd</w:t>
      </w:r>
      <w:r w:rsidR="00C66A34">
        <w:t>’</w:t>
      </w:r>
      <w:r>
        <w:t>hui obligatoire dans plusieurs systèmes conventionnels</w:t>
      </w:r>
      <w:r w:rsidR="00C05A27">
        <w:t>.</w:t>
      </w:r>
      <w:r>
        <w:t xml:space="preserve"> Ce</w:t>
      </w:r>
      <w:r w:rsidR="00C05A27">
        <w:t>s</w:t>
      </w:r>
      <w:r>
        <w:t xml:space="preserve"> système</w:t>
      </w:r>
      <w:r w:rsidR="00C05A27">
        <w:t>s</w:t>
      </w:r>
      <w:r>
        <w:t>, qui permet</w:t>
      </w:r>
      <w:r w:rsidR="00C05A27">
        <w:t>tent</w:t>
      </w:r>
      <w:r>
        <w:t xml:space="preserve"> de localiser aisément les navires et donc </w:t>
      </w:r>
      <w:r w:rsidR="00C05A27">
        <w:t xml:space="preserve">de faciliter grandement les inspections, ne sont pas </w:t>
      </w:r>
      <w:r w:rsidR="00C05A27" w:rsidRPr="00594D5C">
        <w:t>accessibles à tous les États</w:t>
      </w:r>
      <w:r w:rsidR="00C05A27">
        <w:t>. Un rapport de la FAO en 2003 était pourtant optimiste sur la question, indiquant qu</w:t>
      </w:r>
      <w:proofErr w:type="gramStart"/>
      <w:r w:rsidR="00C66A34">
        <w:t>’</w:t>
      </w:r>
      <w:r w:rsidR="00C05A27">
        <w:t>«</w:t>
      </w:r>
      <w:proofErr w:type="gramEnd"/>
      <w:r w:rsidR="00C05A27">
        <w:t> </w:t>
      </w:r>
      <w:r w:rsidR="00C05A27" w:rsidRPr="008E415D">
        <w:rPr>
          <w:i/>
          <w:iCs/>
        </w:rPr>
        <w:t>[i]l est possible de mettre en place une station de surveillance et d</w:t>
      </w:r>
      <w:r w:rsidR="00C66A34">
        <w:rPr>
          <w:i/>
          <w:iCs/>
        </w:rPr>
        <w:t>’</w:t>
      </w:r>
      <w:r w:rsidR="00C05A27" w:rsidRPr="008E415D">
        <w:rPr>
          <w:i/>
          <w:iCs/>
        </w:rPr>
        <w:t>établir un système SSN [système de surveillance des navires par satellite] pour seulement 50 000 dollars EU, sans compter les frais de personnel. Par navire il faut compter un coût de 5 000 dollars EU pour l</w:t>
      </w:r>
      <w:r w:rsidR="00C66A34">
        <w:rPr>
          <w:i/>
          <w:iCs/>
        </w:rPr>
        <w:t>’</w:t>
      </w:r>
      <w:r w:rsidR="00C05A27" w:rsidRPr="008E415D">
        <w:rPr>
          <w:i/>
          <w:iCs/>
        </w:rPr>
        <w:t xml:space="preserve">installation et de </w:t>
      </w:r>
      <w:r w:rsidR="00C05A27" w:rsidRPr="008E415D">
        <w:rPr>
          <w:i/>
          <w:iCs/>
        </w:rPr>
        <w:lastRenderedPageBreak/>
        <w:t>moins de 1 000 dollars EU pour les frais de maintenance</w:t>
      </w:r>
      <w:r w:rsidR="00C05A27">
        <w:t> »</w:t>
      </w:r>
      <w:r w:rsidR="00C05A27">
        <w:rPr>
          <w:rStyle w:val="Appelnotedebasdep"/>
        </w:rPr>
        <w:footnoteReference w:id="71"/>
      </w:r>
      <w:r w:rsidR="00C05A27" w:rsidRPr="00FD718B">
        <w:t>.</w:t>
      </w:r>
      <w:r w:rsidR="00C05A27">
        <w:t xml:space="preserve"> Si ces coûts apparaissent effectivement peu élevés à l</w:t>
      </w:r>
      <w:r w:rsidR="00C66A34">
        <w:t>’</w:t>
      </w:r>
      <w:r w:rsidR="00C05A27">
        <w:t>échelle d</w:t>
      </w:r>
      <w:r w:rsidR="00C66A34">
        <w:t>’</w:t>
      </w:r>
      <w:r w:rsidR="00C05A27">
        <w:t>un État, la doctrine a pu relever que « </w:t>
      </w:r>
      <w:r w:rsidR="00C05A27" w:rsidRPr="008E415D">
        <w:rPr>
          <w:i/>
          <w:iCs/>
        </w:rPr>
        <w:t>[d]</w:t>
      </w:r>
      <w:proofErr w:type="spellStart"/>
      <w:r w:rsidR="00C05A27" w:rsidRPr="008E415D">
        <w:rPr>
          <w:i/>
          <w:iCs/>
        </w:rPr>
        <w:t>eveloping</w:t>
      </w:r>
      <w:proofErr w:type="spellEnd"/>
      <w:r w:rsidR="00C05A27" w:rsidRPr="008E415D">
        <w:rPr>
          <w:i/>
          <w:iCs/>
        </w:rPr>
        <w:t xml:space="preserve"> countries are </w:t>
      </w:r>
      <w:proofErr w:type="spellStart"/>
      <w:r w:rsidR="00C05A27" w:rsidRPr="008E415D">
        <w:rPr>
          <w:i/>
          <w:iCs/>
        </w:rPr>
        <w:t>unwilling</w:t>
      </w:r>
      <w:proofErr w:type="spellEnd"/>
      <w:r w:rsidR="00C05A27" w:rsidRPr="008E415D">
        <w:rPr>
          <w:i/>
          <w:iCs/>
        </w:rPr>
        <w:t xml:space="preserve"> to </w:t>
      </w:r>
      <w:proofErr w:type="spellStart"/>
      <w:r w:rsidR="00C05A27" w:rsidRPr="008E415D">
        <w:rPr>
          <w:i/>
          <w:iCs/>
        </w:rPr>
        <w:t>expend</w:t>
      </w:r>
      <w:proofErr w:type="spellEnd"/>
      <w:r w:rsidR="00C05A27" w:rsidRPr="008E415D">
        <w:rPr>
          <w:i/>
          <w:iCs/>
        </w:rPr>
        <w:t xml:space="preserve"> large </w:t>
      </w:r>
      <w:proofErr w:type="spellStart"/>
      <w:r w:rsidR="00C05A27" w:rsidRPr="008E415D">
        <w:rPr>
          <w:i/>
          <w:iCs/>
        </w:rPr>
        <w:t>sums</w:t>
      </w:r>
      <w:proofErr w:type="spellEnd"/>
      <w:r w:rsidR="00C05A27" w:rsidRPr="008E415D">
        <w:rPr>
          <w:i/>
          <w:iCs/>
        </w:rPr>
        <w:t xml:space="preserve"> of money on </w:t>
      </w:r>
      <w:proofErr w:type="spellStart"/>
      <w:r w:rsidR="00C05A27" w:rsidRPr="008E415D">
        <w:rPr>
          <w:i/>
          <w:iCs/>
        </w:rPr>
        <w:t>establishing</w:t>
      </w:r>
      <w:proofErr w:type="spellEnd"/>
      <w:r w:rsidR="00C05A27" w:rsidRPr="008E415D">
        <w:rPr>
          <w:i/>
          <w:iCs/>
        </w:rPr>
        <w:t xml:space="preserve"> an </w:t>
      </w:r>
      <w:proofErr w:type="spellStart"/>
      <w:r w:rsidR="00C05A27" w:rsidRPr="008E415D">
        <w:rPr>
          <w:i/>
          <w:iCs/>
        </w:rPr>
        <w:t>elaborate</w:t>
      </w:r>
      <w:proofErr w:type="spellEnd"/>
      <w:r w:rsidR="00C05A27" w:rsidRPr="008E415D">
        <w:rPr>
          <w:i/>
          <w:iCs/>
        </w:rPr>
        <w:t xml:space="preserve"> </w:t>
      </w:r>
      <w:proofErr w:type="spellStart"/>
      <w:r w:rsidR="00C05A27" w:rsidRPr="008E415D">
        <w:rPr>
          <w:i/>
          <w:iCs/>
        </w:rPr>
        <w:t>vessel</w:t>
      </w:r>
      <w:proofErr w:type="spellEnd"/>
      <w:r w:rsidR="00C05A27" w:rsidRPr="008E415D">
        <w:rPr>
          <w:i/>
          <w:iCs/>
        </w:rPr>
        <w:t xml:space="preserve"> monitoring system or infrastructure to </w:t>
      </w:r>
      <w:proofErr w:type="spellStart"/>
      <w:r w:rsidR="00C05A27" w:rsidRPr="008E415D">
        <w:rPr>
          <w:i/>
          <w:iCs/>
        </w:rPr>
        <w:t>extensively</w:t>
      </w:r>
      <w:proofErr w:type="spellEnd"/>
      <w:r w:rsidR="00C05A27" w:rsidRPr="008E415D">
        <w:rPr>
          <w:i/>
          <w:iCs/>
        </w:rPr>
        <w:t xml:space="preserve"> monitor </w:t>
      </w:r>
      <w:proofErr w:type="spellStart"/>
      <w:r w:rsidR="00C05A27" w:rsidRPr="008E415D">
        <w:rPr>
          <w:i/>
          <w:iCs/>
        </w:rPr>
        <w:t>flagged</w:t>
      </w:r>
      <w:proofErr w:type="spellEnd"/>
      <w:r w:rsidR="00C05A27" w:rsidRPr="008E415D">
        <w:rPr>
          <w:i/>
          <w:iCs/>
        </w:rPr>
        <w:t xml:space="preserve"> </w:t>
      </w:r>
      <w:proofErr w:type="spellStart"/>
      <w:r w:rsidR="00C05A27" w:rsidRPr="008E415D">
        <w:rPr>
          <w:i/>
          <w:iCs/>
        </w:rPr>
        <w:t>vessels</w:t>
      </w:r>
      <w:proofErr w:type="spellEnd"/>
      <w:r w:rsidR="00C05A27">
        <w:t> »</w:t>
      </w:r>
      <w:r w:rsidR="00C05A27">
        <w:rPr>
          <w:rStyle w:val="Appelnotedebasdep"/>
        </w:rPr>
        <w:footnoteReference w:id="72"/>
      </w:r>
      <w:r w:rsidR="00C05A27">
        <w:t xml:space="preserve">. </w:t>
      </w:r>
      <w:r w:rsidR="00C05A27" w:rsidRPr="00594D5C">
        <w:t xml:space="preserve">Certains mécanismes de coopération régionale en </w:t>
      </w:r>
      <w:r w:rsidR="00C05A27">
        <w:t>ont d</w:t>
      </w:r>
      <w:r w:rsidR="00C66A34">
        <w:t>’</w:t>
      </w:r>
      <w:r w:rsidR="00C05A27">
        <w:t xml:space="preserve">ailleurs pris </w:t>
      </w:r>
      <w:r w:rsidR="00C05A27" w:rsidRPr="00594D5C">
        <w:t>acte</w:t>
      </w:r>
      <w:r w:rsidR="00C05A27">
        <w:t xml:space="preserve"> en créant des programmes d</w:t>
      </w:r>
      <w:r w:rsidR="00C66A34">
        <w:t>’</w:t>
      </w:r>
      <w:r w:rsidR="00C05A27">
        <w:t>aides aux pays concernés</w:t>
      </w:r>
      <w:r w:rsidR="00C05A27" w:rsidRPr="00594D5C">
        <w:t xml:space="preserve"> ; ainsi, l</w:t>
      </w:r>
      <w:r w:rsidR="00C66A34">
        <w:t>’</w:t>
      </w:r>
      <w:r w:rsidR="00C05A27">
        <w:t>atypique</w:t>
      </w:r>
      <w:r w:rsidR="00C05A27">
        <w:rPr>
          <w:rStyle w:val="Appelnotedebasdep"/>
        </w:rPr>
        <w:footnoteReference w:id="73"/>
      </w:r>
      <w:r w:rsidR="00C05A27">
        <w:t xml:space="preserve"> </w:t>
      </w:r>
      <w:r w:rsidR="00C05A27" w:rsidRPr="00594D5C">
        <w:t>Agence des pêches du Forum du Pacifique Sud</w:t>
      </w:r>
      <w:r w:rsidR="00C05A27">
        <w:t xml:space="preserve"> </w:t>
      </w:r>
      <w:r w:rsidR="00C05A27" w:rsidRPr="00594D5C">
        <w:t>a lancé en 1995 un programme en vue de l</w:t>
      </w:r>
      <w:r w:rsidR="00C66A34">
        <w:t>’</w:t>
      </w:r>
      <w:r w:rsidR="00C05A27" w:rsidRPr="00594D5C">
        <w:t>instauration d</w:t>
      </w:r>
      <w:r w:rsidR="00C66A34">
        <w:t>’</w:t>
      </w:r>
      <w:r w:rsidR="00C05A27" w:rsidRPr="00594D5C">
        <w:t xml:space="preserve">un tel système </w:t>
      </w:r>
      <w:r w:rsidR="00C05A27">
        <w:t>qui existe depuis. D</w:t>
      </w:r>
      <w:r w:rsidR="00C05A27" w:rsidRPr="00594D5C">
        <w:t>ans l</w:t>
      </w:r>
      <w:r w:rsidR="00C66A34">
        <w:t>’</w:t>
      </w:r>
      <w:r w:rsidR="00C05A27" w:rsidRPr="00594D5C">
        <w:t xml:space="preserve">attente, les pays en voie de développement pouvaient </w:t>
      </w:r>
      <w:r w:rsidR="00C05A27">
        <w:t>« </w:t>
      </w:r>
      <w:r w:rsidR="00C05A27" w:rsidRPr="008E415D">
        <w:rPr>
          <w:i/>
          <w:iCs/>
        </w:rPr>
        <w:t>bénéficier de l</w:t>
      </w:r>
      <w:r w:rsidR="00C66A34">
        <w:rPr>
          <w:i/>
          <w:iCs/>
        </w:rPr>
        <w:t>’</w:t>
      </w:r>
      <w:r w:rsidR="00C05A27" w:rsidRPr="008E415D">
        <w:rPr>
          <w:i/>
          <w:iCs/>
        </w:rPr>
        <w:t>assistance apportée par l</w:t>
      </w:r>
      <w:r w:rsidR="00C66A34">
        <w:rPr>
          <w:i/>
          <w:iCs/>
        </w:rPr>
        <w:t>’</w:t>
      </w:r>
      <w:r w:rsidR="00C05A27" w:rsidRPr="008E415D">
        <w:rPr>
          <w:i/>
          <w:iCs/>
        </w:rPr>
        <w:t>Australie et la Nouvelle-Zélande</w:t>
      </w:r>
      <w:r w:rsidR="00C05A27">
        <w:t> »</w:t>
      </w:r>
      <w:r w:rsidR="00C05A27">
        <w:rPr>
          <w:rStyle w:val="Appelnotedebasdep"/>
        </w:rPr>
        <w:footnoteReference w:id="74"/>
      </w:r>
      <w:r w:rsidR="00C05A27">
        <w:t>.</w:t>
      </w:r>
      <w:r w:rsidR="00065631">
        <w:t xml:space="preserve"> L</w:t>
      </w:r>
      <w:r w:rsidR="00C66A34">
        <w:t>’</w:t>
      </w:r>
      <w:r w:rsidR="00065631">
        <w:t>on voit alors poindre une difficulté empêchant manifestement la systématisation des régimes d</w:t>
      </w:r>
      <w:r w:rsidR="00C66A34">
        <w:t>’</w:t>
      </w:r>
      <w:r w:rsidR="00065631">
        <w:t>inspection : les coûts qu</w:t>
      </w:r>
      <w:r w:rsidR="00C66A34">
        <w:t>’</w:t>
      </w:r>
      <w:r w:rsidR="00065631">
        <w:t>ils engendrent les rendent peu accessibles aux États les moins développés, de sorte que ceux-ci sont l</w:t>
      </w:r>
      <w:r w:rsidR="00C66A34">
        <w:t>’</w:t>
      </w:r>
      <w:r w:rsidR="00065631">
        <w:t>apanage des États les plus économiquement avancés. La solution multilatérale, consistant à créer une organisation internationale dédiée, ne paraît pas constituer une priorité de la société internationale dans la gestion des problématiques susceptibles d</w:t>
      </w:r>
      <w:r w:rsidR="00C66A34">
        <w:t>’</w:t>
      </w:r>
      <w:r w:rsidR="00065631">
        <w:t>être soumises à l</w:t>
      </w:r>
      <w:r w:rsidR="00C66A34">
        <w:t>’</w:t>
      </w:r>
      <w:r w:rsidR="00065631">
        <w:t>inspection – telles que les problématiques environnementales.</w:t>
      </w:r>
    </w:p>
    <w:p w14:paraId="2301A265" w14:textId="77777777" w:rsidR="00603515" w:rsidRDefault="00603515" w:rsidP="00065631">
      <w:pPr>
        <w:spacing w:after="0" w:line="240" w:lineRule="auto"/>
      </w:pPr>
    </w:p>
    <w:p w14:paraId="10BFC24E" w14:textId="3CB9C128" w:rsidR="00C105DF" w:rsidRDefault="00065631" w:rsidP="00065631">
      <w:pPr>
        <w:spacing w:after="0" w:line="240" w:lineRule="auto"/>
      </w:pPr>
      <w:r>
        <w:t>Le second facteur explicatif de ce désamour pour l</w:t>
      </w:r>
      <w:r w:rsidR="00C66A34">
        <w:t>’</w:t>
      </w:r>
      <w:r>
        <w:t>inspection, qui éclaire le peu d</w:t>
      </w:r>
      <w:r w:rsidR="00C66A34">
        <w:t>’</w:t>
      </w:r>
      <w:r>
        <w:t>appétence des États en faveur de la création d</w:t>
      </w:r>
      <w:r w:rsidR="00C66A34">
        <w:t>’</w:t>
      </w:r>
      <w:r>
        <w:t>une organisation internationale dotée d</w:t>
      </w:r>
      <w:r w:rsidR="00C66A34">
        <w:t>’</w:t>
      </w:r>
      <w:r>
        <w:t>une compétence d</w:t>
      </w:r>
      <w:r w:rsidR="00C66A34">
        <w:t>’</w:t>
      </w:r>
      <w:r>
        <w:t>inspection en matière environnementale, puise sa source dans le changement de paradigme intervenu à la fin de la Guerre froide. La fonction principale des régimes d</w:t>
      </w:r>
      <w:r w:rsidR="00C66A34">
        <w:t>’</w:t>
      </w:r>
      <w:r>
        <w:t>inspection en matières Antarctique, spatiale ou de désarmement était – et est toujours dans les deux derniers cas – le</w:t>
      </w:r>
      <w:r w:rsidR="00603515">
        <w:t xml:space="preserve"> maintien de la paix</w:t>
      </w:r>
      <w:r>
        <w:t>. À la lecture des débats préparatoires et des médias de l</w:t>
      </w:r>
      <w:r w:rsidR="00C66A34">
        <w:t>’</w:t>
      </w:r>
      <w:r>
        <w:t>époque, l</w:t>
      </w:r>
      <w:r w:rsidR="00C66A34">
        <w:t>’</w:t>
      </w:r>
      <w:r>
        <w:t>impression selon laquelle le régime d</w:t>
      </w:r>
      <w:r w:rsidR="00C66A34">
        <w:t>’</w:t>
      </w:r>
      <w:r>
        <w:t xml:space="preserve">inspection est vu comme un réel rempart contre </w:t>
      </w:r>
      <w:r w:rsidR="000B6FC2">
        <w:t>l</w:t>
      </w:r>
      <w:r w:rsidR="00C66A34">
        <w:t>’</w:t>
      </w:r>
      <w:r w:rsidR="000B6FC2">
        <w:t>émergence d</w:t>
      </w:r>
      <w:r w:rsidR="00C66A34">
        <w:t>’</w:t>
      </w:r>
      <w:r w:rsidR="000B6FC2">
        <w:t>un conflit mondial ressort avec force. Tel n</w:t>
      </w:r>
      <w:r w:rsidR="00C66A34">
        <w:t>’</w:t>
      </w:r>
      <w:r w:rsidR="000B6FC2">
        <w:t>est plus le sens des grands débats internationaux, qui s</w:t>
      </w:r>
      <w:r w:rsidR="00C66A34">
        <w:t>’</w:t>
      </w:r>
      <w:r w:rsidR="000B6FC2">
        <w:t>intéressent souvent aux phénomènes non-étatiques – l</w:t>
      </w:r>
      <w:r w:rsidR="00C66A34">
        <w:t>’</w:t>
      </w:r>
      <w:r w:rsidR="000B6FC2">
        <w:t>on pense à la lutte contre le terrorisme – ou à des questions ne mettant pas directement le monde en danger de conflit armé.</w:t>
      </w:r>
      <w:r w:rsidR="008E2138">
        <w:t xml:space="preserve"> Il semble, notamment, que le changement climatique, la protection de l</w:t>
      </w:r>
      <w:r w:rsidR="00C66A34">
        <w:t>’</w:t>
      </w:r>
      <w:r w:rsidR="008E2138">
        <w:t>environnement ou encore celle des données personnelles ne constituent pas – encore ? – des domaines susceptibles de mettre en danger de manière globale la paix internationale, de sorte que le recours à des systèmes si coûteux et parfois vus comme attent</w:t>
      </w:r>
      <w:r w:rsidR="00F4437C">
        <w:t>at</w:t>
      </w:r>
      <w:r w:rsidR="008E2138">
        <w:t>oires à la souveraineté étatique</w:t>
      </w:r>
      <w:r w:rsidR="008E2138">
        <w:rPr>
          <w:rStyle w:val="Appelnotedebasdep"/>
        </w:rPr>
        <w:footnoteReference w:id="75"/>
      </w:r>
      <w:r w:rsidR="008E2138">
        <w:t xml:space="preserve"> ne s</w:t>
      </w:r>
      <w:r w:rsidR="00C66A34">
        <w:t>’</w:t>
      </w:r>
      <w:r w:rsidR="008E2138">
        <w:t>impose pas.</w:t>
      </w:r>
      <w:r w:rsidR="00DE67CE">
        <w:t xml:space="preserve"> Autrement dit, l</w:t>
      </w:r>
      <w:r w:rsidR="00C66A34">
        <w:t>’</w:t>
      </w:r>
      <w:r w:rsidR="00DE67CE">
        <w:t>inspection internationale est un mécanisme de garantie d</w:t>
      </w:r>
      <w:r w:rsidR="00E40A22">
        <w:t>u</w:t>
      </w:r>
      <w:r w:rsidR="00DE67CE">
        <w:t xml:space="preserve"> maintien de la paix, à condition que celle-ci soit </w:t>
      </w:r>
      <w:r w:rsidR="00DE67CE">
        <w:rPr>
          <w:i/>
          <w:iCs/>
        </w:rPr>
        <w:t>perçue comme étant effectivement menacée</w:t>
      </w:r>
      <w:r w:rsidR="00E40A22">
        <w:t xml:space="preserve"> au moment de son adoption puis de son exercice</w:t>
      </w:r>
      <w:r w:rsidR="00CE5427">
        <w:t xml:space="preserve">. </w:t>
      </w:r>
    </w:p>
    <w:p w14:paraId="278DD3FF" w14:textId="77777777" w:rsidR="00C105DF" w:rsidRDefault="00C105DF" w:rsidP="00065631">
      <w:pPr>
        <w:spacing w:after="0" w:line="240" w:lineRule="auto"/>
      </w:pPr>
    </w:p>
    <w:p w14:paraId="50747026" w14:textId="77777777" w:rsidR="006C5CE2" w:rsidRDefault="00C105DF" w:rsidP="00065631">
      <w:pPr>
        <w:spacing w:after="0" w:line="240" w:lineRule="auto"/>
      </w:pPr>
      <w:r>
        <w:t>Les régimes d</w:t>
      </w:r>
      <w:r w:rsidR="00C66A34">
        <w:t>’</w:t>
      </w:r>
      <w:r>
        <w:t>inspection n</w:t>
      </w:r>
      <w:r w:rsidR="00C66A34">
        <w:t>’</w:t>
      </w:r>
      <w:r>
        <w:t>ont donc, manifestement,</w:t>
      </w:r>
      <w:r w:rsidR="00DE67CE">
        <w:t xml:space="preserve"> </w:t>
      </w:r>
      <w:r w:rsidR="00CE5427">
        <w:t>pas vocation à être systématisé</w:t>
      </w:r>
      <w:r>
        <w:t>s</w:t>
      </w:r>
      <w:r w:rsidR="002150DD">
        <w:t xml:space="preserve">. Ils semblent plutôt destinés </w:t>
      </w:r>
      <w:r>
        <w:t>à constituer d</w:t>
      </w:r>
      <w:r w:rsidR="00C66A34">
        <w:t>’</w:t>
      </w:r>
      <w:r>
        <w:t>éventuelles clauses de sécurité en cas d</w:t>
      </w:r>
      <w:r w:rsidR="00C66A34">
        <w:t>’</w:t>
      </w:r>
      <w:r>
        <w:t>émergence d</w:t>
      </w:r>
      <w:r w:rsidR="00C66A34">
        <w:t>’</w:t>
      </w:r>
      <w:r>
        <w:t>une problématique globale nécessitant une coordination efficace du contrôle exercé par la société internationale sur ses propres membres. Il est</w:t>
      </w:r>
      <w:r w:rsidR="002150DD">
        <w:t>, cependant,</w:t>
      </w:r>
      <w:r>
        <w:t xml:space="preserve"> permis de se demander si l</w:t>
      </w:r>
      <w:r w:rsidR="00C66A34">
        <w:t>’</w:t>
      </w:r>
      <w:r>
        <w:t xml:space="preserve">urgence </w:t>
      </w:r>
      <w:r>
        <w:lastRenderedPageBreak/>
        <w:t>climatique ne répond pas, justement, à cette définition</w:t>
      </w:r>
      <w:r w:rsidR="002150DD">
        <w:t>.</w:t>
      </w:r>
      <w:r>
        <w:t xml:space="preserve"> </w:t>
      </w:r>
      <w:r w:rsidR="002150DD">
        <w:t>Encore</w:t>
      </w:r>
      <w:r>
        <w:t xml:space="preserve"> faudrait-il</w:t>
      </w:r>
      <w:r w:rsidR="00674F31">
        <w:t xml:space="preserve"> sans doute</w:t>
      </w:r>
      <w:r>
        <w:t>, pour déclencher l</w:t>
      </w:r>
      <w:r w:rsidR="00C66A34">
        <w:t>’</w:t>
      </w:r>
      <w:r>
        <w:t xml:space="preserve">indispensable </w:t>
      </w:r>
      <w:r w:rsidRPr="00C105DF">
        <w:rPr>
          <w:i/>
          <w:iCs/>
        </w:rPr>
        <w:t>volonté</w:t>
      </w:r>
      <w:r>
        <w:t xml:space="preserve"> étatique, que les États se sentent militairement menacés par ce phénomène</w:t>
      </w:r>
      <w:r w:rsidR="002150DD">
        <w:t>…</w:t>
      </w:r>
    </w:p>
    <w:p w14:paraId="65A84334" w14:textId="77777777" w:rsidR="006C5CE2" w:rsidRDefault="006C5CE2" w:rsidP="00065631">
      <w:pPr>
        <w:spacing w:after="0" w:line="240" w:lineRule="auto"/>
      </w:pPr>
    </w:p>
    <w:p w14:paraId="31E6BDD2" w14:textId="44460C6D" w:rsidR="006C5CE2" w:rsidRPr="006C5CE2" w:rsidRDefault="006C5CE2" w:rsidP="00065631">
      <w:pPr>
        <w:spacing w:after="0" w:line="240" w:lineRule="auto"/>
        <w:rPr>
          <w:b/>
          <w:bCs/>
        </w:rPr>
      </w:pPr>
      <w:r w:rsidRPr="00BF67A6">
        <w:rPr>
          <w:b/>
          <w:bCs/>
          <w:i/>
          <w:iCs/>
        </w:rPr>
        <w:t>Post-Scriptum</w:t>
      </w:r>
      <w:r w:rsidRPr="006C5CE2">
        <w:rPr>
          <w:b/>
          <w:bCs/>
        </w:rPr>
        <w:t>.</w:t>
      </w:r>
    </w:p>
    <w:p w14:paraId="15845B45" w14:textId="77777777" w:rsidR="006C5CE2" w:rsidRDefault="006C5CE2" w:rsidP="00065631">
      <w:pPr>
        <w:spacing w:after="0" w:line="240" w:lineRule="auto"/>
      </w:pPr>
    </w:p>
    <w:p w14:paraId="1F25E789" w14:textId="2BD42CA3" w:rsidR="005145EC" w:rsidRPr="00DE67CE" w:rsidRDefault="00FB19D5" w:rsidP="00065631">
      <w:pPr>
        <w:spacing w:after="0" w:line="240" w:lineRule="auto"/>
      </w:pPr>
      <w:r>
        <w:t>La</w:t>
      </w:r>
      <w:r w:rsidR="006C5CE2">
        <w:t xml:space="preserve"> présente contribution</w:t>
      </w:r>
      <w:r>
        <w:t xml:space="preserve"> a été</w:t>
      </w:r>
      <w:r w:rsidR="006C5CE2">
        <w:t xml:space="preserve"> achevée </w:t>
      </w:r>
      <w:r>
        <w:t xml:space="preserve">tout </w:t>
      </w:r>
      <w:r w:rsidR="006C5CE2">
        <w:t>début 2020</w:t>
      </w:r>
      <w:r>
        <w:t>, avant la survenance de la pandémie de Covid-19.</w:t>
      </w:r>
      <w:r w:rsidR="009A1D43">
        <w:t xml:space="preserve"> Celle-ci fait directement écho au développement qui précède, quant à l’émergence d’une problématique globale </w:t>
      </w:r>
      <w:r w:rsidR="009A1D43">
        <w:t>nécessitant une coordination</w:t>
      </w:r>
      <w:r w:rsidR="009A1D43">
        <w:t xml:space="preserve"> du contrôle mondial sur l’activité des États.</w:t>
      </w:r>
      <w:r>
        <w:t xml:space="preserve"> </w:t>
      </w:r>
      <w:r w:rsidR="009A1D43">
        <w:t>Or, il</w:t>
      </w:r>
      <w:r>
        <w:t xml:space="preserve"> s’avère que cette </w:t>
      </w:r>
      <w:r w:rsidR="005145EC">
        <w:t xml:space="preserve">actualité </w:t>
      </w:r>
      <w:r>
        <w:t>sanitaire</w:t>
      </w:r>
      <w:r w:rsidR="005145EC">
        <w:t xml:space="preserve"> laisse</w:t>
      </w:r>
      <w:r w:rsidR="009A1D43">
        <w:t xml:space="preserve"> précisément</w:t>
      </w:r>
      <w:r w:rsidR="005145EC">
        <w:t xml:space="preserve"> entrevoir la possibilité d’une nouvelle renaissance de l’inspection internationale</w:t>
      </w:r>
      <w:r>
        <w:t xml:space="preserve">, </w:t>
      </w:r>
      <w:r w:rsidR="009A1D43">
        <w:t xml:space="preserve">vraisemblablement </w:t>
      </w:r>
      <w:r>
        <w:t xml:space="preserve">sur le </w:t>
      </w:r>
      <w:r w:rsidR="009A1D43">
        <w:t>modèle</w:t>
      </w:r>
      <w:r>
        <w:t xml:space="preserve"> Antarctique</w:t>
      </w:r>
      <w:r w:rsidR="005145EC">
        <w:t>. La réforme de l’Organisation mondiale de la santé</w:t>
      </w:r>
      <w:r w:rsidR="00514970">
        <w:t xml:space="preserve">, et spécifiquement du Règlement sanitaire international de 2005, apparaît </w:t>
      </w:r>
      <w:r w:rsidR="003141D0">
        <w:t xml:space="preserve">en effet </w:t>
      </w:r>
      <w:r w:rsidR="00514970">
        <w:t>inéluctable, au regard de l’absence de possibilité de vérifier les informations transmises par les points focaux nationaux</w:t>
      </w:r>
      <w:r w:rsidR="00514970">
        <w:rPr>
          <w:rStyle w:val="Appelnotedebasdep"/>
        </w:rPr>
        <w:footnoteReference w:id="76"/>
      </w:r>
      <w:r w:rsidR="00514970">
        <w:t>.</w:t>
      </w:r>
      <w:r w:rsidR="003141D0">
        <w:t xml:space="preserve"> Le ministre français des Affaires étrangères a ainsi indiqué </w:t>
      </w:r>
      <w:r w:rsidR="005F7C7A">
        <w:t xml:space="preserve">le 29 avril 2020 </w:t>
      </w:r>
      <w:r w:rsidR="003141D0">
        <w:t>que « </w:t>
      </w:r>
      <w:r w:rsidR="003141D0" w:rsidRPr="003141D0">
        <w:rPr>
          <w:i/>
          <w:iCs/>
        </w:rPr>
        <w:t>nous ne disposons pas aujourd'hui, par rapport à ce Règlement sanitaire international, de mécanismes de vérification. Il nous faut par conséquent y réfléchir. De tels mécanismes pourraient prendre plusieurs formes : mécanismes de revue par les pairs, publicité des recommandations, inspection</w:t>
      </w:r>
      <w:r w:rsidR="003141D0" w:rsidRPr="003141D0">
        <w:rPr>
          <w:i/>
          <w:iCs/>
        </w:rPr>
        <w:t>s</w:t>
      </w:r>
      <w:r w:rsidR="003141D0">
        <w:t> »</w:t>
      </w:r>
      <w:r w:rsidR="003141D0">
        <w:rPr>
          <w:rStyle w:val="Appelnotedebasdep"/>
        </w:rPr>
        <w:footnoteReference w:id="77"/>
      </w:r>
      <w:r w:rsidR="003141D0">
        <w:t>.</w:t>
      </w:r>
      <w:r w:rsidR="006C5CE2">
        <w:t xml:space="preserve"> Ainsi, l’Histoire </w:t>
      </w:r>
      <w:r w:rsidR="00772B20">
        <w:t>(</w:t>
      </w:r>
      <w:proofErr w:type="spellStart"/>
      <w:proofErr w:type="gramStart"/>
      <w:r w:rsidR="00772B20">
        <w:t>re</w:t>
      </w:r>
      <w:proofErr w:type="spellEnd"/>
      <w:r w:rsidR="00772B20">
        <w:t>?</w:t>
      </w:r>
      <w:proofErr w:type="gramEnd"/>
      <w:r w:rsidR="00772B20">
        <w:t>)</w:t>
      </w:r>
      <w:r w:rsidR="006C5CE2">
        <w:t xml:space="preserve">montrera peut-être, si l’inspection était effectivement mobilisée dans le contexte sanitaire, la permanence </w:t>
      </w:r>
      <w:r w:rsidR="00772B20">
        <w:t>comme</w:t>
      </w:r>
      <w:r w:rsidR="006C5CE2">
        <w:t xml:space="preserve"> la pertinence de ce système pour affronter les grands défis de l’humanité.</w:t>
      </w:r>
    </w:p>
    <w:p w14:paraId="41221582" w14:textId="77777777" w:rsidR="00603515" w:rsidRPr="003C11C0" w:rsidRDefault="00603515" w:rsidP="00DB16E0">
      <w:pPr>
        <w:spacing w:after="0" w:line="240" w:lineRule="auto"/>
      </w:pPr>
    </w:p>
    <w:sectPr w:rsidR="00603515" w:rsidRPr="003C11C0">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772B" w14:textId="77777777" w:rsidR="00F57C8E" w:rsidRDefault="00F57C8E" w:rsidP="00601118">
      <w:pPr>
        <w:spacing w:after="0" w:line="240" w:lineRule="auto"/>
      </w:pPr>
      <w:r>
        <w:separator/>
      </w:r>
    </w:p>
  </w:endnote>
  <w:endnote w:type="continuationSeparator" w:id="0">
    <w:p w14:paraId="707765AC" w14:textId="77777777" w:rsidR="00F57C8E" w:rsidRDefault="00F57C8E" w:rsidP="0060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89156768"/>
      <w:docPartObj>
        <w:docPartGallery w:val="Page Numbers (Bottom of Page)"/>
        <w:docPartUnique/>
      </w:docPartObj>
    </w:sdtPr>
    <w:sdtEndPr>
      <w:rPr>
        <w:rStyle w:val="Numrodepage"/>
      </w:rPr>
    </w:sdtEndPr>
    <w:sdtContent>
      <w:p w14:paraId="2CCB804A" w14:textId="77777777" w:rsidR="00AD3281" w:rsidRDefault="00AD3281" w:rsidP="00E518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6055227" w14:textId="77777777" w:rsidR="00AD3281" w:rsidRDefault="00AD3281" w:rsidP="0054723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27954889"/>
      <w:docPartObj>
        <w:docPartGallery w:val="Page Numbers (Bottom of Page)"/>
        <w:docPartUnique/>
      </w:docPartObj>
    </w:sdtPr>
    <w:sdtEndPr>
      <w:rPr>
        <w:rStyle w:val="Numrodepage"/>
      </w:rPr>
    </w:sdtEndPr>
    <w:sdtContent>
      <w:p w14:paraId="1B20DFBD" w14:textId="77777777" w:rsidR="00AD3281" w:rsidRDefault="00AD3281" w:rsidP="00E5185D">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734247C" w14:textId="77777777" w:rsidR="00AD3281" w:rsidRDefault="00AD3281" w:rsidP="0054723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113E" w14:textId="77777777" w:rsidR="00F57C8E" w:rsidRDefault="00F57C8E" w:rsidP="00601118">
      <w:pPr>
        <w:spacing w:after="0" w:line="240" w:lineRule="auto"/>
      </w:pPr>
      <w:r>
        <w:separator/>
      </w:r>
    </w:p>
  </w:footnote>
  <w:footnote w:type="continuationSeparator" w:id="0">
    <w:p w14:paraId="53EE3086" w14:textId="77777777" w:rsidR="00F57C8E" w:rsidRDefault="00F57C8E" w:rsidP="00601118">
      <w:pPr>
        <w:spacing w:after="0" w:line="240" w:lineRule="auto"/>
      </w:pPr>
      <w:r>
        <w:continuationSeparator/>
      </w:r>
    </w:p>
  </w:footnote>
  <w:footnote w:id="1">
    <w:p w14:paraId="10FC1B4C" w14:textId="35FE9290" w:rsidR="00AD3281" w:rsidRDefault="00AD3281">
      <w:pPr>
        <w:pStyle w:val="Notedebasdepage"/>
      </w:pPr>
      <w:r>
        <w:rPr>
          <w:rStyle w:val="Appelnotedebasdep"/>
        </w:rPr>
        <w:footnoteRef/>
      </w:r>
      <w:r>
        <w:t xml:space="preserve"> Docteur en droit public, Université Clermont Auvergne, CMH (EA 4232) et CEDIN (EA 382).</w:t>
      </w:r>
      <w:r w:rsidR="000316EF">
        <w:t xml:space="preserve"> </w:t>
      </w:r>
      <w:r w:rsidR="00900BDF">
        <w:t>Cette contribution est à jour au 8 mai 2020 ; l</w:t>
      </w:r>
      <w:r w:rsidR="000316EF">
        <w:t>’auteur remercie M. Denys-Sacha ROBIN pour sa relecture attentive et ses conseils.</w:t>
      </w:r>
      <w:r w:rsidR="00900BDF">
        <w:t xml:space="preserve"> </w:t>
      </w:r>
    </w:p>
  </w:footnote>
  <w:footnote w:id="2">
    <w:p w14:paraId="32AFEB08" w14:textId="77777777" w:rsidR="00AD3281" w:rsidRDefault="00AD3281" w:rsidP="001B14C5">
      <w:pPr>
        <w:pStyle w:val="Notedebasdepage"/>
      </w:pPr>
      <w:r>
        <w:rPr>
          <w:rStyle w:val="Appelnotedebasdep"/>
        </w:rPr>
        <w:footnoteRef/>
      </w:r>
      <w:r>
        <w:t xml:space="preserve"> </w:t>
      </w:r>
      <w:r w:rsidRPr="00DD1355">
        <w:t>Traité sur l</w:t>
      </w:r>
      <w:r>
        <w:t>’</w:t>
      </w:r>
      <w:r w:rsidRPr="00DD1355">
        <w:t xml:space="preserve">Antarctique, Washington, 1er décembre 1959, </w:t>
      </w:r>
      <w:r w:rsidRPr="00DD1355">
        <w:rPr>
          <w:i/>
        </w:rPr>
        <w:t>RTNU</w:t>
      </w:r>
      <w:r w:rsidRPr="00DD1355">
        <w:t>, vol. 402, 1961, n°I-5778</w:t>
      </w:r>
      <w:r>
        <w:t>.</w:t>
      </w:r>
    </w:p>
  </w:footnote>
  <w:footnote w:id="3">
    <w:p w14:paraId="21D86321" w14:textId="77777777" w:rsidR="00AD3281" w:rsidRPr="00B755E5" w:rsidRDefault="00AD3281" w:rsidP="00275E3C">
      <w:pPr>
        <w:pStyle w:val="Notedebasdepage"/>
      </w:pPr>
      <w:r>
        <w:rPr>
          <w:rStyle w:val="Appelnotedebasdep"/>
        </w:rPr>
        <w:footnoteRef/>
      </w:r>
      <w:r>
        <w:t xml:space="preserve"> FISCHER Georges, VIGNES Daniel, « Existe-t-il une fonction d’inspection dans la société internationale ? », </w:t>
      </w:r>
      <w:r>
        <w:rPr>
          <w:i/>
        </w:rPr>
        <w:t>in</w:t>
      </w:r>
      <w:r>
        <w:t xml:space="preserve"> FISCHER Georges, VIGNES Daniel (</w:t>
      </w:r>
      <w:proofErr w:type="spellStart"/>
      <w:r>
        <w:t>dir</w:t>
      </w:r>
      <w:proofErr w:type="spellEnd"/>
      <w:r>
        <w:t xml:space="preserve">.), </w:t>
      </w:r>
      <w:r>
        <w:rPr>
          <w:i/>
        </w:rPr>
        <w:t>L’inspection internationale. Quinze études de la pratique des États et des organisations internationales</w:t>
      </w:r>
      <w:r>
        <w:t>, Bruxelles, Bruylant, 1976, p. 7.</w:t>
      </w:r>
    </w:p>
  </w:footnote>
  <w:footnote w:id="4">
    <w:p w14:paraId="055FBEEF" w14:textId="77777777" w:rsidR="00AD3281" w:rsidRPr="00697AC4" w:rsidRDefault="00AD3281" w:rsidP="00275E3C">
      <w:pPr>
        <w:pStyle w:val="Notedebasdepage"/>
      </w:pPr>
      <w:r>
        <w:rPr>
          <w:rStyle w:val="Appelnotedebasdep"/>
        </w:rPr>
        <w:footnoteRef/>
      </w:r>
      <w:r w:rsidRPr="00997AEE">
        <w:rPr>
          <w:lang w:val="en-US"/>
        </w:rPr>
        <w:t xml:space="preserve"> </w:t>
      </w:r>
      <w:r w:rsidRPr="00997AEE">
        <w:rPr>
          <w:i/>
          <w:lang w:val="en-US"/>
        </w:rPr>
        <w:t>Ibid</w:t>
      </w:r>
      <w:r w:rsidRPr="00997AEE">
        <w:rPr>
          <w:lang w:val="en-US"/>
        </w:rPr>
        <w:t>., p. 8.</w:t>
      </w:r>
      <w:r>
        <w:rPr>
          <w:lang w:val="en-US"/>
        </w:rPr>
        <w:t xml:space="preserve"> </w:t>
      </w:r>
      <w:proofErr w:type="spellStart"/>
      <w:r>
        <w:rPr>
          <w:lang w:val="en-US"/>
        </w:rPr>
        <w:t>Voir</w:t>
      </w:r>
      <w:proofErr w:type="spellEnd"/>
      <w:r>
        <w:rPr>
          <w:lang w:val="en-US"/>
        </w:rPr>
        <w:t xml:space="preserve"> </w:t>
      </w:r>
      <w:proofErr w:type="spellStart"/>
      <w:r>
        <w:rPr>
          <w:lang w:val="en-US"/>
        </w:rPr>
        <w:t>ég</w:t>
      </w:r>
      <w:proofErr w:type="spellEnd"/>
      <w:r>
        <w:rPr>
          <w:lang w:val="en-US"/>
        </w:rPr>
        <w:t xml:space="preserve">. </w:t>
      </w:r>
      <w:bookmarkStart w:id="3" w:name="_Hlk522956850"/>
      <w:r w:rsidRPr="00997AEE">
        <w:rPr>
          <w:lang w:val="en-US"/>
        </w:rPr>
        <w:t>OETER Stefan, « Inspection in international law. Moni</w:t>
      </w:r>
      <w:r>
        <w:rPr>
          <w:lang w:val="en-US"/>
        </w:rPr>
        <w:t>t</w:t>
      </w:r>
      <w:r w:rsidRPr="00997AEE">
        <w:rPr>
          <w:lang w:val="en-US"/>
        </w:rPr>
        <w:t>o</w:t>
      </w:r>
      <w:r>
        <w:rPr>
          <w:lang w:val="en-US"/>
        </w:rPr>
        <w:t>r</w:t>
      </w:r>
      <w:r w:rsidRPr="00997AEE">
        <w:rPr>
          <w:lang w:val="en-US"/>
        </w:rPr>
        <w:t xml:space="preserve">ing compliance and the problem of implementation in international law », </w:t>
      </w:r>
      <w:r w:rsidRPr="00997AEE">
        <w:rPr>
          <w:i/>
          <w:lang w:val="en-US"/>
        </w:rPr>
        <w:t>Netherlands Yearbook of International Law</w:t>
      </w:r>
      <w:r w:rsidRPr="00997AEE">
        <w:rPr>
          <w:lang w:val="en-US"/>
        </w:rPr>
        <w:t xml:space="preserve">, vol. </w:t>
      </w:r>
      <w:r w:rsidRPr="0055375E">
        <w:t>XXVIII, 1997,</w:t>
      </w:r>
      <w:r>
        <w:t xml:space="preserve"> </w:t>
      </w:r>
      <w:bookmarkEnd w:id="3"/>
      <w:r>
        <w:t xml:space="preserve">p. 107 ; u encore </w:t>
      </w:r>
      <w:r w:rsidRPr="00DB26E8">
        <w:t>SALMON Jean (</w:t>
      </w:r>
      <w:proofErr w:type="spellStart"/>
      <w:r w:rsidRPr="00DB26E8">
        <w:t>dir</w:t>
      </w:r>
      <w:proofErr w:type="spellEnd"/>
      <w:r w:rsidRPr="00DB26E8">
        <w:t xml:space="preserve">.), </w:t>
      </w:r>
      <w:r w:rsidRPr="00DB26E8">
        <w:rPr>
          <w:i/>
        </w:rPr>
        <w:t>Dictionnaire de droit international public</w:t>
      </w:r>
      <w:r w:rsidRPr="00DB26E8">
        <w:t>, Bruxelles, Bruylant, 2001,</w:t>
      </w:r>
      <w:r>
        <w:t xml:space="preserve"> p. 582, entrée « inspection » (</w:t>
      </w:r>
      <w:r w:rsidRPr="00697AC4">
        <w:t>que « [m]</w:t>
      </w:r>
      <w:proofErr w:type="spellStart"/>
      <w:r w:rsidRPr="00697AC4">
        <w:t>odalité</w:t>
      </w:r>
      <w:proofErr w:type="spellEnd"/>
      <w:r w:rsidRPr="00697AC4">
        <w:t xml:space="preserve"> de contrôle tendant à permettre d</w:t>
      </w:r>
      <w:r>
        <w:t>’</w:t>
      </w:r>
      <w:r w:rsidRPr="00697AC4">
        <w:t>établir que les destinataires d</w:t>
      </w:r>
      <w:r>
        <w:t>’</w:t>
      </w:r>
      <w:r w:rsidRPr="00697AC4">
        <w:t>une norme de droit international la respectent »).</w:t>
      </w:r>
    </w:p>
  </w:footnote>
  <w:footnote w:id="5">
    <w:p w14:paraId="452C976A" w14:textId="77777777" w:rsidR="00AD3281" w:rsidRDefault="00AD3281" w:rsidP="00095815">
      <w:pPr>
        <w:pStyle w:val="Notedebasdepage"/>
      </w:pPr>
      <w:r>
        <w:rPr>
          <w:rStyle w:val="Appelnotedebasdep"/>
        </w:rPr>
        <w:footnoteRef/>
      </w:r>
      <w:r>
        <w:t xml:space="preserve"> </w:t>
      </w:r>
      <w:r w:rsidRPr="009A037B">
        <w:t xml:space="preserve">Statut de la Cour internationale de justice, annexé à la Charte des Nations Unies, San Francisco, 26 juin 1945, article 50 : </w:t>
      </w:r>
      <w:r>
        <w:t>« </w:t>
      </w:r>
      <w:r w:rsidRPr="009A037B">
        <w:t>À tout moment, la Cour peut confier une enquête ou une expertise à toute personne, corps, bureau, commission ou organe de son choix</w:t>
      </w:r>
      <w:r>
        <w:t> »</w:t>
      </w:r>
      <w:r w:rsidRPr="009A037B">
        <w:t>.</w:t>
      </w:r>
    </w:p>
  </w:footnote>
  <w:footnote w:id="6">
    <w:p w14:paraId="5AB98703" w14:textId="77777777" w:rsidR="00AD3281" w:rsidRDefault="00AD3281" w:rsidP="00095815">
      <w:pPr>
        <w:pStyle w:val="Notedebasdepage"/>
      </w:pPr>
      <w:r>
        <w:rPr>
          <w:rStyle w:val="Appelnotedebasdep"/>
        </w:rPr>
        <w:footnoteRef/>
      </w:r>
      <w:r>
        <w:t xml:space="preserve"> </w:t>
      </w:r>
      <w:r w:rsidRPr="00102433">
        <w:t>Règlement de la Cour adopté le 14 avril 1978 et entré en vigueur le 1er juillet 1978, article 67.</w:t>
      </w:r>
    </w:p>
  </w:footnote>
  <w:footnote w:id="7">
    <w:p w14:paraId="1A7D5F33" w14:textId="77777777" w:rsidR="00AD3281" w:rsidRDefault="00AD3281">
      <w:pPr>
        <w:pStyle w:val="Notedebasdepage"/>
      </w:pPr>
      <w:r>
        <w:rPr>
          <w:rStyle w:val="Appelnotedebasdep"/>
        </w:rPr>
        <w:footnoteRef/>
      </w:r>
      <w:r>
        <w:t> L’on pense en particulier au cas de la Cour pénale internationale, où l’enquête déclenche littéralement la procédure (</w:t>
      </w:r>
      <w:r w:rsidRPr="00713981">
        <w:t>Statut de Rome de la Cour pénale internationale, Rome, 17 juillet 1998, articles 53 et suivants.</w:t>
      </w:r>
      <w:r>
        <w:t>).</w:t>
      </w:r>
    </w:p>
  </w:footnote>
  <w:footnote w:id="8">
    <w:p w14:paraId="56B9EA96" w14:textId="77777777" w:rsidR="00AD3281" w:rsidRPr="008937F1" w:rsidRDefault="00AD3281">
      <w:pPr>
        <w:pStyle w:val="Notedebasdepage"/>
      </w:pPr>
      <w:r>
        <w:rPr>
          <w:rStyle w:val="Appelnotedebasdep"/>
        </w:rPr>
        <w:footnoteRef/>
      </w:r>
      <w:r>
        <w:t xml:space="preserve"> Les propos de cette première partie s’inscrivent dans la continuité de travaux de recherche plus conséquents menés en 2018 dans le cadre du Centre d’études et de recherche de l’Académie de droit international de La Haye. Ils en constituent en partie une synthèse : pour de plus amples développements, l’on se permettra ainsi de renvoyer à MAUREL Raphaël, « Les régimes d’inspection à travers le temps : regards sur l’évolution d’un mécanisme de garantie en droit international », </w:t>
      </w:r>
      <w:r>
        <w:rPr>
          <w:i/>
          <w:iCs/>
        </w:rPr>
        <w:t>in</w:t>
      </w:r>
      <w:r>
        <w:t xml:space="preserve"> CHAUMETTE Anne-Laure, TAMS Christian J., </w:t>
      </w:r>
      <w:r>
        <w:rPr>
          <w:i/>
          <w:iCs/>
        </w:rPr>
        <w:t>L’inspection internationale / International Inspection</w:t>
      </w:r>
      <w:r>
        <w:t xml:space="preserve">, </w:t>
      </w:r>
      <w:r w:rsidRPr="008937F1">
        <w:t xml:space="preserve">La Haye, </w:t>
      </w:r>
      <w:proofErr w:type="spellStart"/>
      <w:r w:rsidRPr="008937F1">
        <w:t>Brill</w:t>
      </w:r>
      <w:proofErr w:type="spellEnd"/>
      <w:r w:rsidRPr="008937F1">
        <w:t xml:space="preserve"> </w:t>
      </w:r>
      <w:proofErr w:type="spellStart"/>
      <w:r w:rsidRPr="008937F1">
        <w:t>Nijhoff</w:t>
      </w:r>
      <w:proofErr w:type="spellEnd"/>
      <w:r w:rsidRPr="008937F1">
        <w:t xml:space="preserve">, Centre for </w:t>
      </w:r>
      <w:proofErr w:type="spellStart"/>
      <w:r w:rsidRPr="008937F1">
        <w:t>Studies</w:t>
      </w:r>
      <w:proofErr w:type="spellEnd"/>
      <w:r w:rsidRPr="008937F1">
        <w:t xml:space="preserve"> and </w:t>
      </w:r>
      <w:proofErr w:type="spellStart"/>
      <w:r w:rsidRPr="008937F1">
        <w:t>Research</w:t>
      </w:r>
      <w:proofErr w:type="spellEnd"/>
      <w:r w:rsidRPr="008937F1">
        <w:t xml:space="preserve"> in International Law and International Relations </w:t>
      </w:r>
      <w:proofErr w:type="spellStart"/>
      <w:r w:rsidRPr="008937F1">
        <w:t>Series</w:t>
      </w:r>
      <w:proofErr w:type="spellEnd"/>
      <w:r w:rsidRPr="008937F1">
        <w:t>, à paraître en 2020.</w:t>
      </w:r>
    </w:p>
  </w:footnote>
  <w:footnote w:id="9">
    <w:p w14:paraId="35696C23" w14:textId="77777777" w:rsidR="00AD3281" w:rsidRDefault="00AD3281">
      <w:pPr>
        <w:pStyle w:val="Notedebasdepage"/>
      </w:pPr>
      <w:r>
        <w:rPr>
          <w:rStyle w:val="Appelnotedebasdep"/>
        </w:rPr>
        <w:footnoteRef/>
      </w:r>
      <w:r>
        <w:t xml:space="preserve"> Voir par exemple </w:t>
      </w:r>
      <w:r w:rsidRPr="006830D0">
        <w:t xml:space="preserve">NYS Ernest, </w:t>
      </w:r>
      <w:r w:rsidRPr="006830D0">
        <w:rPr>
          <w:i/>
        </w:rPr>
        <w:t>Les origines du droit international</w:t>
      </w:r>
      <w:r w:rsidRPr="006830D0">
        <w:t xml:space="preserve">, Bruxelles / Paris, Alfred </w:t>
      </w:r>
      <w:proofErr w:type="spellStart"/>
      <w:r w:rsidRPr="006830D0">
        <w:t>Castaigne</w:t>
      </w:r>
      <w:proofErr w:type="spellEnd"/>
      <w:r w:rsidRPr="006830D0">
        <w:t xml:space="preserve"> / </w:t>
      </w:r>
      <w:proofErr w:type="spellStart"/>
      <w:r w:rsidRPr="006830D0">
        <w:t>Thorin</w:t>
      </w:r>
      <w:proofErr w:type="spellEnd"/>
      <w:r>
        <w:t> </w:t>
      </w:r>
      <w:r w:rsidRPr="006830D0">
        <w:t>&amp; Fils, 1894, p. 230</w:t>
      </w:r>
      <w:r>
        <w:t> : « </w:t>
      </w:r>
      <w:r w:rsidRPr="00D02C1E">
        <w:t>[s]i le droit international admet que les croiseurs belligérants capturent les navires de leur ennemi et empêchent qu</w:t>
      </w:r>
      <w:r>
        <w:t>’</w:t>
      </w:r>
      <w:r w:rsidRPr="00D02C1E">
        <w:t>on ne porte à celui-ci des marchandises de contrebande, il doit admettre, comme une condition de l</w:t>
      </w:r>
      <w:r>
        <w:t>’</w:t>
      </w:r>
      <w:r w:rsidRPr="00D02C1E">
        <w:t>exercice de ce droit, la visite de tous les vaisseaux autres que ceux qui appartiennent aux marines militaires des différents États. Aussi, le droit de visite et de recherche est fort ancien […]</w:t>
      </w:r>
      <w:r>
        <w:t> ».</w:t>
      </w:r>
    </w:p>
  </w:footnote>
  <w:footnote w:id="10">
    <w:p w14:paraId="286646EB" w14:textId="77777777" w:rsidR="00AD3281" w:rsidRPr="00D02C1E" w:rsidRDefault="00AD3281">
      <w:pPr>
        <w:pStyle w:val="Notedebasdepage"/>
      </w:pPr>
      <w:r>
        <w:rPr>
          <w:rStyle w:val="Appelnotedebasdep"/>
        </w:rPr>
        <w:footnoteRef/>
      </w:r>
      <w:r>
        <w:t xml:space="preserve"> </w:t>
      </w:r>
      <w:r>
        <w:rPr>
          <w:i/>
          <w:iCs/>
        </w:rPr>
        <w:t>Ibid</w:t>
      </w:r>
      <w:r>
        <w:t xml:space="preserve">. ; sur les origines de ce droit, voir </w:t>
      </w:r>
      <w:r w:rsidRPr="004A0743">
        <w:t xml:space="preserve">PEARCE HIGGINS Alexander, </w:t>
      </w:r>
      <w:r>
        <w:t>« </w:t>
      </w:r>
      <w:r w:rsidRPr="004A0743">
        <w:t>Le droit de visite et de capture dans la guerre maritime</w:t>
      </w:r>
      <w:r>
        <w:t> »</w:t>
      </w:r>
      <w:r w:rsidRPr="004A0743">
        <w:t xml:space="preserve">, </w:t>
      </w:r>
      <w:r w:rsidRPr="004A0743">
        <w:rPr>
          <w:i/>
          <w:iCs/>
        </w:rPr>
        <w:t>RCADI</w:t>
      </w:r>
      <w:r w:rsidRPr="004A0743">
        <w:t>, vol. 11, 1926, pp. 74-76.</w:t>
      </w:r>
      <w:r>
        <w:t xml:space="preserve"> Scelle pense de son côté voir des traces de ce droit de visite seulement au 17</w:t>
      </w:r>
      <w:r w:rsidRPr="00D02C1E">
        <w:rPr>
          <w:vertAlign w:val="superscript"/>
        </w:rPr>
        <w:t>ème</w:t>
      </w:r>
      <w:r>
        <w:t xml:space="preserve"> siècle (</w:t>
      </w:r>
      <w:r w:rsidRPr="002D61E6">
        <w:t xml:space="preserve">SCELLE Georges, </w:t>
      </w:r>
      <w:r>
        <w:t>« </w:t>
      </w:r>
      <w:proofErr w:type="spellStart"/>
      <w:r w:rsidRPr="002D61E6">
        <w:t>Zouc</w:t>
      </w:r>
      <w:r>
        <w:t>h</w:t>
      </w:r>
      <w:proofErr w:type="spellEnd"/>
      <w:r>
        <w:t> »</w:t>
      </w:r>
      <w:r w:rsidRPr="002D61E6">
        <w:t xml:space="preserve">, </w:t>
      </w:r>
      <w:r w:rsidRPr="002D61E6">
        <w:rPr>
          <w:i/>
        </w:rPr>
        <w:t>in</w:t>
      </w:r>
      <w:r w:rsidRPr="002D61E6">
        <w:t xml:space="preserve"> PILLET Antoine (</w:t>
      </w:r>
      <w:proofErr w:type="spellStart"/>
      <w:r w:rsidRPr="002D61E6">
        <w:t>dir</w:t>
      </w:r>
      <w:proofErr w:type="spellEnd"/>
      <w:r w:rsidRPr="002D61E6">
        <w:t xml:space="preserve">.), </w:t>
      </w:r>
      <w:r w:rsidRPr="002D61E6">
        <w:rPr>
          <w:i/>
        </w:rPr>
        <w:t>Les fondateurs du droit international</w:t>
      </w:r>
      <w:r w:rsidRPr="002D61E6">
        <w:t>, Paris, V. Giard &amp; E. Brière, 1904, p. 307</w:t>
      </w:r>
      <w:r>
        <w:t>).</w:t>
      </w:r>
    </w:p>
  </w:footnote>
  <w:footnote w:id="11">
    <w:p w14:paraId="76BB74CB" w14:textId="77777777" w:rsidR="00AD3281" w:rsidRDefault="00AD3281">
      <w:pPr>
        <w:pStyle w:val="Notedebasdepage"/>
      </w:pPr>
      <w:r>
        <w:rPr>
          <w:rStyle w:val="Appelnotedebasdep"/>
        </w:rPr>
        <w:footnoteRef/>
      </w:r>
      <w:r>
        <w:t xml:space="preserve"> Voir notamment </w:t>
      </w:r>
      <w:r w:rsidRPr="00C06532">
        <w:t xml:space="preserve">DE MAS-LATRIE Louis, </w:t>
      </w:r>
      <w:r>
        <w:t>« </w:t>
      </w:r>
      <w:r w:rsidRPr="00C06532">
        <w:t>L</w:t>
      </w:r>
      <w:r>
        <w:t>’</w:t>
      </w:r>
      <w:proofErr w:type="spellStart"/>
      <w:r w:rsidRPr="00C06532">
        <w:rPr>
          <w:i/>
        </w:rPr>
        <w:t>officium</w:t>
      </w:r>
      <w:proofErr w:type="spellEnd"/>
      <w:r w:rsidRPr="00C06532">
        <w:t xml:space="preserve"> </w:t>
      </w:r>
      <w:proofErr w:type="spellStart"/>
      <w:r w:rsidRPr="00C06532">
        <w:rPr>
          <w:i/>
        </w:rPr>
        <w:t>robarie</w:t>
      </w:r>
      <w:proofErr w:type="spellEnd"/>
      <w:r w:rsidRPr="00C06532">
        <w:t xml:space="preserve"> ou l</w:t>
      </w:r>
      <w:r>
        <w:t>’</w:t>
      </w:r>
      <w:r w:rsidRPr="00C06532">
        <w:t>office de la piraterie à Gênes au Moyen Âge</w:t>
      </w:r>
      <w:r>
        <w:t> »</w:t>
      </w:r>
      <w:r w:rsidRPr="00C06532">
        <w:t xml:space="preserve">, </w:t>
      </w:r>
      <w:r w:rsidRPr="00C06532">
        <w:rPr>
          <w:i/>
        </w:rPr>
        <w:t>Bibliothèque de l</w:t>
      </w:r>
      <w:r>
        <w:rPr>
          <w:i/>
        </w:rPr>
        <w:t>’É</w:t>
      </w:r>
      <w:r w:rsidRPr="00C06532">
        <w:rPr>
          <w:i/>
        </w:rPr>
        <w:t>cole des chartes</w:t>
      </w:r>
      <w:r w:rsidRPr="00C06532">
        <w:t>, vol. 53, 1892</w:t>
      </w:r>
      <w:r>
        <w:t>,</w:t>
      </w:r>
      <w:r w:rsidRPr="00C06532">
        <w:t xml:space="preserve"> pp. 267-268</w:t>
      </w:r>
      <w:r>
        <w:t>. L’auteur y donne des éléments tendant à prouver l’existence d’une telle pratique, dans la lutte anti-piraterie, au cours du 13</w:t>
      </w:r>
      <w:r w:rsidRPr="002E1507">
        <w:rPr>
          <w:vertAlign w:val="superscript"/>
        </w:rPr>
        <w:t>ème</w:t>
      </w:r>
      <w:r>
        <w:t xml:space="preserve"> siècle et de manière plus certaine au 14</w:t>
      </w:r>
      <w:r w:rsidRPr="002E1507">
        <w:rPr>
          <w:vertAlign w:val="superscript"/>
        </w:rPr>
        <w:t>ème</w:t>
      </w:r>
      <w:r>
        <w:t xml:space="preserve"> siècle. </w:t>
      </w:r>
    </w:p>
  </w:footnote>
  <w:footnote w:id="12">
    <w:p w14:paraId="107C7E45" w14:textId="77777777" w:rsidR="00AD3281" w:rsidRDefault="00AD3281" w:rsidP="00E11CB6">
      <w:pPr>
        <w:pStyle w:val="Notedebasdepage"/>
      </w:pPr>
      <w:r>
        <w:rPr>
          <w:rStyle w:val="Appelnotedebasdep"/>
        </w:rPr>
        <w:footnoteRef/>
      </w:r>
      <w:r>
        <w:t xml:space="preserve"> </w:t>
      </w:r>
      <w:r w:rsidRPr="00E922FF">
        <w:t>Traité de Paix entre Louis XIV, Roi de France, et Victor Amédée II, Duc de Savoie (</w:t>
      </w:r>
      <w:r>
        <w:t>« </w:t>
      </w:r>
      <w:r w:rsidRPr="00E922FF">
        <w:t>Traité de Turin</w:t>
      </w:r>
      <w:r>
        <w:t> »</w:t>
      </w:r>
      <w:r w:rsidRPr="00E922FF">
        <w:t>), Turin, 19 août 1696, article I.</w:t>
      </w:r>
    </w:p>
  </w:footnote>
  <w:footnote w:id="13">
    <w:p w14:paraId="1304CD8C" w14:textId="77777777" w:rsidR="00AD3281" w:rsidRDefault="00AD3281" w:rsidP="00E11CB6">
      <w:pPr>
        <w:pStyle w:val="Notedebasdepage"/>
      </w:pPr>
      <w:r>
        <w:rPr>
          <w:rStyle w:val="Appelnotedebasdep"/>
        </w:rPr>
        <w:footnoteRef/>
      </w:r>
      <w:r>
        <w:t xml:space="preserve"> </w:t>
      </w:r>
      <w:r w:rsidRPr="00E922FF">
        <w:t>Traité de paix et d</w:t>
      </w:r>
      <w:r>
        <w:t>’</w:t>
      </w:r>
      <w:r w:rsidRPr="00E922FF">
        <w:t>amitié entre S. M. le Roi de Sardaigne et la République française, Paris, 15 mai 1796, article XV.</w:t>
      </w:r>
    </w:p>
  </w:footnote>
  <w:footnote w:id="14">
    <w:p w14:paraId="3A4E3B57" w14:textId="77777777" w:rsidR="00AD3281" w:rsidRDefault="00AD3281" w:rsidP="00E11CB6">
      <w:pPr>
        <w:pStyle w:val="Notedebasdepage"/>
      </w:pPr>
      <w:r>
        <w:rPr>
          <w:rStyle w:val="Appelnotedebasdep"/>
        </w:rPr>
        <w:footnoteRef/>
      </w:r>
      <w:r>
        <w:t> </w:t>
      </w:r>
      <w:r w:rsidRPr="0040460C">
        <w:t xml:space="preserve">Traité conclu, le 8 janvier 1892, avec Sa Hautesse </w:t>
      </w:r>
      <w:proofErr w:type="spellStart"/>
      <w:r w:rsidRPr="0040460C">
        <w:t>Said</w:t>
      </w:r>
      <w:proofErr w:type="spellEnd"/>
      <w:r w:rsidRPr="0040460C">
        <w:t xml:space="preserve"> Omar Sultan d</w:t>
      </w:r>
      <w:r>
        <w:t>’</w:t>
      </w:r>
      <w:r w:rsidRPr="0040460C">
        <w:t xml:space="preserve">Anjouan, article </w:t>
      </w:r>
      <w:r>
        <w:t xml:space="preserve">9. Voir, sur cette question, </w:t>
      </w:r>
      <w:r w:rsidRPr="00F320B8">
        <w:t xml:space="preserve">ROUARD DE CARD Edgard, </w:t>
      </w:r>
      <w:r w:rsidRPr="00F320B8">
        <w:rPr>
          <w:i/>
        </w:rPr>
        <w:t>Les traités de protectorat conclus par la France en Afrique. 1870-1895</w:t>
      </w:r>
      <w:r w:rsidRPr="00F320B8">
        <w:t xml:space="preserve">, Paris, </w:t>
      </w:r>
      <w:proofErr w:type="spellStart"/>
      <w:r w:rsidRPr="00F320B8">
        <w:t>Pedone</w:t>
      </w:r>
      <w:proofErr w:type="spellEnd"/>
      <w:r w:rsidRPr="00F320B8">
        <w:t xml:space="preserve">, 1897, </w:t>
      </w:r>
      <w:r w:rsidRPr="0040460C">
        <w:t>p. 175).</w:t>
      </w:r>
    </w:p>
  </w:footnote>
  <w:footnote w:id="15">
    <w:p w14:paraId="66475D62" w14:textId="77777777" w:rsidR="00AD3281" w:rsidRDefault="00AD3281">
      <w:pPr>
        <w:pStyle w:val="Notedebasdepage"/>
      </w:pPr>
      <w:r>
        <w:rPr>
          <w:rStyle w:val="Appelnotedebasdep"/>
        </w:rPr>
        <w:footnoteRef/>
      </w:r>
      <w:r>
        <w:t xml:space="preserve"> </w:t>
      </w:r>
      <w:r w:rsidRPr="00B5380D">
        <w:t>Convention pour régler la police de la pêche dans la Mer du Nord, La Haye, 6 mai 1882</w:t>
      </w:r>
      <w:r>
        <w:t>, articles 28 et suivants. Cette disposition ne sera qualifiée d’inspection que postérieurement (</w:t>
      </w:r>
      <w:r w:rsidRPr="0035664B">
        <w:t xml:space="preserve">VOELCKEL Michel, </w:t>
      </w:r>
      <w:r>
        <w:t>« </w:t>
      </w:r>
      <w:r w:rsidRPr="0035664B">
        <w:t>La Convention du 1er juin 1967 sur l</w:t>
      </w:r>
      <w:r>
        <w:t>’</w:t>
      </w:r>
      <w:r w:rsidRPr="0035664B">
        <w:t>exercice de la pêche en Atlantique Nord</w:t>
      </w:r>
      <w:r>
        <w:t> »</w:t>
      </w:r>
      <w:r w:rsidRPr="0035664B">
        <w:t xml:space="preserve">, </w:t>
      </w:r>
      <w:r w:rsidRPr="0035664B">
        <w:rPr>
          <w:i/>
        </w:rPr>
        <w:t>AFDI</w:t>
      </w:r>
      <w:r w:rsidRPr="0035664B">
        <w:t xml:space="preserve">, vol. 13, 1967, pp. 647-672, </w:t>
      </w:r>
      <w:proofErr w:type="spellStart"/>
      <w:r w:rsidRPr="0035664B">
        <w:t>spéc</w:t>
      </w:r>
      <w:proofErr w:type="spellEnd"/>
      <w:r w:rsidRPr="0035664B">
        <w:t>. p. 663</w:t>
      </w:r>
      <w:r>
        <w:t>).</w:t>
      </w:r>
    </w:p>
  </w:footnote>
  <w:footnote w:id="16">
    <w:p w14:paraId="5AD65E34" w14:textId="77777777" w:rsidR="00AD3281" w:rsidRDefault="00AD3281" w:rsidP="00E11CB6">
      <w:pPr>
        <w:pStyle w:val="Notedebasdepage"/>
      </w:pPr>
      <w:r>
        <w:rPr>
          <w:rStyle w:val="Appelnotedebasdep"/>
        </w:rPr>
        <w:footnoteRef/>
      </w:r>
      <w:r>
        <w:t xml:space="preserve"> Par exemple,</w:t>
      </w:r>
      <w:r w:rsidRPr="00E922FF">
        <w:t xml:space="preserve"> Convention sanitaire internationale, Paris, 17 janvier 1912, </w:t>
      </w:r>
      <w:r w:rsidRPr="00E922FF">
        <w:rPr>
          <w:i/>
        </w:rPr>
        <w:t>RTSN</w:t>
      </w:r>
      <w:r w:rsidRPr="00E922FF">
        <w:t>, vol. 4, 1921, n°112, article 124.</w:t>
      </w:r>
    </w:p>
  </w:footnote>
  <w:footnote w:id="17">
    <w:p w14:paraId="6CE8D66B" w14:textId="77777777" w:rsidR="00AD3281" w:rsidRDefault="00AD3281" w:rsidP="00E11CB6">
      <w:pPr>
        <w:pStyle w:val="Notedebasdepage"/>
      </w:pPr>
      <w:r>
        <w:rPr>
          <w:rStyle w:val="Appelnotedebasdep"/>
        </w:rPr>
        <w:footnoteRef/>
      </w:r>
      <w:r>
        <w:t xml:space="preserve"> Par exemple, T</w:t>
      </w:r>
      <w:r w:rsidRPr="00004433">
        <w:t>raité de paix entre les puissances alliées et associées et la Bulgarie, Neuilly, 27 novembre 1919, article 127</w:t>
      </w:r>
      <w:r>
        <w:t>.</w:t>
      </w:r>
    </w:p>
  </w:footnote>
  <w:footnote w:id="18">
    <w:p w14:paraId="3B76A56E" w14:textId="77777777" w:rsidR="00AD3281" w:rsidRDefault="00AD3281" w:rsidP="00E11CB6">
      <w:pPr>
        <w:pStyle w:val="Notedebasdepage"/>
      </w:pPr>
      <w:r>
        <w:rPr>
          <w:rStyle w:val="Appelnotedebasdep"/>
        </w:rPr>
        <w:footnoteRef/>
      </w:r>
      <w:r>
        <w:t xml:space="preserve"> </w:t>
      </w:r>
      <w:r w:rsidRPr="00524A5B">
        <w:t>Traité de paix entre la Pologne, la Russie et l</w:t>
      </w:r>
      <w:r>
        <w:t>’</w:t>
      </w:r>
      <w:r w:rsidRPr="00524A5B">
        <w:t xml:space="preserve">Ukraine, Riga, 18 mars 1921, </w:t>
      </w:r>
      <w:r w:rsidRPr="00524A5B">
        <w:rPr>
          <w:i/>
        </w:rPr>
        <w:t>RTSN</w:t>
      </w:r>
      <w:r w:rsidRPr="00524A5B">
        <w:t>, vol. 6, 1921, n°149, annexe n°2, point 5.</w:t>
      </w:r>
    </w:p>
  </w:footnote>
  <w:footnote w:id="19">
    <w:p w14:paraId="51B54FCA" w14:textId="77777777" w:rsidR="00AD3281" w:rsidRDefault="00AD3281" w:rsidP="00AF3F7D">
      <w:pPr>
        <w:pStyle w:val="Notedebasdepage"/>
      </w:pPr>
      <w:r>
        <w:rPr>
          <w:rStyle w:val="Appelnotedebasdep"/>
        </w:rPr>
        <w:footnoteRef/>
      </w:r>
      <w:r>
        <w:t xml:space="preserve"> CHARPENTIER Jean, « </w:t>
      </w:r>
      <w:r w:rsidRPr="003027B0">
        <w:t>Le contrôle par les organisations internationales de l</w:t>
      </w:r>
      <w:r>
        <w:t>’</w:t>
      </w:r>
      <w:r w:rsidRPr="003027B0">
        <w:t>exécution des obligations des États</w:t>
      </w:r>
      <w:r>
        <w:t> »</w:t>
      </w:r>
      <w:r w:rsidRPr="003027B0">
        <w:t xml:space="preserve">, </w:t>
      </w:r>
      <w:r w:rsidRPr="003027B0">
        <w:rPr>
          <w:i/>
        </w:rPr>
        <w:t>RCADI</w:t>
      </w:r>
      <w:r w:rsidRPr="003027B0">
        <w:t>, vol. 182, 1983, p. 211</w:t>
      </w:r>
      <w:r>
        <w:t>.</w:t>
      </w:r>
    </w:p>
  </w:footnote>
  <w:footnote w:id="20">
    <w:p w14:paraId="33C2E8A0" w14:textId="77777777" w:rsidR="00AD3281" w:rsidRDefault="00AD3281">
      <w:pPr>
        <w:pStyle w:val="Notedebasdepage"/>
      </w:pPr>
      <w:r>
        <w:rPr>
          <w:rStyle w:val="Appelnotedebasdep"/>
        </w:rPr>
        <w:footnoteRef/>
      </w:r>
      <w:r>
        <w:t xml:space="preserve"> </w:t>
      </w:r>
      <w:r w:rsidRPr="002B5406">
        <w:t>Traité de paix (</w:t>
      </w:r>
      <w:r>
        <w:t>« </w:t>
      </w:r>
      <w:r w:rsidRPr="002B5406">
        <w:t>Traité de Versailles</w:t>
      </w:r>
      <w:r>
        <w:t> »</w:t>
      </w:r>
      <w:r w:rsidRPr="002B5406">
        <w:t>), Versailles, 28 juin 1919,</w:t>
      </w:r>
      <w:r>
        <w:t xml:space="preserve"> article 204.</w:t>
      </w:r>
    </w:p>
  </w:footnote>
  <w:footnote w:id="21">
    <w:p w14:paraId="57631FB6" w14:textId="77777777" w:rsidR="00AD3281" w:rsidRDefault="00AD3281" w:rsidP="00AF3F7D">
      <w:pPr>
        <w:pStyle w:val="Notedebasdepage"/>
      </w:pPr>
      <w:r>
        <w:rPr>
          <w:rStyle w:val="Appelnotedebasdep"/>
        </w:rPr>
        <w:footnoteRef/>
      </w:r>
      <w:r>
        <w:t xml:space="preserve"> </w:t>
      </w:r>
      <w:r>
        <w:rPr>
          <w:i/>
          <w:iCs/>
        </w:rPr>
        <w:t>Ibid</w:t>
      </w:r>
      <w:r>
        <w:t>., article 205. Voir, de manière générale, les articles 203 à 210 de ce traité.</w:t>
      </w:r>
      <w:r w:rsidRPr="002B5406">
        <w:t xml:space="preserve"> </w:t>
      </w:r>
    </w:p>
  </w:footnote>
  <w:footnote w:id="22">
    <w:p w14:paraId="10C45DF0" w14:textId="77777777" w:rsidR="00AD3281" w:rsidRDefault="00AD3281" w:rsidP="00AF3F7D">
      <w:pPr>
        <w:pStyle w:val="Notedebasdepage"/>
      </w:pPr>
      <w:r>
        <w:rPr>
          <w:rStyle w:val="Appelnotedebasdep"/>
        </w:rPr>
        <w:footnoteRef/>
      </w:r>
      <w:r>
        <w:t xml:space="preserve"> Traité de paix entre les puissances alliées et associées et la Bulgarie, Neuilly, 27 novembre 1919, article 100 ; Traité de paix entre les Puissances alliées et associées et la Turquie, Sèvres, 10 août 1920, article 202.</w:t>
      </w:r>
    </w:p>
  </w:footnote>
  <w:footnote w:id="23">
    <w:p w14:paraId="58548B57" w14:textId="77777777" w:rsidR="00AD3281" w:rsidRDefault="00AD3281">
      <w:pPr>
        <w:pStyle w:val="Notedebasdepage"/>
      </w:pPr>
      <w:r>
        <w:rPr>
          <w:rStyle w:val="Appelnotedebasdep"/>
        </w:rPr>
        <w:footnoteRef/>
      </w:r>
      <w:r>
        <w:t xml:space="preserve"> </w:t>
      </w:r>
      <w:r w:rsidRPr="002B743A">
        <w:t>Traité de paix entre la Russie et l</w:t>
      </w:r>
      <w:r>
        <w:t>’</w:t>
      </w:r>
      <w:r w:rsidRPr="002B743A">
        <w:t xml:space="preserve">Estonie, Tartu, 2 février 1920, </w:t>
      </w:r>
      <w:r w:rsidRPr="002B743A">
        <w:rPr>
          <w:i/>
        </w:rPr>
        <w:t>RTSN</w:t>
      </w:r>
      <w:r w:rsidRPr="002B743A">
        <w:t>, vol. 11, 1922, n° 289, annexe à l</w:t>
      </w:r>
      <w:r>
        <w:t>’</w:t>
      </w:r>
      <w:r w:rsidRPr="002B743A">
        <w:t>article 7, point 5</w:t>
      </w:r>
      <w:r>
        <w:t>.</w:t>
      </w:r>
    </w:p>
  </w:footnote>
  <w:footnote w:id="24">
    <w:p w14:paraId="3E726990" w14:textId="77777777" w:rsidR="00AD3281" w:rsidRDefault="00AD3281">
      <w:pPr>
        <w:pStyle w:val="Notedebasdepage"/>
      </w:pPr>
      <w:r>
        <w:rPr>
          <w:rStyle w:val="Appelnotedebasdep"/>
        </w:rPr>
        <w:footnoteRef/>
      </w:r>
      <w:r>
        <w:t xml:space="preserve"> </w:t>
      </w:r>
      <w:r w:rsidRPr="00FE2A32">
        <w:t xml:space="preserve">France, Union soviétique, </w:t>
      </w:r>
      <w:r>
        <w:t xml:space="preserve">Grande-Bretagne, </w:t>
      </w:r>
      <w:r w:rsidRPr="00FE2A32">
        <w:t xml:space="preserve">États-Unis, </w:t>
      </w:r>
      <w:r>
        <w:t>Belgique,</w:t>
      </w:r>
      <w:r w:rsidRPr="00FE2A32">
        <w:t xml:space="preserve"> Argentine, Australie, Chili</w:t>
      </w:r>
      <w:r>
        <w:t>,</w:t>
      </w:r>
      <w:r w:rsidRPr="00FE2A32">
        <w:t xml:space="preserve"> Japon</w:t>
      </w:r>
      <w:r>
        <w:t>,</w:t>
      </w:r>
      <w:r w:rsidRPr="00FE2A32">
        <w:t xml:space="preserve"> Nouvelle-Zélande</w:t>
      </w:r>
      <w:r>
        <w:t>,</w:t>
      </w:r>
      <w:r w:rsidRPr="00FE2A32">
        <w:t xml:space="preserve"> Norvège et Union Sud-Africaine.</w:t>
      </w:r>
    </w:p>
  </w:footnote>
  <w:footnote w:id="25">
    <w:p w14:paraId="464894CD" w14:textId="57F79CFA" w:rsidR="00AD3281" w:rsidRPr="00983C09" w:rsidRDefault="00AD3281" w:rsidP="00AF3F7D">
      <w:pPr>
        <w:pStyle w:val="Notedebasdepage"/>
      </w:pPr>
      <w:r>
        <w:rPr>
          <w:rStyle w:val="Appelnotedebasdep"/>
        </w:rPr>
        <w:footnoteRef/>
      </w:r>
      <w:r>
        <w:t xml:space="preserve"> Par les r</w:t>
      </w:r>
      <w:r w:rsidRPr="00997AEE">
        <w:t>ésolution</w:t>
      </w:r>
      <w:r>
        <w:t>s</w:t>
      </w:r>
      <w:r w:rsidRPr="00997AEE">
        <w:t xml:space="preserve"> BIRD-93-10, SecM93-988 </w:t>
      </w:r>
      <w:r>
        <w:t>et</w:t>
      </w:r>
      <w:r w:rsidRPr="00D10E00">
        <w:t xml:space="preserve"> AID 93-6, SecM93-313</w:t>
      </w:r>
      <w:r>
        <w:t xml:space="preserve">, les organes de la Banque mondiale créent en effet un organe contentieux qualifié de « quasi-juridictionnel » qualifié de système d’inspection. À notre sens cependant, cette nouvelle manifestation de l’inspection, depuis lors reprise au sein de la plupart des banques d’investissement et de développement et en matière économique de manière générale, ne correspond pas pleinement à l’inspection « classique » ici présentée. L’importance de ces mécanismes contentieux dans l’ordre international, ainsi que l’exercice, dans leurs cadres, de missions d’observation </w:t>
      </w:r>
      <w:r>
        <w:rPr>
          <w:i/>
          <w:iCs/>
        </w:rPr>
        <w:t>in situ</w:t>
      </w:r>
      <w:r>
        <w:t>, interdit cependant de conclure à un simple abus de langage. Les résolutions de 1993 instaurent en ce sens une réelle rupture sémantique, donnant naissance à une nouvelle forme d’inspection aujourd’hui bien implantée dans le paysage du droit international économique.</w:t>
      </w:r>
    </w:p>
  </w:footnote>
  <w:footnote w:id="26">
    <w:p w14:paraId="69814DFE" w14:textId="0B169B56" w:rsidR="00AD3281" w:rsidRDefault="00AD3281">
      <w:pPr>
        <w:pStyle w:val="Notedebasdepage"/>
      </w:pPr>
      <w:r>
        <w:rPr>
          <w:rStyle w:val="Appelnotedebasdep"/>
        </w:rPr>
        <w:footnoteRef/>
      </w:r>
      <w:r>
        <w:t xml:space="preserve"> Traité précité note </w:t>
      </w:r>
      <w:r>
        <w:fldChar w:fldCharType="begin"/>
      </w:r>
      <w:r>
        <w:instrText xml:space="preserve"> NOTEREF _Ref522958281 \h </w:instrText>
      </w:r>
      <w:r>
        <w:fldChar w:fldCharType="separate"/>
      </w:r>
      <w:r w:rsidR="000E75EC">
        <w:t>2</w:t>
      </w:r>
      <w:r>
        <w:fldChar w:fldCharType="end"/>
      </w:r>
      <w:r>
        <w:t>, article 7.</w:t>
      </w:r>
    </w:p>
  </w:footnote>
  <w:footnote w:id="27">
    <w:p w14:paraId="2099FB17" w14:textId="1B8B5D86" w:rsidR="00AD3281" w:rsidRDefault="00AD3281">
      <w:pPr>
        <w:pStyle w:val="Notedebasdepage"/>
      </w:pPr>
      <w:r>
        <w:rPr>
          <w:rStyle w:val="Appelnotedebasdep"/>
        </w:rPr>
        <w:footnoteRef/>
      </w:r>
      <w:r>
        <w:t xml:space="preserve"> Le 23 janvier 2020, après un premier contact en août 2018 et, par conséquent, plus d’un an de recherches régulièrement relancées par courriel, l</w:t>
      </w:r>
      <w:r w:rsidRPr="00431591">
        <w:t xml:space="preserve">e Senior </w:t>
      </w:r>
      <w:proofErr w:type="spellStart"/>
      <w:r w:rsidRPr="00431591">
        <w:t>Advisor</w:t>
      </w:r>
      <w:proofErr w:type="spellEnd"/>
      <w:r w:rsidRPr="00431591">
        <w:t xml:space="preserve"> for </w:t>
      </w:r>
      <w:proofErr w:type="spellStart"/>
      <w:r w:rsidRPr="00431591">
        <w:t>Antarctica</w:t>
      </w:r>
      <w:proofErr w:type="spellEnd"/>
      <w:r w:rsidRPr="00431591">
        <w:t xml:space="preserve"> de l</w:t>
      </w:r>
      <w:r>
        <w:t>’</w:t>
      </w:r>
      <w:r w:rsidRPr="00431591">
        <w:t xml:space="preserve">Office of </w:t>
      </w:r>
      <w:proofErr w:type="spellStart"/>
      <w:r w:rsidRPr="00431591">
        <w:t>Ocean</w:t>
      </w:r>
      <w:proofErr w:type="spellEnd"/>
      <w:r w:rsidRPr="00431591">
        <w:t xml:space="preserve"> and Polar </w:t>
      </w:r>
      <w:proofErr w:type="spellStart"/>
      <w:r w:rsidRPr="00431591">
        <w:t>Affairs</w:t>
      </w:r>
      <w:proofErr w:type="spellEnd"/>
      <w:r w:rsidRPr="00431591">
        <w:t xml:space="preserve"> de l</w:t>
      </w:r>
      <w:r>
        <w:t>’</w:t>
      </w:r>
      <w:r w:rsidRPr="00431591">
        <w:t xml:space="preserve">US </w:t>
      </w:r>
      <w:proofErr w:type="spellStart"/>
      <w:r w:rsidRPr="00431591">
        <w:t>Deparment</w:t>
      </w:r>
      <w:proofErr w:type="spellEnd"/>
      <w:r w:rsidRPr="00431591">
        <w:t xml:space="preserve"> of State, censé, selon le Secrétariat du Traité de l</w:t>
      </w:r>
      <w:r>
        <w:t>’</w:t>
      </w:r>
      <w:r w:rsidRPr="00431591">
        <w:t>Antarctique</w:t>
      </w:r>
      <w:r>
        <w:t>,</w:t>
      </w:r>
      <w:r w:rsidRPr="00431591">
        <w:t xml:space="preserve"> disposer de ces travaux préparatoires, nous a </w:t>
      </w:r>
      <w:r>
        <w:t xml:space="preserve">en effet </w:t>
      </w:r>
      <w:r w:rsidRPr="00431591">
        <w:t>répondu</w:t>
      </w:r>
      <w:r>
        <w:t xml:space="preserve"> en toute bonne foi</w:t>
      </w:r>
      <w:r w:rsidRPr="00431591">
        <w:t xml:space="preserve"> avoir été </w:t>
      </w:r>
      <w:r>
        <w:t>finalement « </w:t>
      </w:r>
      <w:proofErr w:type="spellStart"/>
      <w:r w:rsidRPr="00431591">
        <w:t>unable</w:t>
      </w:r>
      <w:proofErr w:type="spellEnd"/>
      <w:r w:rsidRPr="00431591">
        <w:t xml:space="preserve"> to </w:t>
      </w:r>
      <w:proofErr w:type="spellStart"/>
      <w:r w:rsidRPr="00431591">
        <w:t>determine</w:t>
      </w:r>
      <w:proofErr w:type="spellEnd"/>
      <w:r w:rsidRPr="00431591">
        <w:t xml:space="preserve"> </w:t>
      </w:r>
      <w:proofErr w:type="spellStart"/>
      <w:r w:rsidRPr="00431591">
        <w:t>what</w:t>
      </w:r>
      <w:proofErr w:type="spellEnd"/>
      <w:r w:rsidRPr="00431591">
        <w:t xml:space="preserve"> files </w:t>
      </w:r>
      <w:r>
        <w:t>[</w:t>
      </w:r>
      <w:proofErr w:type="spellStart"/>
      <w:r>
        <w:t>they</w:t>
      </w:r>
      <w:proofErr w:type="spellEnd"/>
      <w:r>
        <w:t>]</w:t>
      </w:r>
      <w:r w:rsidRPr="00431591">
        <w:t xml:space="preserve"> have </w:t>
      </w:r>
      <w:proofErr w:type="spellStart"/>
      <w:r w:rsidRPr="00431591">
        <w:t>related</w:t>
      </w:r>
      <w:proofErr w:type="spellEnd"/>
      <w:r w:rsidRPr="00431591">
        <w:t xml:space="preserve"> to </w:t>
      </w:r>
      <w:r>
        <w:t>[</w:t>
      </w:r>
      <w:proofErr w:type="spellStart"/>
      <w:r>
        <w:t>my</w:t>
      </w:r>
      <w:proofErr w:type="spellEnd"/>
      <w:r>
        <w:t>]</w:t>
      </w:r>
      <w:r w:rsidRPr="00431591">
        <w:t xml:space="preserve"> </w:t>
      </w:r>
      <w:proofErr w:type="spellStart"/>
      <w:r w:rsidRPr="00431591">
        <w:t>request</w:t>
      </w:r>
      <w:proofErr w:type="spellEnd"/>
      <w:r>
        <w:t> ».</w:t>
      </w:r>
    </w:p>
  </w:footnote>
  <w:footnote w:id="28">
    <w:p w14:paraId="4E4277D2" w14:textId="77777777" w:rsidR="00AD3281" w:rsidRDefault="00AD3281">
      <w:pPr>
        <w:pStyle w:val="Notedebasdepage"/>
      </w:pPr>
      <w:r>
        <w:rPr>
          <w:rStyle w:val="Appelnotedebasdep"/>
        </w:rPr>
        <w:footnoteRef/>
      </w:r>
      <w:r>
        <w:t xml:space="preserve"> </w:t>
      </w:r>
      <w:r w:rsidRPr="002002FC">
        <w:t>BECK</w:t>
      </w:r>
      <w:r w:rsidRPr="00B34C96">
        <w:t xml:space="preserve"> Peter J., </w:t>
      </w:r>
      <w:r>
        <w:t>« </w:t>
      </w:r>
      <w:proofErr w:type="spellStart"/>
      <w:r w:rsidRPr="00B34C96">
        <w:t>Preparatory</w:t>
      </w:r>
      <w:proofErr w:type="spellEnd"/>
      <w:r w:rsidRPr="00B34C96">
        <w:t xml:space="preserve"> meetings for the </w:t>
      </w:r>
      <w:proofErr w:type="spellStart"/>
      <w:r w:rsidRPr="00B34C96">
        <w:t>Antarctic</w:t>
      </w:r>
      <w:proofErr w:type="spellEnd"/>
      <w:r w:rsidRPr="00B34C96">
        <w:t xml:space="preserve"> </w:t>
      </w:r>
      <w:proofErr w:type="spellStart"/>
      <w:r w:rsidRPr="00B34C96">
        <w:t>Treaty</w:t>
      </w:r>
      <w:proofErr w:type="spellEnd"/>
      <w:r w:rsidRPr="00B34C96">
        <w:t xml:space="preserve"> 1958-59</w:t>
      </w:r>
      <w:r>
        <w:t> »</w:t>
      </w:r>
      <w:r w:rsidRPr="00B34C96">
        <w:t xml:space="preserve">, </w:t>
      </w:r>
      <w:r w:rsidRPr="00B34C96">
        <w:rPr>
          <w:i/>
        </w:rPr>
        <w:t>Polar Record</w:t>
      </w:r>
      <w:r w:rsidRPr="00B34C96">
        <w:t>, vol. 22, 1985, p. 659</w:t>
      </w:r>
      <w:r>
        <w:t>.</w:t>
      </w:r>
    </w:p>
  </w:footnote>
  <w:footnote w:id="29">
    <w:p w14:paraId="66FBA4A7" w14:textId="77777777" w:rsidR="00AD3281" w:rsidRDefault="00AD3281">
      <w:pPr>
        <w:pStyle w:val="Notedebasdepage"/>
      </w:pPr>
      <w:r>
        <w:rPr>
          <w:rStyle w:val="Appelnotedebasdep"/>
        </w:rPr>
        <w:footnoteRef/>
      </w:r>
      <w:r>
        <w:t xml:space="preserve"> </w:t>
      </w:r>
      <w:r w:rsidRPr="00A40D8F">
        <w:rPr>
          <w:i/>
          <w:iCs/>
        </w:rPr>
        <w:t>Le Monde</w:t>
      </w:r>
      <w:r w:rsidRPr="00A40D8F">
        <w:t xml:space="preserve">, </w:t>
      </w:r>
      <w:r>
        <w:t>« </w:t>
      </w:r>
      <w:r w:rsidRPr="00A40D8F">
        <w:t>La conférence internationale sur l</w:t>
      </w:r>
      <w:r>
        <w:t>’</w:t>
      </w:r>
      <w:r w:rsidRPr="00A40D8F">
        <w:t>Antarctique se réunirait le 15 octobre à Washington</w:t>
      </w:r>
      <w:r>
        <w:t> »</w:t>
      </w:r>
      <w:r w:rsidRPr="00A40D8F">
        <w:t>, 20 mai 1959.</w:t>
      </w:r>
    </w:p>
  </w:footnote>
  <w:footnote w:id="30">
    <w:p w14:paraId="5EE8940D" w14:textId="77777777" w:rsidR="00AD3281" w:rsidRDefault="00AD3281">
      <w:pPr>
        <w:pStyle w:val="Notedebasdepage"/>
      </w:pPr>
      <w:r>
        <w:rPr>
          <w:rStyle w:val="Appelnotedebasdep"/>
        </w:rPr>
        <w:footnoteRef/>
      </w:r>
      <w:r>
        <w:t xml:space="preserve"> </w:t>
      </w:r>
      <w:r w:rsidRPr="007B0E1C">
        <w:rPr>
          <w:i/>
          <w:iCs/>
        </w:rPr>
        <w:t>Le Monde</w:t>
      </w:r>
      <w:r w:rsidRPr="007B0E1C">
        <w:t xml:space="preserve">, </w:t>
      </w:r>
      <w:r>
        <w:t>« </w:t>
      </w:r>
      <w:r w:rsidRPr="007B0E1C">
        <w:t>Les points de vue américain et soviétique paraissent assez rapprochés</w:t>
      </w:r>
      <w:r>
        <w:t> »</w:t>
      </w:r>
      <w:r w:rsidRPr="007B0E1C">
        <w:t>, 19 octobre 1959.</w:t>
      </w:r>
    </w:p>
  </w:footnote>
  <w:footnote w:id="31">
    <w:p w14:paraId="1B849A74" w14:textId="77777777" w:rsidR="00AD3281" w:rsidRDefault="00AD3281">
      <w:pPr>
        <w:pStyle w:val="Notedebasdepage"/>
      </w:pPr>
      <w:r>
        <w:rPr>
          <w:rStyle w:val="Appelnotedebasdep"/>
        </w:rPr>
        <w:footnoteRef/>
      </w:r>
      <w:r>
        <w:t xml:space="preserve"> </w:t>
      </w:r>
      <w:r w:rsidRPr="00754087">
        <w:rPr>
          <w:i/>
          <w:iCs/>
        </w:rPr>
        <w:t>Le Monde</w:t>
      </w:r>
      <w:r w:rsidRPr="00754087">
        <w:t xml:space="preserve">, </w:t>
      </w:r>
      <w:r>
        <w:t>« </w:t>
      </w:r>
      <w:r w:rsidRPr="00754087">
        <w:t>La première conférence internationale sur l</w:t>
      </w:r>
      <w:r>
        <w:t>’</w:t>
      </w:r>
      <w:r w:rsidRPr="00754087">
        <w:t>Antarctique s</w:t>
      </w:r>
      <w:r>
        <w:t>’</w:t>
      </w:r>
      <w:r w:rsidRPr="00754087">
        <w:t>ouvre à Washington</w:t>
      </w:r>
      <w:r>
        <w:t> »</w:t>
      </w:r>
      <w:r w:rsidRPr="00754087">
        <w:t>, 16 octobre 1959.</w:t>
      </w:r>
    </w:p>
  </w:footnote>
  <w:footnote w:id="32">
    <w:p w14:paraId="492624EA" w14:textId="77777777" w:rsidR="00AD3281" w:rsidRDefault="00AD3281">
      <w:pPr>
        <w:pStyle w:val="Notedebasdepage"/>
      </w:pPr>
      <w:r>
        <w:rPr>
          <w:rStyle w:val="Appelnotedebasdep"/>
        </w:rPr>
        <w:footnoteRef/>
      </w:r>
      <w:r>
        <w:t xml:space="preserve"> US DEPARTMENT OF STATE, </w:t>
      </w:r>
      <w:r>
        <w:rPr>
          <w:i/>
        </w:rPr>
        <w:t xml:space="preserve">The </w:t>
      </w:r>
      <w:proofErr w:type="spellStart"/>
      <w:r>
        <w:rPr>
          <w:i/>
        </w:rPr>
        <w:t>Conference</w:t>
      </w:r>
      <w:proofErr w:type="spellEnd"/>
      <w:r>
        <w:rPr>
          <w:i/>
        </w:rPr>
        <w:t xml:space="preserve"> on </w:t>
      </w:r>
      <w:proofErr w:type="spellStart"/>
      <w:r w:rsidRPr="009E6AFB">
        <w:rPr>
          <w:i/>
        </w:rPr>
        <w:t>Antarctica</w:t>
      </w:r>
      <w:proofErr w:type="spellEnd"/>
      <w:r>
        <w:t xml:space="preserve">. </w:t>
      </w:r>
      <w:r w:rsidRPr="009E6AFB">
        <w:rPr>
          <w:i/>
        </w:rPr>
        <w:t xml:space="preserve">Washington, </w:t>
      </w:r>
      <w:proofErr w:type="spellStart"/>
      <w:r w:rsidRPr="009E6AFB">
        <w:rPr>
          <w:i/>
        </w:rPr>
        <w:t>October</w:t>
      </w:r>
      <w:proofErr w:type="spellEnd"/>
      <w:r w:rsidRPr="009E6AFB">
        <w:rPr>
          <w:i/>
        </w:rPr>
        <w:t xml:space="preserve"> 15</w:t>
      </w:r>
      <w:r w:rsidRPr="002E6AE4">
        <w:rPr>
          <w:i/>
        </w:rPr>
        <w:t>-December 1, 1959</w:t>
      </w:r>
      <w:r w:rsidRPr="002E6AE4">
        <w:t xml:space="preserve">, Washington, </w:t>
      </w:r>
      <w:proofErr w:type="spellStart"/>
      <w:r w:rsidRPr="002E6AE4">
        <w:t>Department</w:t>
      </w:r>
      <w:proofErr w:type="spellEnd"/>
      <w:r w:rsidRPr="002E6AE4">
        <w:t xml:space="preserve"> of State Publication, 1960, p. 48</w:t>
      </w:r>
    </w:p>
  </w:footnote>
  <w:footnote w:id="33">
    <w:p w14:paraId="5762F781" w14:textId="77777777" w:rsidR="00AD3281" w:rsidRDefault="00AD3281" w:rsidP="004810CE">
      <w:pPr>
        <w:pStyle w:val="Notedebasdepage"/>
      </w:pPr>
      <w:r>
        <w:rPr>
          <w:rStyle w:val="Appelnotedebasdep"/>
        </w:rPr>
        <w:footnoteRef/>
      </w:r>
      <w:r>
        <w:t xml:space="preserve"> </w:t>
      </w:r>
      <w:r w:rsidRPr="0051627C">
        <w:t>Conseil de sécurité,</w:t>
      </w:r>
      <w:r>
        <w:t xml:space="preserve"> </w:t>
      </w:r>
      <w:r w:rsidRPr="0051627C">
        <w:t xml:space="preserve">débat sur le projet de résolution des </w:t>
      </w:r>
      <w:r>
        <w:t>É</w:t>
      </w:r>
      <w:r w:rsidRPr="0051627C">
        <w:t>tats-Unis d</w:t>
      </w:r>
      <w:r>
        <w:t>’</w:t>
      </w:r>
      <w:r w:rsidRPr="0051627C">
        <w:t>Amérique S/3995</w:t>
      </w:r>
      <w:r>
        <w:t>,</w:t>
      </w:r>
      <w:r w:rsidRPr="0051627C">
        <w:t xml:space="preserve"> documents officiels, </w:t>
      </w:r>
      <w:r>
        <w:t xml:space="preserve">treizième année, </w:t>
      </w:r>
      <w:r w:rsidRPr="0051627C">
        <w:t>817ème séance</w:t>
      </w:r>
      <w:r>
        <w:t xml:space="preserve">, 2 mai 1958, p. 2. </w:t>
      </w:r>
    </w:p>
  </w:footnote>
  <w:footnote w:id="34">
    <w:p w14:paraId="0ABDE92E" w14:textId="77777777" w:rsidR="00AD3281" w:rsidRDefault="00AD3281" w:rsidP="006D6DC4">
      <w:pPr>
        <w:pStyle w:val="Notedebasdepage"/>
      </w:pPr>
      <w:r>
        <w:rPr>
          <w:rStyle w:val="Appelnotedebasdep"/>
        </w:rPr>
        <w:footnoteRef/>
      </w:r>
      <w:r>
        <w:t xml:space="preserve"> Convention pour la protection des phoques de l’Antarctique, Londres, 1er juin 1972, </w:t>
      </w:r>
      <w:r w:rsidRPr="00BD2748">
        <w:rPr>
          <w:i/>
        </w:rPr>
        <w:t>RTNU</w:t>
      </w:r>
      <w:r>
        <w:t>, vol. 1080, 1978, n°I-16529, article 6 : « 1. À tout moment après le début des opérations de chasse à l’échelle commerciale, une Partie contractante peut proposer, par l’intermédiaire du Gouvernement dépositaire, la convocation d’une réunion des Parties contractantes en vue : a) de créer, à la majorité de deux tiers des Parties contractantes, y compris les voix de tous les États signataires de la présente Convention qui assistent à la réunion, un système efficace visant à contrôler, y compris au moyen d’inspections, la mise en œuvre des dispositions de la présente Convention […] ».</w:t>
      </w:r>
    </w:p>
  </w:footnote>
  <w:footnote w:id="35">
    <w:p w14:paraId="32A750F8" w14:textId="77777777" w:rsidR="00AD3281" w:rsidRDefault="00AD3281" w:rsidP="006D6DC4">
      <w:pPr>
        <w:pStyle w:val="Notedebasdepage"/>
      </w:pPr>
      <w:r>
        <w:rPr>
          <w:rStyle w:val="Appelnotedebasdep"/>
        </w:rPr>
        <w:footnoteRef/>
      </w:r>
      <w:r>
        <w:t xml:space="preserve"> </w:t>
      </w:r>
      <w:r w:rsidRPr="00A05566">
        <w:t>Convention sur la conservation de la faune et la flore marines de l</w:t>
      </w:r>
      <w:r>
        <w:t>’</w:t>
      </w:r>
      <w:r w:rsidRPr="00A05566">
        <w:t>Antarctique, Canberra, 20 mai 198</w:t>
      </w:r>
      <w:r>
        <w:t>0</w:t>
      </w:r>
      <w:r w:rsidRPr="00A05566">
        <w:t xml:space="preserve">, </w:t>
      </w:r>
      <w:r w:rsidRPr="008E1A8D">
        <w:rPr>
          <w:i/>
        </w:rPr>
        <w:t>RTNU</w:t>
      </w:r>
      <w:r w:rsidRPr="00A05566">
        <w:t>, vol. 1329, 1983, n° I-22301</w:t>
      </w:r>
      <w:r>
        <w:t>, article 24, 2., (a).</w:t>
      </w:r>
    </w:p>
  </w:footnote>
  <w:footnote w:id="36">
    <w:p w14:paraId="57DA09F7" w14:textId="77777777" w:rsidR="00AD3281" w:rsidRDefault="00AD3281" w:rsidP="006D6DC4">
      <w:pPr>
        <w:pStyle w:val="Notedebasdepage"/>
      </w:pPr>
      <w:r>
        <w:rPr>
          <w:rStyle w:val="Appelnotedebasdep"/>
        </w:rPr>
        <w:footnoteRef/>
      </w:r>
      <w:r>
        <w:t xml:space="preserve"> </w:t>
      </w:r>
      <w:r w:rsidRPr="0062109F">
        <w:t>Protocole au Traité sur l</w:t>
      </w:r>
      <w:r>
        <w:t>’</w:t>
      </w:r>
      <w:r w:rsidRPr="0062109F">
        <w:t>Antarctique relatif à la protection de l</w:t>
      </w:r>
      <w:r>
        <w:t>’</w:t>
      </w:r>
      <w:r w:rsidRPr="0062109F">
        <w:t>environnement, Madrid, 4 octobre 1991, article 14.</w:t>
      </w:r>
    </w:p>
  </w:footnote>
  <w:footnote w:id="37">
    <w:p w14:paraId="62BD3AB2" w14:textId="77777777" w:rsidR="00AD3281" w:rsidRDefault="00AD3281" w:rsidP="006D6DC4">
      <w:pPr>
        <w:pStyle w:val="Notedebasdepage"/>
      </w:pPr>
      <w:r>
        <w:rPr>
          <w:rStyle w:val="Appelnotedebasdep"/>
        </w:rPr>
        <w:footnoteRef/>
      </w:r>
      <w:r>
        <w:t xml:space="preserve"> </w:t>
      </w:r>
      <w:r w:rsidRPr="00050BEB">
        <w:rPr>
          <w:i/>
          <w:iCs/>
        </w:rPr>
        <w:t>Le Monde</w:t>
      </w:r>
      <w:r w:rsidRPr="00050BEB">
        <w:t xml:space="preserve">, </w:t>
      </w:r>
      <w:r>
        <w:t>« </w:t>
      </w:r>
      <w:r w:rsidRPr="00050BEB">
        <w:t>De l</w:t>
      </w:r>
      <w:r>
        <w:t>’</w:t>
      </w:r>
      <w:r w:rsidRPr="00050BEB">
        <w:t>Antarctique au désarmement</w:t>
      </w:r>
      <w:r>
        <w:t> »</w:t>
      </w:r>
      <w:r w:rsidRPr="00050BEB">
        <w:t>, 3 décembre 1959.</w:t>
      </w:r>
    </w:p>
  </w:footnote>
  <w:footnote w:id="38">
    <w:p w14:paraId="1081A312" w14:textId="77777777" w:rsidR="00AD3281" w:rsidRPr="00553E46" w:rsidRDefault="00AD3281" w:rsidP="00F73351">
      <w:pPr>
        <w:pStyle w:val="Notedebasdepage"/>
      </w:pPr>
      <w:r>
        <w:rPr>
          <w:rStyle w:val="Appelnotedebasdep"/>
        </w:rPr>
        <w:footnoteRef/>
      </w:r>
      <w:r>
        <w:t xml:space="preserve"> COURATIER Josyane, </w:t>
      </w:r>
      <w:r>
        <w:rPr>
          <w:i/>
        </w:rPr>
        <w:t>Le système Antarctique</w:t>
      </w:r>
      <w:r>
        <w:t>, Bruylant, Bruxelles, 1991, p. 124.</w:t>
      </w:r>
    </w:p>
  </w:footnote>
  <w:footnote w:id="39">
    <w:p w14:paraId="5859AC4D" w14:textId="77777777" w:rsidR="00AD3281" w:rsidRDefault="00AD3281" w:rsidP="00F73351">
      <w:pPr>
        <w:pStyle w:val="Notedebasdepage"/>
      </w:pPr>
      <w:r>
        <w:rPr>
          <w:rStyle w:val="Appelnotedebasdep"/>
        </w:rPr>
        <w:footnoteRef/>
      </w:r>
      <w:r>
        <w:t xml:space="preserve"> </w:t>
      </w:r>
      <w:r w:rsidRPr="00754087">
        <w:rPr>
          <w:i/>
          <w:iCs/>
        </w:rPr>
        <w:t>Le Monde</w:t>
      </w:r>
      <w:r w:rsidRPr="00754087">
        <w:t xml:space="preserve">, </w:t>
      </w:r>
      <w:r>
        <w:t>« </w:t>
      </w:r>
      <w:r w:rsidRPr="00754087">
        <w:t>La première conférence internationale sur l</w:t>
      </w:r>
      <w:r>
        <w:t>’</w:t>
      </w:r>
      <w:r w:rsidRPr="00754087">
        <w:t>Antarctique s</w:t>
      </w:r>
      <w:r>
        <w:t>’</w:t>
      </w:r>
      <w:r w:rsidRPr="00754087">
        <w:t>ouvre à Washington</w:t>
      </w:r>
      <w:r>
        <w:t> »</w:t>
      </w:r>
      <w:r w:rsidRPr="00754087">
        <w:t>, 16 octobre 1959</w:t>
      </w:r>
      <w:r>
        <w:t> : « [s]</w:t>
      </w:r>
      <w:proofErr w:type="spellStart"/>
      <w:r w:rsidRPr="00F73351">
        <w:t>elon</w:t>
      </w:r>
      <w:proofErr w:type="spellEnd"/>
      <w:r w:rsidRPr="00F73351">
        <w:t xml:space="preserve"> les spécialistes américains, si un tel accord était conclu il pourrait éventuellement servir de modèle à un traité mondial de désarmement, le continent austral devenant une « région-pilote ». En effet, dans le cas d</w:t>
      </w:r>
      <w:r>
        <w:t>’</w:t>
      </w:r>
      <w:r w:rsidRPr="00F73351">
        <w:t>un accord sur la démilitarisation de l</w:t>
      </w:r>
      <w:r>
        <w:t>’</w:t>
      </w:r>
      <w:r w:rsidRPr="00F73351">
        <w:t>Antarctique, les États-Unis sont résolus à exiger la mise au point d</w:t>
      </w:r>
      <w:r>
        <w:t>’</w:t>
      </w:r>
      <w:r w:rsidRPr="00F73351">
        <w:t>un système d</w:t>
      </w:r>
      <w:r>
        <w:t>’</w:t>
      </w:r>
      <w:r w:rsidRPr="00F73351">
        <w:t>inspection efficace. Or la question des moyens de contrôle et d</w:t>
      </w:r>
      <w:r>
        <w:t>’</w:t>
      </w:r>
      <w:r w:rsidRPr="00F73351">
        <w:t>inspection a toujours été la pierre d</w:t>
      </w:r>
      <w:r>
        <w:t>’</w:t>
      </w:r>
      <w:r w:rsidRPr="00F73351">
        <w:t>achoppement de tous les pourparlers Est-Ouest sur le désarmement général »</w:t>
      </w:r>
      <w:r>
        <w:t>.</w:t>
      </w:r>
    </w:p>
  </w:footnote>
  <w:footnote w:id="40">
    <w:p w14:paraId="0333D9BF" w14:textId="77777777" w:rsidR="00AD3281" w:rsidRDefault="00AD3281" w:rsidP="003C49F7">
      <w:pPr>
        <w:pStyle w:val="Notedebasdepage"/>
      </w:pPr>
      <w:r>
        <w:rPr>
          <w:rStyle w:val="Appelnotedebasdep"/>
        </w:rPr>
        <w:footnoteRef/>
      </w:r>
      <w:r>
        <w:t xml:space="preserve"> </w:t>
      </w:r>
      <w:r w:rsidRPr="005E2A03">
        <w:rPr>
          <w:i/>
          <w:iCs/>
        </w:rPr>
        <w:t>Le Monde</w:t>
      </w:r>
      <w:r w:rsidRPr="005E2A03">
        <w:t xml:space="preserve">, </w:t>
      </w:r>
      <w:r>
        <w:t>« </w:t>
      </w:r>
      <w:r w:rsidRPr="005E2A03">
        <w:t>Accord sur la démilitarisation de l</w:t>
      </w:r>
      <w:r>
        <w:t>’</w:t>
      </w:r>
      <w:r w:rsidRPr="005E2A03">
        <w:t>Antarctique</w:t>
      </w:r>
      <w:r>
        <w:t> »</w:t>
      </w:r>
      <w:r w:rsidRPr="005E2A03">
        <w:t>, 22 octobre 1959</w:t>
      </w:r>
      <w:r>
        <w:t>.</w:t>
      </w:r>
    </w:p>
  </w:footnote>
  <w:footnote w:id="41">
    <w:p w14:paraId="77352AB5" w14:textId="77777777" w:rsidR="00AD3281" w:rsidRDefault="00AD3281">
      <w:pPr>
        <w:pStyle w:val="Notedebasdepage"/>
      </w:pPr>
      <w:r>
        <w:rPr>
          <w:rStyle w:val="Appelnotedebasdep"/>
        </w:rPr>
        <w:footnoteRef/>
      </w:r>
      <w:r>
        <w:t xml:space="preserve"> Par exemple, voir </w:t>
      </w:r>
      <w:r w:rsidRPr="00842EA8">
        <w:t>Conseil de sécurité, résolution 687 (1991) du 3 avril 1991, section C, §9, b), i)</w:t>
      </w:r>
      <w:r>
        <w:t>, à propos de l’Irak.</w:t>
      </w:r>
    </w:p>
  </w:footnote>
  <w:footnote w:id="42">
    <w:p w14:paraId="4DB4560B" w14:textId="77777777" w:rsidR="00AD3281" w:rsidRDefault="00AD3281">
      <w:pPr>
        <w:pStyle w:val="Notedebasdepage"/>
      </w:pPr>
      <w:r>
        <w:rPr>
          <w:rStyle w:val="Appelnotedebasdep"/>
        </w:rPr>
        <w:footnoteRef/>
      </w:r>
      <w:r>
        <w:t xml:space="preserve"> Par exemple, l’article III-1 du Traité sur la non-prolifération des armes nucléaires prévoit une o</w:t>
      </w:r>
      <w:r w:rsidRPr="00FA4D67">
        <w:t>bligation pour tous les États non dotés de l</w:t>
      </w:r>
      <w:r>
        <w:t>’</w:t>
      </w:r>
      <w:r w:rsidRPr="00FA4D67">
        <w:t xml:space="preserve">arme nucléaire de conclure un accord de garanties avec </w:t>
      </w:r>
      <w:r>
        <w:t>l’Agence dans le but de</w:t>
      </w:r>
      <w:r w:rsidRPr="00FA4D67">
        <w:t xml:space="preserve"> mettre en place des inspections </w:t>
      </w:r>
      <w:r>
        <w:t xml:space="preserve">relatives à </w:t>
      </w:r>
      <w:r w:rsidRPr="00FA4D67">
        <w:t>la non-prolifération</w:t>
      </w:r>
      <w:r>
        <w:t xml:space="preserve"> (Traité sur la non-prolifération des armes nucléaires, </w:t>
      </w:r>
      <w:r w:rsidRPr="00C369D1">
        <w:t>Londres, Moscou, Washington, 1er juillet 1968</w:t>
      </w:r>
      <w:r>
        <w:t xml:space="preserve">, article III-1). </w:t>
      </w:r>
      <w:r w:rsidRPr="00C369D1">
        <w:t>Pour un exemple d</w:t>
      </w:r>
      <w:r>
        <w:t>’</w:t>
      </w:r>
      <w:r w:rsidRPr="00C369D1">
        <w:t>application, voir l</w:t>
      </w:r>
      <w:r>
        <w:t>’</w:t>
      </w:r>
      <w:r w:rsidRPr="00C369D1">
        <w:t>Accord entre la Jamaïque et l</w:t>
      </w:r>
      <w:r>
        <w:t>’</w:t>
      </w:r>
      <w:r w:rsidRPr="00C369D1">
        <w:t>Agence internationale de l</w:t>
      </w:r>
      <w:r>
        <w:t>’</w:t>
      </w:r>
      <w:r w:rsidRPr="00C369D1">
        <w:t>énergie atomique relatif à l</w:t>
      </w:r>
      <w:r>
        <w:t>’</w:t>
      </w:r>
      <w:r w:rsidRPr="00C369D1">
        <w:t>application de garanties dans le cadre du Traité visant l</w:t>
      </w:r>
      <w:r>
        <w:t>’</w:t>
      </w:r>
      <w:r w:rsidRPr="00C369D1">
        <w:t xml:space="preserve">interdiction des armes nucléaires en Amérique latine et du Traité sur la non-prolifération des armes nucléaires, Kingston, Vienne, 6 novembre 1978, </w:t>
      </w:r>
      <w:r w:rsidRPr="00465670">
        <w:rPr>
          <w:i/>
          <w:iCs/>
        </w:rPr>
        <w:t>RTNU</w:t>
      </w:r>
      <w:r w:rsidRPr="00C369D1">
        <w:t>, vol. 1161, 1980, n°</w:t>
      </w:r>
      <w:r>
        <w:t>I</w:t>
      </w:r>
      <w:r w:rsidRPr="00C369D1">
        <w:t>-18348, article 9.</w:t>
      </w:r>
    </w:p>
  </w:footnote>
  <w:footnote w:id="43">
    <w:p w14:paraId="1A55D152" w14:textId="77777777" w:rsidR="00AD3281" w:rsidRDefault="00AD3281">
      <w:pPr>
        <w:pStyle w:val="Notedebasdepage"/>
      </w:pPr>
      <w:r>
        <w:rPr>
          <w:rStyle w:val="Appelnotedebasdep"/>
        </w:rPr>
        <w:footnoteRef/>
      </w:r>
      <w:r>
        <w:t xml:space="preserve"> </w:t>
      </w:r>
      <w:r w:rsidRPr="00671090">
        <w:t>Convention sur l</w:t>
      </w:r>
      <w:r>
        <w:t>’</w:t>
      </w:r>
      <w:r w:rsidRPr="00671090">
        <w:t>interdiction de la mise au point, de la fabrication, du stockage et de l</w:t>
      </w:r>
      <w:r>
        <w:t>’</w:t>
      </w:r>
      <w:r w:rsidRPr="00671090">
        <w:t xml:space="preserve">emploi des armes chimiques et sur leur destruction, Paris, 13 janvier 1993, </w:t>
      </w:r>
      <w:r w:rsidRPr="00671090">
        <w:rPr>
          <w:i/>
        </w:rPr>
        <w:t>RTNU</w:t>
      </w:r>
      <w:r w:rsidRPr="00671090">
        <w:t>, vol. 1974, 2001</w:t>
      </w:r>
      <w:r>
        <w:t>.</w:t>
      </w:r>
    </w:p>
  </w:footnote>
  <w:footnote w:id="44">
    <w:p w14:paraId="694BEAC9" w14:textId="77777777" w:rsidR="00AD3281" w:rsidRPr="00D34941" w:rsidRDefault="00AD3281" w:rsidP="00D52710">
      <w:pPr>
        <w:pStyle w:val="Notedebasdepage"/>
      </w:pPr>
      <w:r>
        <w:rPr>
          <w:rStyle w:val="Appelnotedebasdep"/>
        </w:rPr>
        <w:footnoteRef/>
      </w:r>
      <w:r>
        <w:t xml:space="preserve"> LE GUELTE Georges, « Les inspections de l’AIEA : la construction d’un système de sécurité collective », </w:t>
      </w:r>
      <w:r>
        <w:rPr>
          <w:i/>
        </w:rPr>
        <w:t xml:space="preserve">Revue internationale et </w:t>
      </w:r>
      <w:r w:rsidRPr="00051088">
        <w:rPr>
          <w:i/>
        </w:rPr>
        <w:t>stratégique</w:t>
      </w:r>
      <w:r>
        <w:t>, n°49, 2003/1, p. 43.</w:t>
      </w:r>
    </w:p>
  </w:footnote>
  <w:footnote w:id="45">
    <w:p w14:paraId="207B2379" w14:textId="77777777" w:rsidR="00AD3281" w:rsidRDefault="00AD3281">
      <w:pPr>
        <w:pStyle w:val="Notedebasdepage"/>
      </w:pPr>
      <w:r>
        <w:rPr>
          <w:rStyle w:val="Appelnotedebasdep"/>
        </w:rPr>
        <w:footnoteRef/>
      </w:r>
      <w:r>
        <w:t xml:space="preserve"> </w:t>
      </w:r>
      <w:r w:rsidRPr="00964562">
        <w:t xml:space="preserve">Traité sur les forces armées conventionnelles en Europe, Paris, 19 novembre 1990, </w:t>
      </w:r>
      <w:r w:rsidRPr="00964562">
        <w:rPr>
          <w:i/>
          <w:iCs/>
        </w:rPr>
        <w:t>RTNU</w:t>
      </w:r>
      <w:r w:rsidRPr="00964562">
        <w:t>, vol. 2441, 2007, n°I-44001, article XIV et Protocole sur l</w:t>
      </w:r>
      <w:r>
        <w:t>’</w:t>
      </w:r>
      <w:r w:rsidRPr="00964562">
        <w:t>inspection (annexé).</w:t>
      </w:r>
    </w:p>
  </w:footnote>
  <w:footnote w:id="46">
    <w:p w14:paraId="2F0C9580" w14:textId="77777777" w:rsidR="00AD3281" w:rsidRDefault="00AD3281" w:rsidP="00CB6F78">
      <w:pPr>
        <w:pStyle w:val="Notedebasdepage"/>
      </w:pPr>
      <w:r>
        <w:rPr>
          <w:rStyle w:val="Appelnotedebasdep"/>
        </w:rPr>
        <w:footnoteRef/>
      </w:r>
      <w:r>
        <w:t xml:space="preserve"> </w:t>
      </w:r>
      <w:r w:rsidRPr="00034631">
        <w:rPr>
          <w:i/>
          <w:iCs/>
        </w:rPr>
        <w:t>Le Monde</w:t>
      </w:r>
      <w:r w:rsidRPr="00034631">
        <w:t xml:space="preserve">, </w:t>
      </w:r>
      <w:r>
        <w:t>« </w:t>
      </w:r>
      <w:r w:rsidRPr="00034631">
        <w:t>Le Président Johnson invite l</w:t>
      </w:r>
      <w:r>
        <w:t>’</w:t>
      </w:r>
      <w:r w:rsidRPr="00034631">
        <w:t>URSS et les autres puissances spatiales à signer un accord sur la Lune</w:t>
      </w:r>
      <w:r>
        <w:t> »</w:t>
      </w:r>
      <w:r w:rsidRPr="00034631">
        <w:t>, 10 mai 1966</w:t>
      </w:r>
      <w:r>
        <w:t>.</w:t>
      </w:r>
    </w:p>
  </w:footnote>
  <w:footnote w:id="47">
    <w:p w14:paraId="10D0205A" w14:textId="77777777" w:rsidR="00AD3281" w:rsidRDefault="00AD3281">
      <w:pPr>
        <w:pStyle w:val="Notedebasdepage"/>
      </w:pPr>
      <w:r>
        <w:rPr>
          <w:rStyle w:val="Appelnotedebasdep"/>
        </w:rPr>
        <w:footnoteRef/>
      </w:r>
      <w:r>
        <w:t xml:space="preserve"> Voir par exemple </w:t>
      </w:r>
      <w:r w:rsidRPr="0086699A">
        <w:rPr>
          <w:i/>
          <w:iCs/>
        </w:rPr>
        <w:t>Le Monde</w:t>
      </w:r>
      <w:r w:rsidRPr="0086699A">
        <w:t xml:space="preserve">, </w:t>
      </w:r>
      <w:r>
        <w:t>« </w:t>
      </w:r>
      <w:r w:rsidRPr="0086699A">
        <w:t>Le comité spatial des Nations Unies ajourne ses travaux</w:t>
      </w:r>
      <w:r>
        <w:t> »</w:t>
      </w:r>
      <w:r w:rsidRPr="0086699A">
        <w:t>, 6 août 1966</w:t>
      </w:r>
      <w:r>
        <w:t>.</w:t>
      </w:r>
    </w:p>
  </w:footnote>
  <w:footnote w:id="48">
    <w:p w14:paraId="1B75CFCD" w14:textId="77777777" w:rsidR="00AD3281" w:rsidRDefault="00AD3281" w:rsidP="00AF3F7D">
      <w:pPr>
        <w:pStyle w:val="Notedebasdepage"/>
      </w:pPr>
      <w:r>
        <w:rPr>
          <w:rStyle w:val="Appelnotedebasdep"/>
        </w:rPr>
        <w:footnoteRef/>
      </w:r>
      <w:r>
        <w:t xml:space="preserve"> </w:t>
      </w:r>
      <w:r w:rsidRPr="00A333F3">
        <w:t>DUTHEIL DE LA ROCH</w:t>
      </w:r>
      <w:r>
        <w:t>È</w:t>
      </w:r>
      <w:r w:rsidRPr="00A333F3">
        <w:t xml:space="preserve">RE Jacqueline, </w:t>
      </w:r>
      <w:r>
        <w:t>« </w:t>
      </w:r>
      <w:r w:rsidRPr="00A333F3">
        <w:t>La Convention sur l</w:t>
      </w:r>
      <w:r>
        <w:t>’</w:t>
      </w:r>
      <w:r w:rsidRPr="00A333F3">
        <w:t>internationalisation de l</w:t>
      </w:r>
      <w:r>
        <w:t>’</w:t>
      </w:r>
      <w:r w:rsidRPr="00A333F3">
        <w:t>espace</w:t>
      </w:r>
      <w:r>
        <w:t> »</w:t>
      </w:r>
      <w:r w:rsidRPr="00A333F3">
        <w:t xml:space="preserve">, </w:t>
      </w:r>
      <w:r w:rsidRPr="00A333F3">
        <w:rPr>
          <w:i/>
        </w:rPr>
        <w:t>AFDI</w:t>
      </w:r>
      <w:r w:rsidRPr="00A333F3">
        <w:t>, vol. 13, 1967, p. 644</w:t>
      </w:r>
      <w:r>
        <w:t>.</w:t>
      </w:r>
    </w:p>
  </w:footnote>
  <w:footnote w:id="49">
    <w:p w14:paraId="11B19A4E" w14:textId="4BB560B2" w:rsidR="00AD3281" w:rsidRPr="00CB6F78" w:rsidRDefault="00AD3281">
      <w:pPr>
        <w:pStyle w:val="Notedebasdepage"/>
      </w:pPr>
      <w:r>
        <w:rPr>
          <w:rStyle w:val="Appelnotedebasdep"/>
        </w:rPr>
        <w:footnoteRef/>
      </w:r>
      <w:r>
        <w:t xml:space="preserve"> </w:t>
      </w:r>
      <w:r w:rsidRPr="00D1220F">
        <w:t>Traité sur les principes régissant les activités des États en matière d</w:t>
      </w:r>
      <w:r>
        <w:t>’</w:t>
      </w:r>
      <w:r w:rsidRPr="00D1220F">
        <w:t>exploration et d</w:t>
      </w:r>
      <w:r>
        <w:t>’</w:t>
      </w:r>
      <w:r w:rsidRPr="00D1220F">
        <w:t>utilisation de l</w:t>
      </w:r>
      <w:r>
        <w:t>’</w:t>
      </w:r>
      <w:r w:rsidRPr="00D1220F">
        <w:t>espace extra</w:t>
      </w:r>
      <w:r>
        <w:t>-</w:t>
      </w:r>
      <w:r w:rsidRPr="00D1220F">
        <w:t xml:space="preserve">atmosphérique, y compris la Lune et les autres corps célestes, Washington, Moscou et Londres, 27 janvier 1967, </w:t>
      </w:r>
      <w:r w:rsidRPr="00D1220F">
        <w:rPr>
          <w:i/>
        </w:rPr>
        <w:t>RTNU</w:t>
      </w:r>
      <w:r w:rsidRPr="00D1220F">
        <w:t>, vol. 610, 1970, n°I-8843, article 12</w:t>
      </w:r>
      <w:r>
        <w:t> ; comparer avec la formulation retenue par l’article 7 du Traité sur l’Antarctique (</w:t>
      </w:r>
      <w:r>
        <w:rPr>
          <w:i/>
          <w:iCs/>
        </w:rPr>
        <w:t>supra</w:t>
      </w:r>
      <w:r>
        <w:t xml:space="preserve">, note </w:t>
      </w:r>
      <w:r>
        <w:fldChar w:fldCharType="begin"/>
      </w:r>
      <w:r>
        <w:instrText xml:space="preserve"> NOTEREF _Ref24899770 \h </w:instrText>
      </w:r>
      <w:r>
        <w:fldChar w:fldCharType="separate"/>
      </w:r>
      <w:r w:rsidR="000E75EC">
        <w:t>26</w:t>
      </w:r>
      <w:r>
        <w:fldChar w:fldCharType="end"/>
      </w:r>
      <w:r>
        <w:t>).</w:t>
      </w:r>
    </w:p>
  </w:footnote>
  <w:footnote w:id="50">
    <w:p w14:paraId="657969F7" w14:textId="77777777" w:rsidR="00AD3281" w:rsidRDefault="00AD3281" w:rsidP="00E5185D">
      <w:pPr>
        <w:pStyle w:val="Notedebasdepage"/>
      </w:pPr>
      <w:r>
        <w:rPr>
          <w:rStyle w:val="Appelnotedebasdep"/>
        </w:rPr>
        <w:footnoteRef/>
      </w:r>
      <w:r>
        <w:t xml:space="preserve"> L’expression est de </w:t>
      </w:r>
      <w:r w:rsidRPr="00A333F3">
        <w:t>DUTHEIL DE LA ROCH</w:t>
      </w:r>
      <w:r>
        <w:t>È</w:t>
      </w:r>
      <w:r w:rsidRPr="00A333F3">
        <w:t xml:space="preserve">RE Jacqueline, </w:t>
      </w:r>
      <w:r>
        <w:t>« </w:t>
      </w:r>
      <w:r w:rsidRPr="00A333F3">
        <w:t>La Convention sur l</w:t>
      </w:r>
      <w:r>
        <w:t>’</w:t>
      </w:r>
      <w:r w:rsidRPr="00A333F3">
        <w:t>internationalisation de l</w:t>
      </w:r>
      <w:r>
        <w:t>’</w:t>
      </w:r>
      <w:r w:rsidRPr="00A333F3">
        <w:t>espace</w:t>
      </w:r>
      <w:r>
        <w:t> »</w:t>
      </w:r>
      <w:r w:rsidRPr="00A333F3">
        <w:t xml:space="preserve">, </w:t>
      </w:r>
      <w:r w:rsidRPr="00A333F3">
        <w:rPr>
          <w:i/>
        </w:rPr>
        <w:t>AFDI</w:t>
      </w:r>
      <w:r w:rsidRPr="00A333F3">
        <w:t>, vol. 13, 1967,</w:t>
      </w:r>
      <w:r>
        <w:t xml:space="preserve"> p. 644.</w:t>
      </w:r>
    </w:p>
  </w:footnote>
  <w:footnote w:id="51">
    <w:p w14:paraId="7DE31B71" w14:textId="77777777" w:rsidR="00AD3281" w:rsidRDefault="00AD3281">
      <w:pPr>
        <w:pStyle w:val="Notedebasdepage"/>
      </w:pPr>
      <w:r>
        <w:rPr>
          <w:rStyle w:val="Appelnotedebasdep"/>
        </w:rPr>
        <w:footnoteRef/>
      </w:r>
      <w:r>
        <w:t xml:space="preserve"> </w:t>
      </w:r>
      <w:r w:rsidRPr="00110768">
        <w:rPr>
          <w:i/>
          <w:iCs/>
        </w:rPr>
        <w:t>Le Monde</w:t>
      </w:r>
      <w:r w:rsidRPr="00110768">
        <w:t xml:space="preserve">, </w:t>
      </w:r>
      <w:r>
        <w:t>« </w:t>
      </w:r>
      <w:r w:rsidRPr="00110768">
        <w:t>Vers un accord sur l</w:t>
      </w:r>
      <w:r>
        <w:t>’</w:t>
      </w:r>
      <w:r w:rsidRPr="00110768">
        <w:t>utilisation pacifique de l</w:t>
      </w:r>
      <w:r>
        <w:t>’</w:t>
      </w:r>
      <w:r w:rsidRPr="00110768">
        <w:t>espace</w:t>
      </w:r>
      <w:r>
        <w:t> »,</w:t>
      </w:r>
      <w:r w:rsidRPr="00110768">
        <w:t xml:space="preserve"> 10 décembre 1</w:t>
      </w:r>
      <w:r>
        <w:t>9</w:t>
      </w:r>
      <w:r w:rsidRPr="00110768">
        <w:t>66</w:t>
      </w:r>
      <w:r>
        <w:t>.</w:t>
      </w:r>
    </w:p>
  </w:footnote>
  <w:footnote w:id="52">
    <w:p w14:paraId="0CA0C1C7" w14:textId="4DE7C8B6" w:rsidR="00AD3281" w:rsidRPr="00661DE5" w:rsidRDefault="00AD3281" w:rsidP="00AF3F7D">
      <w:pPr>
        <w:pStyle w:val="Notedebasdepage"/>
      </w:pPr>
      <w:r>
        <w:rPr>
          <w:rStyle w:val="Appelnotedebasdep"/>
        </w:rPr>
        <w:footnoteRef/>
      </w:r>
      <w:r>
        <w:t> </w:t>
      </w:r>
      <w:r w:rsidRPr="00D1220F">
        <w:t xml:space="preserve">Accord régissant les activités des États sur la Lune et les autres corps célestes, New York, 5 décembre 1979, </w:t>
      </w:r>
      <w:r w:rsidRPr="006E353C">
        <w:rPr>
          <w:i/>
        </w:rPr>
        <w:t>RTNU</w:t>
      </w:r>
      <w:r>
        <w:t xml:space="preserve">, </w:t>
      </w:r>
      <w:r w:rsidRPr="006E353C">
        <w:t>vol</w:t>
      </w:r>
      <w:r w:rsidRPr="00D1220F">
        <w:t>. 1363, 1992, n°I-23002, article 15</w:t>
      </w:r>
      <w:r>
        <w:t> : « </w:t>
      </w:r>
      <w:r w:rsidRPr="00DD1355">
        <w:t>[c]</w:t>
      </w:r>
      <w:proofErr w:type="spellStart"/>
      <w:r w:rsidRPr="00DD1355">
        <w:t>haque</w:t>
      </w:r>
      <w:proofErr w:type="spellEnd"/>
      <w:r w:rsidRPr="00DD1355">
        <w:t xml:space="preserve"> État partie peut s</w:t>
      </w:r>
      <w:r>
        <w:t>’</w:t>
      </w:r>
      <w:r w:rsidRPr="00DD1355">
        <w:t>assurer que les activités des autres États parties relatives à l</w:t>
      </w:r>
      <w:r>
        <w:t>’</w:t>
      </w:r>
      <w:r w:rsidRPr="00DD1355">
        <w:t>exploration et à l</w:t>
      </w:r>
      <w:r>
        <w:t>’</w:t>
      </w:r>
      <w:r w:rsidRPr="00DD1355">
        <w:t xml:space="preserve">utilisation de la Lune sont compatibles avec les dispositions du présent Accord. À cet effet, tous les véhicules, le matériel, les stations, les installations et les équipements spatiaux se trouvant sur la Lune sont accessibles aux autres États parties. Ces derniers notifient au préalable toute visite projetée, afin que les consultations voulues puissent avoir lieu et que le maximum de précautions </w:t>
      </w:r>
      <w:proofErr w:type="gramStart"/>
      <w:r w:rsidRPr="00DD1355">
        <w:t>puissent</w:t>
      </w:r>
      <w:proofErr w:type="gramEnd"/>
      <w:r w:rsidRPr="00DD1355">
        <w:t xml:space="preserve"> être prises pour assurer la sécurité et éviter de gêner les opérations normales sur les lieux de l</w:t>
      </w:r>
      <w:r>
        <w:t>’</w:t>
      </w:r>
      <w:r w:rsidRPr="00DD1355">
        <w:t>installation à visiter</w:t>
      </w:r>
      <w:r>
        <w:t xml:space="preserve"> ». Voir sur cette formulation </w:t>
      </w:r>
      <w:r w:rsidRPr="00A333F3">
        <w:t>DUTHEIL DE LA ROCH</w:t>
      </w:r>
      <w:r>
        <w:t>È</w:t>
      </w:r>
      <w:r w:rsidRPr="00A333F3">
        <w:t xml:space="preserve">RE Jacqueline, </w:t>
      </w:r>
      <w:r>
        <w:t>« </w:t>
      </w:r>
      <w:r w:rsidRPr="00A333F3">
        <w:t>La Convention sur l</w:t>
      </w:r>
      <w:r>
        <w:t>’</w:t>
      </w:r>
      <w:r w:rsidRPr="00A333F3">
        <w:t>internationalisation de l</w:t>
      </w:r>
      <w:r>
        <w:t>’</w:t>
      </w:r>
      <w:r w:rsidRPr="00A333F3">
        <w:t>espace</w:t>
      </w:r>
      <w:r>
        <w:t> »</w:t>
      </w:r>
      <w:r w:rsidRPr="00A333F3">
        <w:t>,</w:t>
      </w:r>
      <w:r>
        <w:t xml:space="preserve"> </w:t>
      </w:r>
      <w:r>
        <w:rPr>
          <w:i/>
          <w:iCs/>
        </w:rPr>
        <w:t xml:space="preserve">op. </w:t>
      </w:r>
      <w:proofErr w:type="spellStart"/>
      <w:proofErr w:type="gramStart"/>
      <w:r>
        <w:rPr>
          <w:i/>
          <w:iCs/>
        </w:rPr>
        <w:t>cit</w:t>
      </w:r>
      <w:proofErr w:type="spellEnd"/>
      <w:proofErr w:type="gramEnd"/>
      <w:r>
        <w:rPr>
          <w:i/>
          <w:iCs/>
        </w:rPr>
        <w:t>.</w:t>
      </w:r>
      <w:r>
        <w:t xml:space="preserve"> </w:t>
      </w:r>
      <w:proofErr w:type="gramStart"/>
      <w:r>
        <w:t>note</w:t>
      </w:r>
      <w:proofErr w:type="gramEnd"/>
      <w:r>
        <w:t xml:space="preserve"> </w:t>
      </w:r>
      <w:r>
        <w:fldChar w:fldCharType="begin"/>
      </w:r>
      <w:r>
        <w:instrText xml:space="preserve"> NOTEREF _Ref24900153 \h </w:instrText>
      </w:r>
      <w:r>
        <w:fldChar w:fldCharType="separate"/>
      </w:r>
      <w:r w:rsidR="000E75EC">
        <w:t>50</w:t>
      </w:r>
      <w:r>
        <w:fldChar w:fldCharType="end"/>
      </w:r>
      <w:r>
        <w:t>, p. 644.</w:t>
      </w:r>
      <w:r w:rsidR="00661DE5">
        <w:t xml:space="preserve"> L’on ne peut cependant que déplorer qu’aucune puissance spatiale n’ait ratifié ce traité, le rendant </w:t>
      </w:r>
      <w:r w:rsidR="00661DE5">
        <w:rPr>
          <w:i/>
          <w:iCs/>
        </w:rPr>
        <w:t>de facto</w:t>
      </w:r>
      <w:r w:rsidR="00661DE5">
        <w:t xml:space="preserve"> </w:t>
      </w:r>
      <w:r w:rsidR="00D23518">
        <w:t>peu utile.</w:t>
      </w:r>
    </w:p>
  </w:footnote>
  <w:footnote w:id="53">
    <w:p w14:paraId="4FE4519F" w14:textId="629E5425" w:rsidR="000E75EC" w:rsidRDefault="000E75EC" w:rsidP="000E75EC">
      <w:pPr>
        <w:pStyle w:val="Notedebasdepage"/>
      </w:pPr>
      <w:r>
        <w:rPr>
          <w:rStyle w:val="Appelnotedebasdep"/>
        </w:rPr>
        <w:footnoteRef/>
      </w:r>
      <w:r>
        <w:t xml:space="preserve"> L’ensemble des rapports d’inspection menées en Antarctique est consigné dans une base de données accessible librement au public, à l’adresse </w:t>
      </w:r>
      <w:hyperlink r:id="rId1" w:history="1">
        <w:r w:rsidRPr="00F378D0">
          <w:rPr>
            <w:rStyle w:val="Lienhypertexte"/>
          </w:rPr>
          <w:t>https://www.ats.aq/devAS/Ats/InspectionsDatabase?lang=f</w:t>
        </w:r>
      </w:hyperlink>
      <w:r>
        <w:t xml:space="preserve"> [lien consulté en dernier lieu le </w:t>
      </w:r>
      <w:r w:rsidR="003705FF">
        <w:t>23 janvier</w:t>
      </w:r>
      <w:r>
        <w:t xml:space="preserve"> 2020].</w:t>
      </w:r>
    </w:p>
  </w:footnote>
  <w:footnote w:id="54">
    <w:p w14:paraId="0E36AF5C" w14:textId="77777777" w:rsidR="00AD3281" w:rsidRDefault="00AD3281">
      <w:pPr>
        <w:pStyle w:val="Notedebasdepage"/>
      </w:pPr>
      <w:r>
        <w:rPr>
          <w:rStyle w:val="Appelnotedebasdep"/>
        </w:rPr>
        <w:footnoteRef/>
      </w:r>
      <w:r>
        <w:t xml:space="preserve"> </w:t>
      </w:r>
      <w:r w:rsidRPr="00F4455A">
        <w:t xml:space="preserve">Report of the Joint Inspections Program </w:t>
      </w:r>
      <w:proofErr w:type="spellStart"/>
      <w:r w:rsidRPr="00F4455A">
        <w:t>undertaken</w:t>
      </w:r>
      <w:proofErr w:type="spellEnd"/>
      <w:r w:rsidRPr="00F4455A">
        <w:t xml:space="preserve"> by Argentina and Chile </w:t>
      </w:r>
      <w:proofErr w:type="spellStart"/>
      <w:r w:rsidRPr="00F4455A">
        <w:t>under</w:t>
      </w:r>
      <w:proofErr w:type="spellEnd"/>
      <w:r w:rsidRPr="00F4455A">
        <w:t xml:space="preserve"> Article VII of the </w:t>
      </w:r>
      <w:proofErr w:type="spellStart"/>
      <w:r w:rsidRPr="00F4455A">
        <w:t>Antarctic</w:t>
      </w:r>
      <w:proofErr w:type="spellEnd"/>
      <w:r w:rsidRPr="00F4455A">
        <w:t xml:space="preserve"> </w:t>
      </w:r>
      <w:proofErr w:type="spellStart"/>
      <w:r w:rsidRPr="00F4455A">
        <w:t>Treaty</w:t>
      </w:r>
      <w:proofErr w:type="spellEnd"/>
      <w:r w:rsidRPr="00F4455A">
        <w:t xml:space="preserve"> and Article 14 of the </w:t>
      </w:r>
      <w:proofErr w:type="spellStart"/>
      <w:r w:rsidRPr="00F4455A">
        <w:t>Environmental</w:t>
      </w:r>
      <w:proofErr w:type="spellEnd"/>
      <w:r w:rsidRPr="00F4455A">
        <w:t xml:space="preserve"> Protocol, 2018-2019, ATCM 42</w:t>
      </w:r>
      <w:r>
        <w:t xml:space="preserve">, p. 10. Dans le même ordre d’idées, mais plus nuancé, voir par exemple </w:t>
      </w:r>
      <w:r w:rsidRPr="00A36B81">
        <w:t xml:space="preserve">Report of the </w:t>
      </w:r>
      <w:proofErr w:type="spellStart"/>
      <w:r w:rsidRPr="00A36B81">
        <w:t>Antarctic</w:t>
      </w:r>
      <w:proofErr w:type="spellEnd"/>
      <w:r w:rsidRPr="00A36B81">
        <w:t xml:space="preserve"> </w:t>
      </w:r>
      <w:proofErr w:type="spellStart"/>
      <w:r w:rsidRPr="00A36B81">
        <w:t>Treaty</w:t>
      </w:r>
      <w:proofErr w:type="spellEnd"/>
      <w:r w:rsidRPr="00A36B81">
        <w:t xml:space="preserve"> Inspections </w:t>
      </w:r>
      <w:proofErr w:type="spellStart"/>
      <w:r w:rsidRPr="00A36B81">
        <w:t>undertaken</w:t>
      </w:r>
      <w:proofErr w:type="spellEnd"/>
      <w:r w:rsidRPr="00A36B81">
        <w:t xml:space="preserve"> </w:t>
      </w:r>
      <w:proofErr w:type="spellStart"/>
      <w:r w:rsidRPr="00A36B81">
        <w:t>jointly</w:t>
      </w:r>
      <w:proofErr w:type="spellEnd"/>
      <w:r w:rsidRPr="00A36B81">
        <w:t xml:space="preserve"> by the United </w:t>
      </w:r>
      <w:proofErr w:type="spellStart"/>
      <w:r w:rsidRPr="00A36B81">
        <w:t>Kingdom</w:t>
      </w:r>
      <w:proofErr w:type="spellEnd"/>
      <w:r w:rsidRPr="00A36B81">
        <w:t xml:space="preserve"> and the </w:t>
      </w:r>
      <w:proofErr w:type="spellStart"/>
      <w:r w:rsidRPr="00A36B81">
        <w:t>Czech</w:t>
      </w:r>
      <w:proofErr w:type="spellEnd"/>
      <w:r w:rsidRPr="00A36B81">
        <w:t xml:space="preserve"> </w:t>
      </w:r>
      <w:proofErr w:type="spellStart"/>
      <w:r w:rsidRPr="00A36B81">
        <w:t>Republic</w:t>
      </w:r>
      <w:proofErr w:type="spellEnd"/>
      <w:r w:rsidRPr="00A36B81">
        <w:t xml:space="preserve"> in accordance </w:t>
      </w:r>
      <w:proofErr w:type="spellStart"/>
      <w:r w:rsidRPr="00A36B81">
        <w:t>with</w:t>
      </w:r>
      <w:proofErr w:type="spellEnd"/>
      <w:r w:rsidRPr="00A36B81">
        <w:t xml:space="preserve"> Article VII of the </w:t>
      </w:r>
      <w:proofErr w:type="spellStart"/>
      <w:r w:rsidRPr="00A36B81">
        <w:t>Antarctic</w:t>
      </w:r>
      <w:proofErr w:type="spellEnd"/>
      <w:r w:rsidRPr="00A36B81">
        <w:t xml:space="preserve"> </w:t>
      </w:r>
      <w:proofErr w:type="spellStart"/>
      <w:r w:rsidRPr="00A36B81">
        <w:t>Treaty</w:t>
      </w:r>
      <w:proofErr w:type="spellEnd"/>
      <w:r w:rsidRPr="00A36B81">
        <w:t xml:space="preserve"> and Article 14 of the </w:t>
      </w:r>
      <w:proofErr w:type="spellStart"/>
      <w:r w:rsidRPr="00A36B81">
        <w:t>Environmental</w:t>
      </w:r>
      <w:proofErr w:type="spellEnd"/>
      <w:r w:rsidRPr="00A36B81">
        <w:t xml:space="preserve"> Protocol, May 2015, ATCM 38</w:t>
      </w:r>
      <w:r>
        <w:t xml:space="preserve">, p. 10. </w:t>
      </w:r>
      <w:r w:rsidRPr="001F3137">
        <w:t xml:space="preserve">De manière plus implicite, voir également </w:t>
      </w:r>
      <w:proofErr w:type="spellStart"/>
      <w:r w:rsidRPr="001F3137">
        <w:t>German</w:t>
      </w:r>
      <w:proofErr w:type="spellEnd"/>
      <w:r w:rsidRPr="001F3137">
        <w:t xml:space="preserve">-South </w:t>
      </w:r>
      <w:proofErr w:type="spellStart"/>
      <w:r w:rsidRPr="001F3137">
        <w:t>African</w:t>
      </w:r>
      <w:proofErr w:type="spellEnd"/>
      <w:r w:rsidRPr="001F3137">
        <w:t xml:space="preserve"> Report of Inspections </w:t>
      </w:r>
      <w:proofErr w:type="spellStart"/>
      <w:r w:rsidRPr="001F3137">
        <w:t>under</w:t>
      </w:r>
      <w:proofErr w:type="spellEnd"/>
      <w:r w:rsidRPr="001F3137">
        <w:t xml:space="preserve"> Article VII of the </w:t>
      </w:r>
      <w:proofErr w:type="spellStart"/>
      <w:r w:rsidRPr="001F3137">
        <w:t>Antarctic</w:t>
      </w:r>
      <w:proofErr w:type="spellEnd"/>
      <w:r w:rsidRPr="001F3137">
        <w:t xml:space="preserve"> </w:t>
      </w:r>
      <w:proofErr w:type="spellStart"/>
      <w:r w:rsidRPr="001F3137">
        <w:t>Treaty</w:t>
      </w:r>
      <w:proofErr w:type="spellEnd"/>
      <w:r w:rsidRPr="001F3137">
        <w:t xml:space="preserve"> and Article 14 of the Protocol on </w:t>
      </w:r>
      <w:proofErr w:type="spellStart"/>
      <w:r w:rsidRPr="001F3137">
        <w:t>Environmental</w:t>
      </w:r>
      <w:proofErr w:type="spellEnd"/>
      <w:r w:rsidRPr="001F3137">
        <w:t xml:space="preserve"> Protection, </w:t>
      </w:r>
      <w:proofErr w:type="spellStart"/>
      <w:r w:rsidRPr="001F3137">
        <w:t>January</w:t>
      </w:r>
      <w:proofErr w:type="spellEnd"/>
      <w:r w:rsidRPr="001F3137">
        <w:t xml:space="preserve"> 2013, ATCM 36, p. 14 : </w:t>
      </w:r>
      <w:r>
        <w:t>« [a]</w:t>
      </w:r>
      <w:r w:rsidRPr="001F3137">
        <w:t xml:space="preserve">s </w:t>
      </w:r>
      <w:proofErr w:type="spellStart"/>
      <w:r w:rsidRPr="001F3137">
        <w:t>this</w:t>
      </w:r>
      <w:proofErr w:type="spellEnd"/>
      <w:r w:rsidRPr="001F3137">
        <w:t xml:space="preserve"> inspection team </w:t>
      </w:r>
      <w:proofErr w:type="spellStart"/>
      <w:r w:rsidRPr="001F3137">
        <w:t>built</w:t>
      </w:r>
      <w:proofErr w:type="spellEnd"/>
      <w:r w:rsidRPr="001F3137">
        <w:t xml:space="preserve"> on </w:t>
      </w:r>
      <w:proofErr w:type="spellStart"/>
      <w:r w:rsidRPr="001F3137">
        <w:t>previous</w:t>
      </w:r>
      <w:proofErr w:type="spellEnd"/>
      <w:r w:rsidRPr="001F3137">
        <w:t xml:space="preserve"> inspection </w:t>
      </w:r>
      <w:proofErr w:type="spellStart"/>
      <w:r w:rsidRPr="001F3137">
        <w:t>results</w:t>
      </w:r>
      <w:proofErr w:type="spellEnd"/>
      <w:r w:rsidRPr="001F3137">
        <w:t xml:space="preserve">, </w:t>
      </w:r>
      <w:proofErr w:type="spellStart"/>
      <w:r w:rsidRPr="001F3137">
        <w:t>it</w:t>
      </w:r>
      <w:proofErr w:type="spellEnd"/>
      <w:r w:rsidRPr="001F3137">
        <w:t xml:space="preserve"> </w:t>
      </w:r>
      <w:proofErr w:type="spellStart"/>
      <w:r w:rsidRPr="001F3137">
        <w:t>recommends</w:t>
      </w:r>
      <w:proofErr w:type="spellEnd"/>
      <w:r w:rsidRPr="001F3137">
        <w:t xml:space="preserve"> to future inspection teams to </w:t>
      </w:r>
      <w:proofErr w:type="spellStart"/>
      <w:r w:rsidRPr="001F3137">
        <w:t>make</w:t>
      </w:r>
      <w:proofErr w:type="spellEnd"/>
      <w:r w:rsidRPr="001F3137">
        <w:t xml:space="preserve"> use of </w:t>
      </w:r>
      <w:proofErr w:type="spellStart"/>
      <w:r w:rsidRPr="001F3137">
        <w:t>prior</w:t>
      </w:r>
      <w:proofErr w:type="spellEnd"/>
      <w:r w:rsidRPr="001F3137">
        <w:t xml:space="preserve"> inspection reports as </w:t>
      </w:r>
      <w:proofErr w:type="spellStart"/>
      <w:r w:rsidRPr="001F3137">
        <w:t>reference</w:t>
      </w:r>
      <w:proofErr w:type="spellEnd"/>
      <w:r w:rsidRPr="001F3137">
        <w:t xml:space="preserve"> points </w:t>
      </w:r>
      <w:proofErr w:type="spellStart"/>
      <w:r w:rsidRPr="001F3137">
        <w:t>when</w:t>
      </w:r>
      <w:proofErr w:type="spellEnd"/>
      <w:r w:rsidRPr="001F3137">
        <w:t xml:space="preserve"> </w:t>
      </w:r>
      <w:proofErr w:type="spellStart"/>
      <w:r w:rsidRPr="001F3137">
        <w:t>checking</w:t>
      </w:r>
      <w:proofErr w:type="spellEnd"/>
      <w:r w:rsidRPr="001F3137">
        <w:t xml:space="preserve"> on </w:t>
      </w:r>
      <w:proofErr w:type="spellStart"/>
      <w:r w:rsidRPr="001F3137">
        <w:t>treaty</w:t>
      </w:r>
      <w:proofErr w:type="spellEnd"/>
      <w:r w:rsidRPr="001F3137">
        <w:t xml:space="preserve"> compliance. It </w:t>
      </w:r>
      <w:proofErr w:type="spellStart"/>
      <w:r w:rsidRPr="001F3137">
        <w:t>also</w:t>
      </w:r>
      <w:proofErr w:type="spellEnd"/>
      <w:r w:rsidRPr="001F3137">
        <w:t xml:space="preserve"> invites </w:t>
      </w:r>
      <w:proofErr w:type="spellStart"/>
      <w:r w:rsidRPr="001F3137">
        <w:t>Member</w:t>
      </w:r>
      <w:proofErr w:type="spellEnd"/>
      <w:r w:rsidRPr="001F3137">
        <w:t xml:space="preserve"> States operating stations in the </w:t>
      </w:r>
      <w:proofErr w:type="spellStart"/>
      <w:r w:rsidRPr="001F3137">
        <w:t>Antarctic</w:t>
      </w:r>
      <w:proofErr w:type="spellEnd"/>
      <w:r w:rsidRPr="001F3137">
        <w:t xml:space="preserve"> to </w:t>
      </w:r>
      <w:proofErr w:type="spellStart"/>
      <w:r w:rsidRPr="001F3137">
        <w:t>embrace</w:t>
      </w:r>
      <w:proofErr w:type="spellEnd"/>
      <w:r w:rsidRPr="001F3137">
        <w:t xml:space="preserve"> inspection </w:t>
      </w:r>
      <w:proofErr w:type="spellStart"/>
      <w:r w:rsidRPr="001F3137">
        <w:t>results</w:t>
      </w:r>
      <w:proofErr w:type="spellEnd"/>
      <w:r w:rsidRPr="001F3137">
        <w:t xml:space="preserve"> as </w:t>
      </w:r>
      <w:proofErr w:type="gramStart"/>
      <w:r w:rsidRPr="001F3137">
        <w:t>a</w:t>
      </w:r>
      <w:proofErr w:type="gramEnd"/>
      <w:r w:rsidRPr="001F3137">
        <w:t xml:space="preserve"> chance to </w:t>
      </w:r>
      <w:proofErr w:type="spellStart"/>
      <w:r w:rsidRPr="001F3137">
        <w:t>learn</w:t>
      </w:r>
      <w:proofErr w:type="spellEnd"/>
      <w:r w:rsidRPr="001F3137">
        <w:t xml:space="preserve"> </w:t>
      </w:r>
      <w:proofErr w:type="spellStart"/>
      <w:r w:rsidRPr="001F3137">
        <w:t>from</w:t>
      </w:r>
      <w:proofErr w:type="spellEnd"/>
      <w:r w:rsidRPr="001F3137">
        <w:t xml:space="preserve"> </w:t>
      </w:r>
      <w:proofErr w:type="spellStart"/>
      <w:r w:rsidRPr="001F3137">
        <w:t>other</w:t>
      </w:r>
      <w:proofErr w:type="spellEnd"/>
      <w:r w:rsidRPr="001F3137">
        <w:t xml:space="preserve"> stations and to </w:t>
      </w:r>
      <w:proofErr w:type="spellStart"/>
      <w:r w:rsidRPr="001F3137">
        <w:t>improve</w:t>
      </w:r>
      <w:proofErr w:type="spellEnd"/>
      <w:r w:rsidRPr="001F3137">
        <w:t xml:space="preserve"> </w:t>
      </w:r>
      <w:proofErr w:type="spellStart"/>
      <w:r w:rsidRPr="001F3137">
        <w:t>their</w:t>
      </w:r>
      <w:proofErr w:type="spellEnd"/>
      <w:r w:rsidRPr="001F3137">
        <w:t xml:space="preserve"> </w:t>
      </w:r>
      <w:proofErr w:type="spellStart"/>
      <w:r w:rsidRPr="001F3137">
        <w:t>facilities</w:t>
      </w:r>
      <w:proofErr w:type="spellEnd"/>
      <w:r w:rsidRPr="001F3137">
        <w:t xml:space="preserve"> and operating </w:t>
      </w:r>
      <w:proofErr w:type="spellStart"/>
      <w:r w:rsidRPr="001F3137">
        <w:t>methods</w:t>
      </w:r>
      <w:proofErr w:type="spellEnd"/>
      <w:r>
        <w:t> »</w:t>
      </w:r>
      <w:r w:rsidRPr="001F3137">
        <w:t>.</w:t>
      </w:r>
    </w:p>
  </w:footnote>
  <w:footnote w:id="55">
    <w:p w14:paraId="62F21B82" w14:textId="77777777" w:rsidR="00AD3281" w:rsidRDefault="00AD3281">
      <w:pPr>
        <w:pStyle w:val="Notedebasdepage"/>
      </w:pPr>
      <w:r>
        <w:rPr>
          <w:rStyle w:val="Appelnotedebasdep"/>
        </w:rPr>
        <w:footnoteRef/>
      </w:r>
      <w:r>
        <w:t xml:space="preserve"> </w:t>
      </w:r>
      <w:r w:rsidRPr="00306C7D">
        <w:t xml:space="preserve">Ministry of </w:t>
      </w:r>
      <w:proofErr w:type="spellStart"/>
      <w:r w:rsidRPr="00306C7D">
        <w:t>education</w:t>
      </w:r>
      <w:proofErr w:type="spellEnd"/>
      <w:r w:rsidRPr="00306C7D">
        <w:t xml:space="preserve"> and science of Ukraine, courrier n°161 daté du 24 mai 2019, annexé au </w:t>
      </w:r>
      <w:r w:rsidRPr="00F4455A">
        <w:t xml:space="preserve">Report of the Joint Inspections Program </w:t>
      </w:r>
      <w:proofErr w:type="spellStart"/>
      <w:r w:rsidRPr="00F4455A">
        <w:t>undertaken</w:t>
      </w:r>
      <w:proofErr w:type="spellEnd"/>
      <w:r w:rsidRPr="00F4455A">
        <w:t xml:space="preserve"> by Argentina and Chile </w:t>
      </w:r>
      <w:proofErr w:type="spellStart"/>
      <w:r w:rsidRPr="00F4455A">
        <w:t>under</w:t>
      </w:r>
      <w:proofErr w:type="spellEnd"/>
      <w:r w:rsidRPr="00F4455A">
        <w:t xml:space="preserve"> Article VII of the </w:t>
      </w:r>
      <w:proofErr w:type="spellStart"/>
      <w:r w:rsidRPr="00F4455A">
        <w:t>Antarctic</w:t>
      </w:r>
      <w:proofErr w:type="spellEnd"/>
      <w:r w:rsidRPr="00F4455A">
        <w:t xml:space="preserve"> </w:t>
      </w:r>
      <w:proofErr w:type="spellStart"/>
      <w:r w:rsidRPr="00F4455A">
        <w:t>Treaty</w:t>
      </w:r>
      <w:proofErr w:type="spellEnd"/>
      <w:r w:rsidRPr="00F4455A">
        <w:t xml:space="preserve"> and Article 14 of the </w:t>
      </w:r>
      <w:proofErr w:type="spellStart"/>
      <w:r w:rsidRPr="00F4455A">
        <w:t>Environmental</w:t>
      </w:r>
      <w:proofErr w:type="spellEnd"/>
      <w:r w:rsidRPr="00F4455A">
        <w:t xml:space="preserve"> Protocol, 2018-2019, ATCM 42</w:t>
      </w:r>
      <w:r>
        <w:t xml:space="preserve">, </w:t>
      </w:r>
      <w:r w:rsidRPr="00306C7D">
        <w:t>p. 57.</w:t>
      </w:r>
    </w:p>
  </w:footnote>
  <w:footnote w:id="56">
    <w:p w14:paraId="7D16482D" w14:textId="77777777" w:rsidR="00AD3281" w:rsidRPr="00E528B5" w:rsidRDefault="00AD3281">
      <w:pPr>
        <w:pStyle w:val="Notedebasdepage"/>
      </w:pPr>
      <w:r>
        <w:rPr>
          <w:rStyle w:val="Appelnotedebasdep"/>
        </w:rPr>
        <w:footnoteRef/>
      </w:r>
      <w:r>
        <w:t xml:space="preserve"> </w:t>
      </w:r>
      <w:r>
        <w:rPr>
          <w:i/>
          <w:iCs/>
        </w:rPr>
        <w:t>Ibid</w:t>
      </w:r>
      <w:r>
        <w:t>., p. 10 : « [p]</w:t>
      </w:r>
      <w:proofErr w:type="spellStart"/>
      <w:r w:rsidRPr="00E528B5">
        <w:t>arties</w:t>
      </w:r>
      <w:proofErr w:type="spellEnd"/>
      <w:r w:rsidRPr="00E528B5">
        <w:t xml:space="preserve"> are </w:t>
      </w:r>
      <w:proofErr w:type="spellStart"/>
      <w:r w:rsidRPr="00E528B5">
        <w:t>encouraged</w:t>
      </w:r>
      <w:proofErr w:type="spellEnd"/>
      <w:r w:rsidRPr="00E528B5">
        <w:t xml:space="preserve"> to have relevant documentation, for </w:t>
      </w:r>
      <w:proofErr w:type="spellStart"/>
      <w:r w:rsidRPr="00E528B5">
        <w:t>example</w:t>
      </w:r>
      <w:proofErr w:type="spellEnd"/>
      <w:r w:rsidRPr="00E528B5">
        <w:t xml:space="preserve">, documents </w:t>
      </w:r>
      <w:proofErr w:type="spellStart"/>
      <w:r w:rsidRPr="00E528B5">
        <w:t>related</w:t>
      </w:r>
      <w:proofErr w:type="spellEnd"/>
      <w:r w:rsidRPr="00E528B5">
        <w:t xml:space="preserve"> to station </w:t>
      </w:r>
      <w:proofErr w:type="spellStart"/>
      <w:r w:rsidRPr="00E528B5">
        <w:t>operation</w:t>
      </w:r>
      <w:proofErr w:type="spellEnd"/>
      <w:r w:rsidRPr="00E528B5">
        <w:t xml:space="preserve"> or </w:t>
      </w:r>
      <w:proofErr w:type="spellStart"/>
      <w:r w:rsidRPr="00E528B5">
        <w:t>contingency</w:t>
      </w:r>
      <w:proofErr w:type="spellEnd"/>
      <w:r w:rsidRPr="00E528B5">
        <w:t xml:space="preserve"> plans, in at least one of the </w:t>
      </w:r>
      <w:proofErr w:type="spellStart"/>
      <w:r w:rsidRPr="00E528B5">
        <w:t>Treaty</w:t>
      </w:r>
      <w:proofErr w:type="spellEnd"/>
      <w:r w:rsidRPr="00E528B5">
        <w:t xml:space="preserve"> </w:t>
      </w:r>
      <w:proofErr w:type="spellStart"/>
      <w:r w:rsidRPr="00E528B5">
        <w:t>languages</w:t>
      </w:r>
      <w:proofErr w:type="spellEnd"/>
      <w:r w:rsidRPr="00E528B5">
        <w:t xml:space="preserve">, </w:t>
      </w:r>
      <w:proofErr w:type="spellStart"/>
      <w:r w:rsidRPr="00E528B5">
        <w:t>so</w:t>
      </w:r>
      <w:proofErr w:type="spellEnd"/>
      <w:r w:rsidRPr="00E528B5">
        <w:t xml:space="preserve"> as to </w:t>
      </w:r>
      <w:proofErr w:type="spellStart"/>
      <w:r w:rsidRPr="00E528B5">
        <w:t>facilitate</w:t>
      </w:r>
      <w:proofErr w:type="spellEnd"/>
      <w:r w:rsidRPr="00E528B5">
        <w:t xml:space="preserve"> the </w:t>
      </w:r>
      <w:proofErr w:type="spellStart"/>
      <w:r w:rsidRPr="00E528B5">
        <w:t>observers</w:t>
      </w:r>
      <w:proofErr w:type="spellEnd"/>
      <w:r w:rsidRPr="00E528B5">
        <w:t xml:space="preserve"> ́ </w:t>
      </w:r>
      <w:proofErr w:type="spellStart"/>
      <w:r w:rsidRPr="00E528B5">
        <w:t>task</w:t>
      </w:r>
      <w:proofErr w:type="spellEnd"/>
      <w:r w:rsidRPr="00E528B5">
        <w:t xml:space="preserve">, as </w:t>
      </w:r>
      <w:proofErr w:type="spellStart"/>
      <w:r w:rsidRPr="00E528B5">
        <w:t>well</w:t>
      </w:r>
      <w:proofErr w:type="spellEnd"/>
      <w:r w:rsidRPr="00E528B5">
        <w:t xml:space="preserve"> as to </w:t>
      </w:r>
      <w:proofErr w:type="spellStart"/>
      <w:r w:rsidRPr="00E528B5">
        <w:t>assist</w:t>
      </w:r>
      <w:proofErr w:type="spellEnd"/>
      <w:r w:rsidRPr="00E528B5">
        <w:t xml:space="preserve"> </w:t>
      </w:r>
      <w:proofErr w:type="spellStart"/>
      <w:r w:rsidRPr="00E528B5">
        <w:t>potential</w:t>
      </w:r>
      <w:proofErr w:type="spellEnd"/>
      <w:r w:rsidRPr="00E528B5">
        <w:t xml:space="preserve"> </w:t>
      </w:r>
      <w:proofErr w:type="spellStart"/>
      <w:r w:rsidRPr="00E528B5">
        <w:t>foreign</w:t>
      </w:r>
      <w:proofErr w:type="spellEnd"/>
      <w:r w:rsidRPr="00E528B5">
        <w:t xml:space="preserve"> </w:t>
      </w:r>
      <w:proofErr w:type="spellStart"/>
      <w:r w:rsidRPr="00E528B5">
        <w:t>visitors</w:t>
      </w:r>
      <w:proofErr w:type="spellEnd"/>
      <w:r w:rsidRPr="00E528B5">
        <w:t xml:space="preserve"> </w:t>
      </w:r>
      <w:proofErr w:type="spellStart"/>
      <w:r w:rsidRPr="00E528B5">
        <w:t>that</w:t>
      </w:r>
      <w:proofErr w:type="spellEnd"/>
      <w:r w:rsidRPr="00E528B5">
        <w:t xml:space="preserve"> </w:t>
      </w:r>
      <w:proofErr w:type="spellStart"/>
      <w:r w:rsidRPr="00E528B5">
        <w:t>may</w:t>
      </w:r>
      <w:proofErr w:type="spellEnd"/>
      <w:r w:rsidRPr="00E528B5">
        <w:t xml:space="preserve"> arrive at the station</w:t>
      </w:r>
      <w:r>
        <w:t> ».</w:t>
      </w:r>
    </w:p>
  </w:footnote>
  <w:footnote w:id="57">
    <w:p w14:paraId="5ADBF383" w14:textId="77777777" w:rsidR="00AD3281" w:rsidRDefault="00AD3281">
      <w:pPr>
        <w:pStyle w:val="Notedebasdepage"/>
      </w:pPr>
      <w:r>
        <w:rPr>
          <w:rStyle w:val="Appelnotedebasdep"/>
        </w:rPr>
        <w:footnoteRef/>
      </w:r>
      <w:r>
        <w:t xml:space="preserve"> Ce point est notamment</w:t>
      </w:r>
      <w:r w:rsidRPr="00BF1A5A">
        <w:t xml:space="preserve"> relevé au moment de l</w:t>
      </w:r>
      <w:r>
        <w:t>’</w:t>
      </w:r>
      <w:r w:rsidRPr="00BF1A5A">
        <w:t>inspection des installations Ukrainiennes et britanniques en 2018-2019. L</w:t>
      </w:r>
      <w:r>
        <w:t>’</w:t>
      </w:r>
      <w:r w:rsidRPr="00BF1A5A">
        <w:t>importance accordée aux touristes et le désintérêt pour les missions d</w:t>
      </w:r>
      <w:r>
        <w:t>’</w:t>
      </w:r>
      <w:r w:rsidRPr="00BF1A5A">
        <w:t>inspections fait même l</w:t>
      </w:r>
      <w:r>
        <w:t>’</w:t>
      </w:r>
      <w:r w:rsidRPr="00BF1A5A">
        <w:t>objet d</w:t>
      </w:r>
      <w:r>
        <w:t>’</w:t>
      </w:r>
      <w:r w:rsidRPr="00BF1A5A">
        <w:t>une remarque générale de l</w:t>
      </w:r>
      <w:r>
        <w:t>’</w:t>
      </w:r>
      <w:r w:rsidRPr="00BF1A5A">
        <w:t xml:space="preserve">équipe : </w:t>
      </w:r>
      <w:r>
        <w:t>« [s]</w:t>
      </w:r>
      <w:proofErr w:type="spellStart"/>
      <w:r w:rsidRPr="00BF1A5A">
        <w:t>ites</w:t>
      </w:r>
      <w:proofErr w:type="spellEnd"/>
      <w:r w:rsidRPr="00BF1A5A">
        <w:t xml:space="preserve"> and stations </w:t>
      </w:r>
      <w:proofErr w:type="spellStart"/>
      <w:r w:rsidRPr="00BF1A5A">
        <w:t>that</w:t>
      </w:r>
      <w:proofErr w:type="spellEnd"/>
      <w:r w:rsidRPr="00BF1A5A">
        <w:t xml:space="preserve"> </w:t>
      </w:r>
      <w:proofErr w:type="spellStart"/>
      <w:r w:rsidRPr="00BF1A5A">
        <w:t>receive</w:t>
      </w:r>
      <w:proofErr w:type="spellEnd"/>
      <w:r w:rsidRPr="00BF1A5A">
        <w:t xml:space="preserve"> </w:t>
      </w:r>
      <w:proofErr w:type="spellStart"/>
      <w:r w:rsidRPr="00BF1A5A">
        <w:t>visitors</w:t>
      </w:r>
      <w:proofErr w:type="spellEnd"/>
      <w:r w:rsidRPr="00BF1A5A">
        <w:t xml:space="preserve"> </w:t>
      </w:r>
      <w:proofErr w:type="spellStart"/>
      <w:r w:rsidRPr="00BF1A5A">
        <w:t>should</w:t>
      </w:r>
      <w:proofErr w:type="spellEnd"/>
      <w:r w:rsidRPr="00BF1A5A">
        <w:t xml:space="preserve"> </w:t>
      </w:r>
      <w:proofErr w:type="spellStart"/>
      <w:r w:rsidRPr="00BF1A5A">
        <w:t>make</w:t>
      </w:r>
      <w:proofErr w:type="spellEnd"/>
      <w:r w:rsidRPr="00BF1A5A">
        <w:t xml:space="preserve"> sure </w:t>
      </w:r>
      <w:proofErr w:type="spellStart"/>
      <w:r w:rsidRPr="00BF1A5A">
        <w:t>their</w:t>
      </w:r>
      <w:proofErr w:type="spellEnd"/>
      <w:r w:rsidRPr="00BF1A5A">
        <w:t xml:space="preserve"> </w:t>
      </w:r>
      <w:proofErr w:type="spellStart"/>
      <w:r w:rsidRPr="00BF1A5A">
        <w:t>appropriate</w:t>
      </w:r>
      <w:proofErr w:type="spellEnd"/>
      <w:r w:rsidRPr="00BF1A5A">
        <w:t xml:space="preserve"> personnel are </w:t>
      </w:r>
      <w:proofErr w:type="spellStart"/>
      <w:r w:rsidRPr="00BF1A5A">
        <w:t>fully</w:t>
      </w:r>
      <w:proofErr w:type="spellEnd"/>
      <w:r w:rsidRPr="00BF1A5A">
        <w:t xml:space="preserve"> </w:t>
      </w:r>
      <w:proofErr w:type="spellStart"/>
      <w:r w:rsidRPr="00BF1A5A">
        <w:t>available</w:t>
      </w:r>
      <w:proofErr w:type="spellEnd"/>
      <w:r w:rsidRPr="00BF1A5A">
        <w:t xml:space="preserve"> for the inspection team, </w:t>
      </w:r>
      <w:proofErr w:type="spellStart"/>
      <w:r w:rsidRPr="00BF1A5A">
        <w:t>giving</w:t>
      </w:r>
      <w:proofErr w:type="spellEnd"/>
      <w:r w:rsidRPr="00BF1A5A">
        <w:t xml:space="preserve"> </w:t>
      </w:r>
      <w:proofErr w:type="spellStart"/>
      <w:r w:rsidRPr="00BF1A5A">
        <w:t>priority</w:t>
      </w:r>
      <w:proofErr w:type="spellEnd"/>
      <w:r w:rsidRPr="00BF1A5A">
        <w:t xml:space="preserve"> to the inspection over attention </w:t>
      </w:r>
      <w:proofErr w:type="spellStart"/>
      <w:r w:rsidRPr="00BF1A5A">
        <w:t>afforded</w:t>
      </w:r>
      <w:proofErr w:type="spellEnd"/>
      <w:r w:rsidRPr="00BF1A5A">
        <w:t xml:space="preserve"> to </w:t>
      </w:r>
      <w:proofErr w:type="spellStart"/>
      <w:r w:rsidRPr="00BF1A5A">
        <w:t>tourists</w:t>
      </w:r>
      <w:proofErr w:type="spellEnd"/>
      <w:r w:rsidRPr="00BF1A5A">
        <w:t xml:space="preserve"> </w:t>
      </w:r>
      <w:proofErr w:type="spellStart"/>
      <w:r w:rsidRPr="00BF1A5A">
        <w:t>whose</w:t>
      </w:r>
      <w:proofErr w:type="spellEnd"/>
      <w:r w:rsidRPr="00BF1A5A">
        <w:t xml:space="preserve"> </w:t>
      </w:r>
      <w:proofErr w:type="spellStart"/>
      <w:r w:rsidRPr="00BF1A5A">
        <w:t>visits</w:t>
      </w:r>
      <w:proofErr w:type="spellEnd"/>
      <w:r w:rsidRPr="00BF1A5A">
        <w:t xml:space="preserve">, </w:t>
      </w:r>
      <w:proofErr w:type="spellStart"/>
      <w:r w:rsidRPr="00BF1A5A">
        <w:t>ideally</w:t>
      </w:r>
      <w:proofErr w:type="spellEnd"/>
      <w:r w:rsidRPr="00BF1A5A">
        <w:t xml:space="preserve">, </w:t>
      </w:r>
      <w:proofErr w:type="spellStart"/>
      <w:r w:rsidRPr="00BF1A5A">
        <w:t>should</w:t>
      </w:r>
      <w:proofErr w:type="spellEnd"/>
      <w:r w:rsidRPr="00BF1A5A">
        <w:t xml:space="preserve"> </w:t>
      </w:r>
      <w:proofErr w:type="spellStart"/>
      <w:r w:rsidRPr="00BF1A5A">
        <w:t>be</w:t>
      </w:r>
      <w:proofErr w:type="spellEnd"/>
      <w:r w:rsidRPr="00BF1A5A">
        <w:t xml:space="preserve"> </w:t>
      </w:r>
      <w:proofErr w:type="spellStart"/>
      <w:r w:rsidRPr="00BF1A5A">
        <w:t>suspended</w:t>
      </w:r>
      <w:proofErr w:type="spellEnd"/>
      <w:r w:rsidRPr="00BF1A5A">
        <w:t xml:space="preserve"> </w:t>
      </w:r>
      <w:proofErr w:type="spellStart"/>
      <w:r w:rsidRPr="00BF1A5A">
        <w:t>during</w:t>
      </w:r>
      <w:proofErr w:type="spellEnd"/>
      <w:r w:rsidRPr="00BF1A5A">
        <w:t xml:space="preserve"> inspections. </w:t>
      </w:r>
      <w:proofErr w:type="spellStart"/>
      <w:r w:rsidRPr="00BF1A5A">
        <w:t>Particularly</w:t>
      </w:r>
      <w:proofErr w:type="spellEnd"/>
      <w:r w:rsidRPr="00BF1A5A">
        <w:t xml:space="preserve"> </w:t>
      </w:r>
      <w:proofErr w:type="spellStart"/>
      <w:r w:rsidRPr="00BF1A5A">
        <w:t>considering</w:t>
      </w:r>
      <w:proofErr w:type="spellEnd"/>
      <w:r w:rsidRPr="00BF1A5A">
        <w:t xml:space="preserve"> </w:t>
      </w:r>
      <w:proofErr w:type="spellStart"/>
      <w:r w:rsidRPr="00BF1A5A">
        <w:t>that</w:t>
      </w:r>
      <w:proofErr w:type="spellEnd"/>
      <w:r w:rsidRPr="00BF1A5A">
        <w:t xml:space="preserve"> </w:t>
      </w:r>
      <w:proofErr w:type="spellStart"/>
      <w:r w:rsidRPr="00BF1A5A">
        <w:t>reasonable</w:t>
      </w:r>
      <w:proofErr w:type="spellEnd"/>
      <w:r w:rsidRPr="00BF1A5A">
        <w:t xml:space="preserve"> notification in </w:t>
      </w:r>
      <w:proofErr w:type="spellStart"/>
      <w:r w:rsidRPr="00BF1A5A">
        <w:t>advance</w:t>
      </w:r>
      <w:proofErr w:type="spellEnd"/>
      <w:r w:rsidRPr="00BF1A5A">
        <w:t xml:space="preserve"> </w:t>
      </w:r>
      <w:proofErr w:type="spellStart"/>
      <w:r w:rsidRPr="00BF1A5A">
        <w:t>is</w:t>
      </w:r>
      <w:proofErr w:type="spellEnd"/>
      <w:r w:rsidRPr="00BF1A5A">
        <w:t xml:space="preserve"> </w:t>
      </w:r>
      <w:proofErr w:type="spellStart"/>
      <w:r w:rsidRPr="00BF1A5A">
        <w:t>provided</w:t>
      </w:r>
      <w:proofErr w:type="spellEnd"/>
      <w:r w:rsidRPr="00BF1A5A">
        <w:t xml:space="preserve"> as to the </w:t>
      </w:r>
      <w:proofErr w:type="spellStart"/>
      <w:r w:rsidRPr="00BF1A5A">
        <w:t>arrival</w:t>
      </w:r>
      <w:proofErr w:type="spellEnd"/>
      <w:r w:rsidRPr="00BF1A5A">
        <w:t xml:space="preserve"> of the inspection team</w:t>
      </w:r>
      <w:r>
        <w:t> » (p. 10).</w:t>
      </w:r>
    </w:p>
  </w:footnote>
  <w:footnote w:id="58">
    <w:p w14:paraId="4319CA85" w14:textId="77777777" w:rsidR="00AD3281" w:rsidRDefault="00AD3281">
      <w:pPr>
        <w:pStyle w:val="Notedebasdepage"/>
      </w:pPr>
      <w:r>
        <w:rPr>
          <w:rStyle w:val="Appelnotedebasdep"/>
        </w:rPr>
        <w:footnoteRef/>
      </w:r>
      <w:r>
        <w:t xml:space="preserve"> </w:t>
      </w:r>
      <w:r w:rsidRPr="00A510F5">
        <w:t xml:space="preserve">Report of the </w:t>
      </w:r>
      <w:proofErr w:type="spellStart"/>
      <w:r w:rsidRPr="00A510F5">
        <w:t>Antarctic</w:t>
      </w:r>
      <w:proofErr w:type="spellEnd"/>
      <w:r w:rsidRPr="00A510F5">
        <w:t xml:space="preserve"> </w:t>
      </w:r>
      <w:proofErr w:type="spellStart"/>
      <w:r w:rsidRPr="00A510F5">
        <w:t>Treaty</w:t>
      </w:r>
      <w:proofErr w:type="spellEnd"/>
      <w:r w:rsidRPr="00A510F5">
        <w:t xml:space="preserve"> Inspections </w:t>
      </w:r>
      <w:proofErr w:type="spellStart"/>
      <w:r w:rsidRPr="00A510F5">
        <w:t>undertaken</w:t>
      </w:r>
      <w:proofErr w:type="spellEnd"/>
      <w:r w:rsidRPr="00A510F5">
        <w:t xml:space="preserve"> by the </w:t>
      </w:r>
      <w:proofErr w:type="spellStart"/>
      <w:r w:rsidRPr="00A510F5">
        <w:t>People</w:t>
      </w:r>
      <w:r>
        <w:t>’</w:t>
      </w:r>
      <w:r w:rsidRPr="00A510F5">
        <w:t>s</w:t>
      </w:r>
      <w:proofErr w:type="spellEnd"/>
      <w:r w:rsidRPr="00A510F5">
        <w:t xml:space="preserve"> </w:t>
      </w:r>
      <w:proofErr w:type="spellStart"/>
      <w:r w:rsidRPr="00A510F5">
        <w:t>Republic</w:t>
      </w:r>
      <w:proofErr w:type="spellEnd"/>
      <w:r w:rsidRPr="00A510F5">
        <w:t xml:space="preserve"> of China in accordance </w:t>
      </w:r>
      <w:proofErr w:type="spellStart"/>
      <w:r w:rsidRPr="00A510F5">
        <w:t>with</w:t>
      </w:r>
      <w:proofErr w:type="spellEnd"/>
      <w:r w:rsidRPr="00A510F5">
        <w:t xml:space="preserve"> Article VII of the </w:t>
      </w:r>
      <w:proofErr w:type="spellStart"/>
      <w:r w:rsidRPr="00A510F5">
        <w:t>Antarctic</w:t>
      </w:r>
      <w:proofErr w:type="spellEnd"/>
      <w:r w:rsidRPr="00A510F5">
        <w:t xml:space="preserve"> </w:t>
      </w:r>
      <w:proofErr w:type="spellStart"/>
      <w:r w:rsidRPr="00A510F5">
        <w:t>Treaty</w:t>
      </w:r>
      <w:proofErr w:type="spellEnd"/>
      <w:r w:rsidRPr="00A510F5">
        <w:t xml:space="preserve"> and Article 14 of the </w:t>
      </w:r>
      <w:proofErr w:type="spellStart"/>
      <w:r w:rsidRPr="00A510F5">
        <w:t>Environmental</w:t>
      </w:r>
      <w:proofErr w:type="spellEnd"/>
      <w:r w:rsidRPr="00A510F5">
        <w:t xml:space="preserve"> Protocol, April 2016, ATCM 39</w:t>
      </w:r>
      <w:r>
        <w:t>, p. 6.</w:t>
      </w:r>
    </w:p>
  </w:footnote>
  <w:footnote w:id="59">
    <w:p w14:paraId="4F7B39AA" w14:textId="77777777" w:rsidR="00AD3281" w:rsidRDefault="00AD3281">
      <w:pPr>
        <w:pStyle w:val="Notedebasdepage"/>
      </w:pPr>
      <w:r>
        <w:rPr>
          <w:rStyle w:val="Appelnotedebasdep"/>
        </w:rPr>
        <w:footnoteRef/>
      </w:r>
      <w:r>
        <w:t xml:space="preserve"> </w:t>
      </w:r>
      <w:r w:rsidRPr="0049454B">
        <w:t xml:space="preserve">Report of the </w:t>
      </w:r>
      <w:proofErr w:type="spellStart"/>
      <w:r w:rsidRPr="0049454B">
        <w:t>Norwegian</w:t>
      </w:r>
      <w:proofErr w:type="spellEnd"/>
      <w:r w:rsidRPr="0049454B">
        <w:t xml:space="preserve"> </w:t>
      </w:r>
      <w:proofErr w:type="spellStart"/>
      <w:r w:rsidRPr="0049454B">
        <w:t>Antarctic</w:t>
      </w:r>
      <w:proofErr w:type="spellEnd"/>
      <w:r w:rsidRPr="0049454B">
        <w:t xml:space="preserve"> Inspection </w:t>
      </w:r>
      <w:proofErr w:type="spellStart"/>
      <w:r w:rsidRPr="0049454B">
        <w:t>under</w:t>
      </w:r>
      <w:proofErr w:type="spellEnd"/>
      <w:r w:rsidRPr="0049454B">
        <w:t xml:space="preserve"> Article VII of the </w:t>
      </w:r>
      <w:proofErr w:type="spellStart"/>
      <w:r w:rsidRPr="0049454B">
        <w:t>Antarctic</w:t>
      </w:r>
      <w:proofErr w:type="spellEnd"/>
      <w:r w:rsidRPr="0049454B">
        <w:t xml:space="preserve"> </w:t>
      </w:r>
      <w:proofErr w:type="spellStart"/>
      <w:r w:rsidRPr="0049454B">
        <w:t>Treaty</w:t>
      </w:r>
      <w:proofErr w:type="spellEnd"/>
      <w:r w:rsidRPr="0049454B">
        <w:t xml:space="preserve"> and Article 14 of the </w:t>
      </w:r>
      <w:proofErr w:type="spellStart"/>
      <w:r w:rsidRPr="0049454B">
        <w:t>Environmental</w:t>
      </w:r>
      <w:proofErr w:type="spellEnd"/>
      <w:r w:rsidRPr="0049454B">
        <w:t xml:space="preserve"> Protocol, </w:t>
      </w:r>
      <w:proofErr w:type="spellStart"/>
      <w:r w:rsidRPr="0049454B">
        <w:t>February</w:t>
      </w:r>
      <w:proofErr w:type="spellEnd"/>
      <w:r w:rsidRPr="0049454B">
        <w:t xml:space="preserve"> 2018, ATCM 41</w:t>
      </w:r>
      <w:r>
        <w:t xml:space="preserve">. Voir spécifiquement les pp. 4 et 5 comprenant une carte de la zone. </w:t>
      </w:r>
      <w:r w:rsidRPr="002C4131">
        <w:t>Les exemples pourraient être multipliés ; par exemple, en 2015, l</w:t>
      </w:r>
      <w:r>
        <w:t>’</w:t>
      </w:r>
      <w:r w:rsidRPr="002C4131">
        <w:t xml:space="preserve">équipe britannique et tchèque a visité, </w:t>
      </w:r>
      <w:r>
        <w:t>« </w:t>
      </w:r>
      <w:proofErr w:type="spellStart"/>
      <w:r w:rsidRPr="002C4131">
        <w:t>between</w:t>
      </w:r>
      <w:proofErr w:type="spellEnd"/>
      <w:r w:rsidRPr="002C4131">
        <w:t xml:space="preserve"> 31 </w:t>
      </w:r>
      <w:proofErr w:type="spellStart"/>
      <w:r w:rsidRPr="002C4131">
        <w:t>December</w:t>
      </w:r>
      <w:proofErr w:type="spellEnd"/>
      <w:r w:rsidRPr="002C4131">
        <w:t xml:space="preserve"> 2014 and 12 </w:t>
      </w:r>
      <w:proofErr w:type="spellStart"/>
      <w:r w:rsidRPr="002C4131">
        <w:t>January</w:t>
      </w:r>
      <w:proofErr w:type="spellEnd"/>
      <w:r w:rsidRPr="002C4131">
        <w:t xml:space="preserve"> 2015 and inspections </w:t>
      </w:r>
      <w:proofErr w:type="spellStart"/>
      <w:r w:rsidRPr="002C4131">
        <w:t>were</w:t>
      </w:r>
      <w:proofErr w:type="spellEnd"/>
      <w:r w:rsidRPr="002C4131">
        <w:t xml:space="preserve"> made of six permanent </w:t>
      </w:r>
      <w:proofErr w:type="spellStart"/>
      <w:r w:rsidRPr="002C4131">
        <w:t>research</w:t>
      </w:r>
      <w:proofErr w:type="spellEnd"/>
      <w:r w:rsidRPr="002C4131">
        <w:t xml:space="preserve"> stations; six </w:t>
      </w:r>
      <w:proofErr w:type="spellStart"/>
      <w:r w:rsidRPr="002C4131">
        <w:t>summer-only</w:t>
      </w:r>
      <w:proofErr w:type="spellEnd"/>
      <w:r w:rsidRPr="002C4131">
        <w:t xml:space="preserve"> </w:t>
      </w:r>
      <w:proofErr w:type="spellStart"/>
      <w:r w:rsidRPr="002C4131">
        <w:t>research</w:t>
      </w:r>
      <w:proofErr w:type="spellEnd"/>
      <w:r w:rsidRPr="002C4131">
        <w:t xml:space="preserve"> stations; one non-</w:t>
      </w:r>
      <w:proofErr w:type="spellStart"/>
      <w:r w:rsidRPr="002C4131">
        <w:t>governmental</w:t>
      </w:r>
      <w:proofErr w:type="spellEnd"/>
      <w:r w:rsidRPr="002C4131">
        <w:t xml:space="preserve"> </w:t>
      </w:r>
      <w:proofErr w:type="spellStart"/>
      <w:r w:rsidRPr="002C4131">
        <w:t>facility</w:t>
      </w:r>
      <w:proofErr w:type="spellEnd"/>
      <w:r w:rsidRPr="002C4131">
        <w:t xml:space="preserve">; one refuge; six </w:t>
      </w:r>
      <w:proofErr w:type="spellStart"/>
      <w:r w:rsidRPr="002C4131">
        <w:t>cruise</w:t>
      </w:r>
      <w:proofErr w:type="spellEnd"/>
      <w:r w:rsidRPr="002C4131">
        <w:t xml:space="preserve"> </w:t>
      </w:r>
      <w:proofErr w:type="spellStart"/>
      <w:r w:rsidRPr="002C4131">
        <w:t>ships</w:t>
      </w:r>
      <w:proofErr w:type="spellEnd"/>
      <w:r w:rsidRPr="002C4131">
        <w:t xml:space="preserve"> and five yachts</w:t>
      </w:r>
      <w:r>
        <w:t xml:space="preserve"> » </w:t>
      </w:r>
      <w:r w:rsidRPr="002C4131">
        <w:t xml:space="preserve">(Report of the </w:t>
      </w:r>
      <w:proofErr w:type="spellStart"/>
      <w:r w:rsidRPr="002C4131">
        <w:t>Antarctic</w:t>
      </w:r>
      <w:proofErr w:type="spellEnd"/>
      <w:r w:rsidRPr="002C4131">
        <w:t xml:space="preserve"> </w:t>
      </w:r>
      <w:proofErr w:type="spellStart"/>
      <w:r w:rsidRPr="002C4131">
        <w:t>Treaty</w:t>
      </w:r>
      <w:proofErr w:type="spellEnd"/>
      <w:r w:rsidRPr="002C4131">
        <w:t xml:space="preserve"> Inspections </w:t>
      </w:r>
      <w:proofErr w:type="spellStart"/>
      <w:r w:rsidRPr="002C4131">
        <w:t>undertaken</w:t>
      </w:r>
      <w:proofErr w:type="spellEnd"/>
      <w:r w:rsidRPr="002C4131">
        <w:t xml:space="preserve"> </w:t>
      </w:r>
      <w:proofErr w:type="spellStart"/>
      <w:r w:rsidRPr="002C4131">
        <w:t>jointly</w:t>
      </w:r>
      <w:proofErr w:type="spellEnd"/>
      <w:r w:rsidRPr="002C4131">
        <w:t xml:space="preserve"> by the United </w:t>
      </w:r>
      <w:proofErr w:type="spellStart"/>
      <w:r w:rsidRPr="002C4131">
        <w:t>Kingdom</w:t>
      </w:r>
      <w:proofErr w:type="spellEnd"/>
      <w:r w:rsidRPr="002C4131">
        <w:t xml:space="preserve"> and the </w:t>
      </w:r>
      <w:proofErr w:type="spellStart"/>
      <w:r w:rsidRPr="002C4131">
        <w:t>Czech</w:t>
      </w:r>
      <w:proofErr w:type="spellEnd"/>
      <w:r w:rsidRPr="002C4131">
        <w:t xml:space="preserve"> </w:t>
      </w:r>
      <w:proofErr w:type="spellStart"/>
      <w:r w:rsidRPr="002C4131">
        <w:t>Republic</w:t>
      </w:r>
      <w:proofErr w:type="spellEnd"/>
      <w:r w:rsidRPr="002C4131">
        <w:t xml:space="preserve"> in accordance </w:t>
      </w:r>
      <w:proofErr w:type="spellStart"/>
      <w:r w:rsidRPr="002C4131">
        <w:t>with</w:t>
      </w:r>
      <w:proofErr w:type="spellEnd"/>
      <w:r w:rsidRPr="002C4131">
        <w:t xml:space="preserve"> Article VII of the </w:t>
      </w:r>
      <w:proofErr w:type="spellStart"/>
      <w:r w:rsidRPr="002C4131">
        <w:t>Antarctic</w:t>
      </w:r>
      <w:proofErr w:type="spellEnd"/>
      <w:r w:rsidRPr="002C4131">
        <w:t xml:space="preserve"> </w:t>
      </w:r>
      <w:proofErr w:type="spellStart"/>
      <w:r w:rsidRPr="002C4131">
        <w:t>Treaty</w:t>
      </w:r>
      <w:proofErr w:type="spellEnd"/>
      <w:r w:rsidRPr="002C4131">
        <w:t xml:space="preserve"> and Article 14 of the </w:t>
      </w:r>
      <w:proofErr w:type="spellStart"/>
      <w:r w:rsidRPr="002C4131">
        <w:t>Environmental</w:t>
      </w:r>
      <w:proofErr w:type="spellEnd"/>
      <w:r w:rsidRPr="002C4131">
        <w:t xml:space="preserve"> Protocol, May 2015, ATCM 38</w:t>
      </w:r>
      <w:r>
        <w:t xml:space="preserve">, </w:t>
      </w:r>
      <w:r w:rsidRPr="002C4131">
        <w:t>p. 6).</w:t>
      </w:r>
    </w:p>
  </w:footnote>
  <w:footnote w:id="60">
    <w:p w14:paraId="4560176F" w14:textId="77777777" w:rsidR="00AD3281" w:rsidRPr="004551A5" w:rsidRDefault="00AD3281">
      <w:pPr>
        <w:pStyle w:val="Notedebasdepage"/>
      </w:pPr>
      <w:r>
        <w:rPr>
          <w:rStyle w:val="Appelnotedebasdep"/>
        </w:rPr>
        <w:footnoteRef/>
      </w:r>
      <w:r>
        <w:t xml:space="preserve"> </w:t>
      </w:r>
      <w:r w:rsidRPr="0049454B">
        <w:t xml:space="preserve">Report of the </w:t>
      </w:r>
      <w:proofErr w:type="spellStart"/>
      <w:r w:rsidRPr="0049454B">
        <w:t>Norwegian</w:t>
      </w:r>
      <w:proofErr w:type="spellEnd"/>
      <w:r w:rsidRPr="0049454B">
        <w:t xml:space="preserve"> </w:t>
      </w:r>
      <w:proofErr w:type="spellStart"/>
      <w:r w:rsidRPr="0049454B">
        <w:t>Antarctic</w:t>
      </w:r>
      <w:proofErr w:type="spellEnd"/>
      <w:r w:rsidRPr="0049454B">
        <w:t xml:space="preserve"> Inspection </w:t>
      </w:r>
      <w:proofErr w:type="spellStart"/>
      <w:r w:rsidRPr="0049454B">
        <w:t>under</w:t>
      </w:r>
      <w:proofErr w:type="spellEnd"/>
      <w:r w:rsidRPr="0049454B">
        <w:t xml:space="preserve"> Article VII of the </w:t>
      </w:r>
      <w:proofErr w:type="spellStart"/>
      <w:r w:rsidRPr="0049454B">
        <w:t>Antarctic</w:t>
      </w:r>
      <w:proofErr w:type="spellEnd"/>
      <w:r w:rsidRPr="0049454B">
        <w:t xml:space="preserve"> </w:t>
      </w:r>
      <w:proofErr w:type="spellStart"/>
      <w:r w:rsidRPr="0049454B">
        <w:t>Treaty</w:t>
      </w:r>
      <w:proofErr w:type="spellEnd"/>
      <w:r w:rsidRPr="0049454B">
        <w:t xml:space="preserve"> and Article 14 of the </w:t>
      </w:r>
      <w:proofErr w:type="spellStart"/>
      <w:r w:rsidRPr="0049454B">
        <w:t>Environmental</w:t>
      </w:r>
      <w:proofErr w:type="spellEnd"/>
      <w:r w:rsidRPr="0049454B">
        <w:t xml:space="preserve"> Protocol, </w:t>
      </w:r>
      <w:proofErr w:type="spellStart"/>
      <w:r w:rsidRPr="0049454B">
        <w:t>February</w:t>
      </w:r>
      <w:proofErr w:type="spellEnd"/>
      <w:r w:rsidRPr="0049454B">
        <w:t xml:space="preserve"> 2018, ATCM 41</w:t>
      </w:r>
      <w:r>
        <w:t>, p. 5.</w:t>
      </w:r>
    </w:p>
  </w:footnote>
  <w:footnote w:id="61">
    <w:p w14:paraId="126FCDA7" w14:textId="77777777" w:rsidR="00AD3281" w:rsidRPr="001A1849" w:rsidRDefault="00AD3281">
      <w:pPr>
        <w:pStyle w:val="Notedebasdepage"/>
      </w:pPr>
      <w:r>
        <w:rPr>
          <w:rStyle w:val="Appelnotedebasdep"/>
        </w:rPr>
        <w:footnoteRef/>
      </w:r>
      <w:r>
        <w:t xml:space="preserve"> </w:t>
      </w:r>
      <w:r>
        <w:rPr>
          <w:i/>
          <w:iCs/>
        </w:rPr>
        <w:t>Ibid.</w:t>
      </w:r>
      <w:r>
        <w:t>, p. 23. Par comparaison, la précédente visite de cette station avait duré de 9h à 16h, l’équipe d’inspection étant même arrivée la veille au soir (</w:t>
      </w:r>
      <w:proofErr w:type="spellStart"/>
      <w:r w:rsidRPr="001F3137">
        <w:t>German</w:t>
      </w:r>
      <w:proofErr w:type="spellEnd"/>
      <w:r w:rsidRPr="001F3137">
        <w:t xml:space="preserve">-South </w:t>
      </w:r>
      <w:proofErr w:type="spellStart"/>
      <w:r w:rsidRPr="001F3137">
        <w:t>African</w:t>
      </w:r>
      <w:proofErr w:type="spellEnd"/>
      <w:r w:rsidRPr="001F3137">
        <w:t xml:space="preserve"> Report of Inspections </w:t>
      </w:r>
      <w:proofErr w:type="spellStart"/>
      <w:r w:rsidRPr="001F3137">
        <w:t>under</w:t>
      </w:r>
      <w:proofErr w:type="spellEnd"/>
      <w:r w:rsidRPr="001F3137">
        <w:t xml:space="preserve"> Article VII of the </w:t>
      </w:r>
      <w:proofErr w:type="spellStart"/>
      <w:r w:rsidRPr="001F3137">
        <w:t>Antarctic</w:t>
      </w:r>
      <w:proofErr w:type="spellEnd"/>
      <w:r w:rsidRPr="001F3137">
        <w:t xml:space="preserve"> </w:t>
      </w:r>
      <w:proofErr w:type="spellStart"/>
      <w:r w:rsidRPr="001F3137">
        <w:t>Treaty</w:t>
      </w:r>
      <w:proofErr w:type="spellEnd"/>
      <w:r w:rsidRPr="001F3137">
        <w:t xml:space="preserve"> and Article 14 of the Protocol on </w:t>
      </w:r>
      <w:proofErr w:type="spellStart"/>
      <w:r w:rsidRPr="001F3137">
        <w:t>Environmental</w:t>
      </w:r>
      <w:proofErr w:type="spellEnd"/>
      <w:r w:rsidRPr="001F3137">
        <w:t xml:space="preserve"> Protection, </w:t>
      </w:r>
      <w:proofErr w:type="spellStart"/>
      <w:r w:rsidRPr="001F3137">
        <w:t>January</w:t>
      </w:r>
      <w:proofErr w:type="spellEnd"/>
      <w:r w:rsidRPr="001F3137">
        <w:t xml:space="preserve"> 2013, ATCM 36, </w:t>
      </w:r>
      <w:r>
        <w:t>p. 17).</w:t>
      </w:r>
    </w:p>
  </w:footnote>
  <w:footnote w:id="62">
    <w:p w14:paraId="6631285A" w14:textId="77777777" w:rsidR="00AD3281" w:rsidRPr="00A35F91" w:rsidRDefault="00AD3281">
      <w:pPr>
        <w:pStyle w:val="Notedebasdepage"/>
      </w:pPr>
      <w:r>
        <w:rPr>
          <w:rStyle w:val="Appelnotedebasdep"/>
        </w:rPr>
        <w:footnoteRef/>
      </w:r>
      <w:r>
        <w:t xml:space="preserve"> </w:t>
      </w:r>
      <w:r>
        <w:rPr>
          <w:i/>
          <w:iCs/>
        </w:rPr>
        <w:t>Ibid</w:t>
      </w:r>
      <w:r>
        <w:t>., p. 32.</w:t>
      </w:r>
    </w:p>
  </w:footnote>
  <w:footnote w:id="63">
    <w:p w14:paraId="06E5F6BD" w14:textId="77777777" w:rsidR="00AD3281" w:rsidRDefault="00AD3281">
      <w:pPr>
        <w:pStyle w:val="Notedebasdepage"/>
      </w:pPr>
      <w:r>
        <w:rPr>
          <w:rStyle w:val="Appelnotedebasdep"/>
        </w:rPr>
        <w:footnoteRef/>
      </w:r>
      <w:r>
        <w:t> Voir l’édifiant récit p. 29 : « </w:t>
      </w:r>
      <w:r w:rsidRPr="00893D9B">
        <w:t xml:space="preserve">At the point of </w:t>
      </w:r>
      <w:proofErr w:type="spellStart"/>
      <w:r w:rsidRPr="00893D9B">
        <w:t>departure</w:t>
      </w:r>
      <w:proofErr w:type="spellEnd"/>
      <w:r w:rsidRPr="00893D9B">
        <w:t xml:space="preserve"> for </w:t>
      </w:r>
      <w:proofErr w:type="spellStart"/>
      <w:r w:rsidRPr="00893D9B">
        <w:t>Perseus</w:t>
      </w:r>
      <w:proofErr w:type="spellEnd"/>
      <w:r w:rsidRPr="00893D9B">
        <w:t xml:space="preserve">, the inspection </w:t>
      </w:r>
      <w:proofErr w:type="spellStart"/>
      <w:r w:rsidRPr="00893D9B">
        <w:t>team</w:t>
      </w:r>
      <w:r>
        <w:t>’</w:t>
      </w:r>
      <w:r w:rsidRPr="00893D9B">
        <w:t>s</w:t>
      </w:r>
      <w:proofErr w:type="spellEnd"/>
      <w:r w:rsidRPr="00893D9B">
        <w:t xml:space="preserve"> pilot </w:t>
      </w:r>
      <w:proofErr w:type="spellStart"/>
      <w:r w:rsidRPr="00893D9B">
        <w:t>contacted</w:t>
      </w:r>
      <w:proofErr w:type="spellEnd"/>
      <w:r w:rsidRPr="00893D9B">
        <w:t xml:space="preserve"> the flight </w:t>
      </w:r>
      <w:proofErr w:type="spellStart"/>
      <w:r w:rsidRPr="00893D9B">
        <w:t>operator</w:t>
      </w:r>
      <w:proofErr w:type="spellEnd"/>
      <w:r w:rsidRPr="00893D9B">
        <w:t xml:space="preserve"> at Novo </w:t>
      </w:r>
      <w:proofErr w:type="spellStart"/>
      <w:r w:rsidRPr="00893D9B">
        <w:t>airbase</w:t>
      </w:r>
      <w:proofErr w:type="spellEnd"/>
      <w:r w:rsidRPr="00893D9B">
        <w:t xml:space="preserve"> radio in </w:t>
      </w:r>
      <w:proofErr w:type="spellStart"/>
      <w:r w:rsidRPr="00893D9B">
        <w:t>order</w:t>
      </w:r>
      <w:proofErr w:type="spellEnd"/>
      <w:r w:rsidRPr="00893D9B">
        <w:t xml:space="preserve"> to </w:t>
      </w:r>
      <w:proofErr w:type="spellStart"/>
      <w:r w:rsidRPr="00893D9B">
        <w:t>get</w:t>
      </w:r>
      <w:proofErr w:type="spellEnd"/>
      <w:r w:rsidRPr="00893D9B">
        <w:t xml:space="preserve"> a clearance for landing at Perseus. The flight </w:t>
      </w:r>
      <w:proofErr w:type="spellStart"/>
      <w:r w:rsidRPr="00893D9B">
        <w:t>operator</w:t>
      </w:r>
      <w:proofErr w:type="spellEnd"/>
      <w:r w:rsidRPr="00893D9B">
        <w:t xml:space="preserve"> </w:t>
      </w:r>
      <w:proofErr w:type="spellStart"/>
      <w:r w:rsidRPr="00893D9B">
        <w:t>stated</w:t>
      </w:r>
      <w:proofErr w:type="spellEnd"/>
      <w:r w:rsidRPr="00893D9B">
        <w:t xml:space="preserve"> </w:t>
      </w:r>
      <w:proofErr w:type="spellStart"/>
      <w:r w:rsidRPr="00893D9B">
        <w:t>that</w:t>
      </w:r>
      <w:proofErr w:type="spellEnd"/>
      <w:r w:rsidRPr="00893D9B">
        <w:t xml:space="preserve"> the inspection </w:t>
      </w:r>
      <w:proofErr w:type="spellStart"/>
      <w:r w:rsidRPr="00893D9B">
        <w:t>team</w:t>
      </w:r>
      <w:r>
        <w:t>’</w:t>
      </w:r>
      <w:r w:rsidRPr="00893D9B">
        <w:t>s</w:t>
      </w:r>
      <w:proofErr w:type="spellEnd"/>
      <w:r w:rsidRPr="00893D9B">
        <w:t xml:space="preserve"> </w:t>
      </w:r>
      <w:proofErr w:type="spellStart"/>
      <w:r w:rsidRPr="00893D9B">
        <w:t>aircraft</w:t>
      </w:r>
      <w:proofErr w:type="spellEnd"/>
      <w:r w:rsidRPr="00893D9B">
        <w:t xml:space="preserve"> – a non-</w:t>
      </w:r>
      <w:proofErr w:type="spellStart"/>
      <w:r w:rsidRPr="00893D9B">
        <w:t>scheduled</w:t>
      </w:r>
      <w:proofErr w:type="spellEnd"/>
      <w:r w:rsidRPr="00893D9B">
        <w:t xml:space="preserve"> flight – </w:t>
      </w:r>
      <w:proofErr w:type="spellStart"/>
      <w:r w:rsidRPr="00893D9B">
        <w:t>should</w:t>
      </w:r>
      <w:proofErr w:type="spellEnd"/>
      <w:r w:rsidRPr="00893D9B">
        <w:t xml:space="preserve"> not land on Perseus due to an </w:t>
      </w:r>
      <w:proofErr w:type="spellStart"/>
      <w:r w:rsidRPr="00893D9B">
        <w:t>incoming</w:t>
      </w:r>
      <w:proofErr w:type="spellEnd"/>
      <w:r w:rsidRPr="00893D9B">
        <w:t xml:space="preserve"> </w:t>
      </w:r>
      <w:proofErr w:type="spellStart"/>
      <w:r w:rsidRPr="00893D9B">
        <w:t>Ilyushin</w:t>
      </w:r>
      <w:proofErr w:type="spellEnd"/>
      <w:r w:rsidRPr="00893D9B">
        <w:t xml:space="preserve">. In consultation </w:t>
      </w:r>
      <w:proofErr w:type="spellStart"/>
      <w:r w:rsidRPr="00893D9B">
        <w:t>with</w:t>
      </w:r>
      <w:proofErr w:type="spellEnd"/>
      <w:r w:rsidRPr="00893D9B">
        <w:t xml:space="preserve"> the ALCI </w:t>
      </w:r>
      <w:proofErr w:type="spellStart"/>
      <w:r w:rsidRPr="00893D9B">
        <w:t>director</w:t>
      </w:r>
      <w:proofErr w:type="spellEnd"/>
      <w:r w:rsidRPr="00893D9B">
        <w:t xml:space="preserve">, the team </w:t>
      </w:r>
      <w:proofErr w:type="spellStart"/>
      <w:r w:rsidRPr="00893D9B">
        <w:t>decided</w:t>
      </w:r>
      <w:proofErr w:type="spellEnd"/>
      <w:r w:rsidRPr="00893D9B">
        <w:t xml:space="preserve"> to </w:t>
      </w:r>
      <w:proofErr w:type="spellStart"/>
      <w:r w:rsidRPr="00893D9B">
        <w:t>wait</w:t>
      </w:r>
      <w:proofErr w:type="spellEnd"/>
      <w:r w:rsidRPr="00893D9B">
        <w:t xml:space="preserve"> </w:t>
      </w:r>
      <w:proofErr w:type="spellStart"/>
      <w:r w:rsidRPr="00893D9B">
        <w:t>until</w:t>
      </w:r>
      <w:proofErr w:type="spellEnd"/>
      <w:r w:rsidRPr="00893D9B">
        <w:t xml:space="preserve"> the </w:t>
      </w:r>
      <w:proofErr w:type="spellStart"/>
      <w:r w:rsidRPr="00893D9B">
        <w:t>Ilyushin</w:t>
      </w:r>
      <w:proofErr w:type="spellEnd"/>
      <w:r w:rsidRPr="00893D9B">
        <w:t xml:space="preserve"> </w:t>
      </w:r>
      <w:proofErr w:type="spellStart"/>
      <w:r w:rsidRPr="00893D9B">
        <w:t>had</w:t>
      </w:r>
      <w:proofErr w:type="spellEnd"/>
      <w:r w:rsidRPr="00893D9B">
        <w:t xml:space="preserve"> </w:t>
      </w:r>
      <w:proofErr w:type="spellStart"/>
      <w:r w:rsidRPr="00893D9B">
        <w:t>landed</w:t>
      </w:r>
      <w:proofErr w:type="spellEnd"/>
      <w:r w:rsidRPr="00893D9B">
        <w:t xml:space="preserve"> and to </w:t>
      </w:r>
      <w:proofErr w:type="spellStart"/>
      <w:r w:rsidRPr="00893D9B">
        <w:t>then</w:t>
      </w:r>
      <w:proofErr w:type="spellEnd"/>
      <w:r w:rsidRPr="00893D9B">
        <w:t xml:space="preserve"> look at the </w:t>
      </w:r>
      <w:proofErr w:type="spellStart"/>
      <w:r w:rsidRPr="00893D9B">
        <w:t>possibility</w:t>
      </w:r>
      <w:proofErr w:type="spellEnd"/>
      <w:r w:rsidRPr="00893D9B">
        <w:t xml:space="preserve"> to land if the pilots </w:t>
      </w:r>
      <w:proofErr w:type="spellStart"/>
      <w:r w:rsidRPr="00893D9B">
        <w:t>considered</w:t>
      </w:r>
      <w:proofErr w:type="spellEnd"/>
      <w:r w:rsidRPr="00893D9B">
        <w:t xml:space="preserve"> </w:t>
      </w:r>
      <w:proofErr w:type="spellStart"/>
      <w:r w:rsidRPr="00893D9B">
        <w:t>that</w:t>
      </w:r>
      <w:proofErr w:type="spellEnd"/>
      <w:r w:rsidRPr="00893D9B">
        <w:t xml:space="preserve"> </w:t>
      </w:r>
      <w:proofErr w:type="spellStart"/>
      <w:r w:rsidRPr="00893D9B">
        <w:t>that</w:t>
      </w:r>
      <w:proofErr w:type="spellEnd"/>
      <w:r w:rsidRPr="00893D9B">
        <w:t xml:space="preserve"> </w:t>
      </w:r>
      <w:proofErr w:type="spellStart"/>
      <w:r w:rsidRPr="00893D9B">
        <w:t>there</w:t>
      </w:r>
      <w:proofErr w:type="spellEnd"/>
      <w:r w:rsidRPr="00893D9B">
        <w:t xml:space="preserve"> </w:t>
      </w:r>
      <w:proofErr w:type="spellStart"/>
      <w:r w:rsidRPr="00893D9B">
        <w:t>was</w:t>
      </w:r>
      <w:proofErr w:type="spellEnd"/>
      <w:r w:rsidRPr="00893D9B">
        <w:t xml:space="preserve"> </w:t>
      </w:r>
      <w:proofErr w:type="spellStart"/>
      <w:r w:rsidRPr="00893D9B">
        <w:t>enough</w:t>
      </w:r>
      <w:proofErr w:type="spellEnd"/>
      <w:r w:rsidRPr="00893D9B">
        <w:t xml:space="preserve"> </w:t>
      </w:r>
      <w:proofErr w:type="spellStart"/>
      <w:r w:rsidRPr="00893D9B">
        <w:t>space</w:t>
      </w:r>
      <w:proofErr w:type="spellEnd"/>
      <w:r w:rsidRPr="00893D9B">
        <w:t xml:space="preserve">, </w:t>
      </w:r>
      <w:proofErr w:type="spellStart"/>
      <w:r w:rsidRPr="00893D9B">
        <w:t>given</w:t>
      </w:r>
      <w:proofErr w:type="spellEnd"/>
      <w:r w:rsidRPr="00893D9B">
        <w:t xml:space="preserve"> </w:t>
      </w:r>
      <w:proofErr w:type="spellStart"/>
      <w:r w:rsidRPr="00893D9B">
        <w:t>that</w:t>
      </w:r>
      <w:proofErr w:type="spellEnd"/>
      <w:r w:rsidRPr="00893D9B">
        <w:t xml:space="preserve"> the </w:t>
      </w:r>
      <w:proofErr w:type="spellStart"/>
      <w:r w:rsidRPr="00893D9B">
        <w:t>there</w:t>
      </w:r>
      <w:proofErr w:type="spellEnd"/>
      <w:r w:rsidRPr="00893D9B">
        <w:t xml:space="preserve"> </w:t>
      </w:r>
      <w:proofErr w:type="spellStart"/>
      <w:r w:rsidRPr="00893D9B">
        <w:t>was</w:t>
      </w:r>
      <w:proofErr w:type="spellEnd"/>
      <w:r w:rsidRPr="00893D9B">
        <w:t xml:space="preserve"> an </w:t>
      </w:r>
      <w:proofErr w:type="spellStart"/>
      <w:r w:rsidRPr="00893D9B">
        <w:t>Ilyushin</w:t>
      </w:r>
      <w:proofErr w:type="spellEnd"/>
      <w:r w:rsidRPr="00893D9B">
        <w:t xml:space="preserve"> on the </w:t>
      </w:r>
      <w:proofErr w:type="spellStart"/>
      <w:r w:rsidRPr="00893D9B">
        <w:t>runway</w:t>
      </w:r>
      <w:proofErr w:type="spellEnd"/>
      <w:r w:rsidRPr="00893D9B">
        <w:t xml:space="preserve">. The inspection </w:t>
      </w:r>
      <w:proofErr w:type="spellStart"/>
      <w:r w:rsidRPr="00893D9B">
        <w:t>team</w:t>
      </w:r>
      <w:r>
        <w:t>’</w:t>
      </w:r>
      <w:r w:rsidRPr="00893D9B">
        <w:t>s</w:t>
      </w:r>
      <w:proofErr w:type="spellEnd"/>
      <w:r w:rsidRPr="00893D9B">
        <w:t xml:space="preserve"> plane </w:t>
      </w:r>
      <w:proofErr w:type="spellStart"/>
      <w:r w:rsidRPr="00893D9B">
        <w:t>flew</w:t>
      </w:r>
      <w:proofErr w:type="spellEnd"/>
      <w:r w:rsidRPr="00893D9B">
        <w:t xml:space="preserve"> over Perseus at </w:t>
      </w:r>
      <w:proofErr w:type="gramStart"/>
      <w:r w:rsidRPr="00893D9B">
        <w:t>18:</w:t>
      </w:r>
      <w:proofErr w:type="gramEnd"/>
      <w:r w:rsidRPr="00893D9B">
        <w:t xml:space="preserve">30. The </w:t>
      </w:r>
      <w:proofErr w:type="spellStart"/>
      <w:r w:rsidRPr="00893D9B">
        <w:t>Ilyushin</w:t>
      </w:r>
      <w:proofErr w:type="spellEnd"/>
      <w:r w:rsidRPr="00893D9B">
        <w:t xml:space="preserve"> </w:t>
      </w:r>
      <w:proofErr w:type="spellStart"/>
      <w:r w:rsidRPr="00893D9B">
        <w:t>was</w:t>
      </w:r>
      <w:proofErr w:type="spellEnd"/>
      <w:r w:rsidRPr="00893D9B">
        <w:t xml:space="preserve"> </w:t>
      </w:r>
      <w:proofErr w:type="spellStart"/>
      <w:r w:rsidRPr="00893D9B">
        <w:t>parked</w:t>
      </w:r>
      <w:proofErr w:type="spellEnd"/>
      <w:r w:rsidRPr="00893D9B">
        <w:t xml:space="preserve"> in the middle of the </w:t>
      </w:r>
      <w:proofErr w:type="spellStart"/>
      <w:r w:rsidRPr="00893D9B">
        <w:t>runway</w:t>
      </w:r>
      <w:proofErr w:type="spellEnd"/>
      <w:r w:rsidRPr="00893D9B">
        <w:t xml:space="preserve">, and the pilot </w:t>
      </w:r>
      <w:proofErr w:type="spellStart"/>
      <w:r w:rsidRPr="00893D9B">
        <w:t>decided</w:t>
      </w:r>
      <w:proofErr w:type="spellEnd"/>
      <w:r w:rsidRPr="00893D9B">
        <w:t xml:space="preserve"> to not land. The inspection </w:t>
      </w:r>
      <w:proofErr w:type="spellStart"/>
      <w:r w:rsidRPr="00893D9B">
        <w:t>was</w:t>
      </w:r>
      <w:proofErr w:type="spellEnd"/>
      <w:r w:rsidRPr="00893D9B">
        <w:t xml:space="preserve"> </w:t>
      </w:r>
      <w:proofErr w:type="spellStart"/>
      <w:r w:rsidRPr="00893D9B">
        <w:t>carried</w:t>
      </w:r>
      <w:proofErr w:type="spellEnd"/>
      <w:r w:rsidRPr="00893D9B">
        <w:t xml:space="preserve"> out as an </w:t>
      </w:r>
      <w:proofErr w:type="spellStart"/>
      <w:r w:rsidRPr="00893D9B">
        <w:t>overflight</w:t>
      </w:r>
      <w:proofErr w:type="spellEnd"/>
      <w:r w:rsidRPr="00893D9B">
        <w:t xml:space="preserve"> inspection (</w:t>
      </w:r>
      <w:proofErr w:type="spellStart"/>
      <w:r w:rsidRPr="00893D9B">
        <w:t>ref</w:t>
      </w:r>
      <w:proofErr w:type="spellEnd"/>
      <w:r w:rsidRPr="00893D9B">
        <w:t xml:space="preserve">. </w:t>
      </w:r>
      <w:proofErr w:type="spellStart"/>
      <w:r w:rsidRPr="00893D9B">
        <w:t>Antarctic</w:t>
      </w:r>
      <w:proofErr w:type="spellEnd"/>
      <w:r w:rsidRPr="00893D9B">
        <w:t xml:space="preserve"> </w:t>
      </w:r>
      <w:proofErr w:type="spellStart"/>
      <w:r w:rsidRPr="00893D9B">
        <w:t>Treaty</w:t>
      </w:r>
      <w:proofErr w:type="spellEnd"/>
      <w:r w:rsidRPr="00893D9B">
        <w:t xml:space="preserve"> art. VII, </w:t>
      </w:r>
      <w:proofErr w:type="spellStart"/>
      <w:r w:rsidRPr="00893D9B">
        <w:t>which</w:t>
      </w:r>
      <w:proofErr w:type="spellEnd"/>
      <w:r w:rsidRPr="00893D9B">
        <w:t xml:space="preserve"> </w:t>
      </w:r>
      <w:proofErr w:type="spellStart"/>
      <w:r w:rsidRPr="00893D9B">
        <w:t>allows</w:t>
      </w:r>
      <w:proofErr w:type="spellEnd"/>
      <w:r w:rsidRPr="00893D9B">
        <w:t xml:space="preserve"> for </w:t>
      </w:r>
      <w:proofErr w:type="spellStart"/>
      <w:r w:rsidRPr="00893D9B">
        <w:t>aerial</w:t>
      </w:r>
      <w:proofErr w:type="spellEnd"/>
      <w:r w:rsidRPr="00893D9B">
        <w:t xml:space="preserve"> observations to </w:t>
      </w:r>
      <w:proofErr w:type="spellStart"/>
      <w:r w:rsidRPr="00893D9B">
        <w:t>be</w:t>
      </w:r>
      <w:proofErr w:type="spellEnd"/>
      <w:r w:rsidRPr="00893D9B">
        <w:t xml:space="preserve"> </w:t>
      </w:r>
      <w:proofErr w:type="spellStart"/>
      <w:r w:rsidRPr="00893D9B">
        <w:t>carried</w:t>
      </w:r>
      <w:proofErr w:type="spellEnd"/>
      <w:r w:rsidRPr="00893D9B">
        <w:t xml:space="preserve"> out at </w:t>
      </w:r>
      <w:proofErr w:type="spellStart"/>
      <w:r w:rsidRPr="00893D9B">
        <w:t>any</w:t>
      </w:r>
      <w:proofErr w:type="spellEnd"/>
      <w:r w:rsidRPr="00893D9B">
        <w:t xml:space="preserve"> time over </w:t>
      </w:r>
      <w:proofErr w:type="spellStart"/>
      <w:r w:rsidRPr="00893D9B">
        <w:t>any</w:t>
      </w:r>
      <w:proofErr w:type="spellEnd"/>
      <w:r w:rsidRPr="00893D9B">
        <w:t xml:space="preserve"> or all areas of </w:t>
      </w:r>
      <w:proofErr w:type="spellStart"/>
      <w:r w:rsidRPr="00893D9B">
        <w:t>Antarctica</w:t>
      </w:r>
      <w:proofErr w:type="spellEnd"/>
      <w:r w:rsidRPr="00893D9B">
        <w:t xml:space="preserve">). The plane </w:t>
      </w:r>
      <w:proofErr w:type="spellStart"/>
      <w:r w:rsidRPr="00893D9B">
        <w:t>circled</w:t>
      </w:r>
      <w:proofErr w:type="spellEnd"/>
      <w:r w:rsidRPr="00893D9B">
        <w:t xml:space="preserve"> </w:t>
      </w:r>
      <w:proofErr w:type="spellStart"/>
      <w:r w:rsidRPr="00893D9B">
        <w:t>three</w:t>
      </w:r>
      <w:proofErr w:type="spellEnd"/>
      <w:r w:rsidRPr="00893D9B">
        <w:t xml:space="preserve"> times over the </w:t>
      </w:r>
      <w:proofErr w:type="spellStart"/>
      <w:r w:rsidRPr="00893D9B">
        <w:t>runway</w:t>
      </w:r>
      <w:proofErr w:type="spellEnd"/>
      <w:r w:rsidRPr="00893D9B">
        <w:t xml:space="preserve"> and </w:t>
      </w:r>
      <w:proofErr w:type="spellStart"/>
      <w:r w:rsidRPr="00893D9B">
        <w:t>then</w:t>
      </w:r>
      <w:proofErr w:type="spellEnd"/>
      <w:r w:rsidRPr="00893D9B">
        <w:t xml:space="preserve"> </w:t>
      </w:r>
      <w:proofErr w:type="spellStart"/>
      <w:r w:rsidRPr="00893D9B">
        <w:t>proceeded</w:t>
      </w:r>
      <w:proofErr w:type="spellEnd"/>
      <w:r w:rsidRPr="00893D9B">
        <w:t xml:space="preserve"> to Novo </w:t>
      </w:r>
      <w:proofErr w:type="spellStart"/>
      <w:r w:rsidRPr="00893D9B">
        <w:t>airbase</w:t>
      </w:r>
      <w:proofErr w:type="spellEnd"/>
      <w:r w:rsidRPr="00893D9B">
        <w:t xml:space="preserve">. The team </w:t>
      </w:r>
      <w:proofErr w:type="spellStart"/>
      <w:r w:rsidRPr="00893D9B">
        <w:t>had</w:t>
      </w:r>
      <w:proofErr w:type="spellEnd"/>
      <w:r w:rsidRPr="00893D9B">
        <w:t xml:space="preserve"> a chance to </w:t>
      </w:r>
      <w:proofErr w:type="spellStart"/>
      <w:r w:rsidRPr="00893D9B">
        <w:t>ask</w:t>
      </w:r>
      <w:proofErr w:type="spellEnd"/>
      <w:r w:rsidRPr="00893D9B">
        <w:t xml:space="preserve"> questions </w:t>
      </w:r>
      <w:proofErr w:type="spellStart"/>
      <w:r w:rsidRPr="00893D9B">
        <w:t>related</w:t>
      </w:r>
      <w:proofErr w:type="spellEnd"/>
      <w:r w:rsidRPr="00893D9B">
        <w:t xml:space="preserve"> to the </w:t>
      </w:r>
      <w:proofErr w:type="spellStart"/>
      <w:r w:rsidRPr="00893D9B">
        <w:t>operations</w:t>
      </w:r>
      <w:proofErr w:type="spellEnd"/>
      <w:r w:rsidRPr="00893D9B">
        <w:t xml:space="preserve"> at </w:t>
      </w:r>
      <w:proofErr w:type="spellStart"/>
      <w:r w:rsidRPr="00893D9B">
        <w:t>Perseus</w:t>
      </w:r>
      <w:proofErr w:type="spellEnd"/>
      <w:r w:rsidRPr="00893D9B">
        <w:t xml:space="preserve"> </w:t>
      </w:r>
      <w:proofErr w:type="spellStart"/>
      <w:r w:rsidRPr="00893D9B">
        <w:t>while</w:t>
      </w:r>
      <w:proofErr w:type="spellEnd"/>
      <w:r w:rsidRPr="00893D9B">
        <w:t xml:space="preserve"> </w:t>
      </w:r>
      <w:proofErr w:type="spellStart"/>
      <w:r w:rsidRPr="00893D9B">
        <w:t>conducting</w:t>
      </w:r>
      <w:proofErr w:type="spellEnd"/>
      <w:r w:rsidRPr="00893D9B">
        <w:t xml:space="preserve"> inspection at Novo. The </w:t>
      </w:r>
      <w:proofErr w:type="spellStart"/>
      <w:r w:rsidRPr="00893D9B">
        <w:t>following</w:t>
      </w:r>
      <w:proofErr w:type="spellEnd"/>
      <w:r w:rsidRPr="00893D9B">
        <w:t xml:space="preserve"> information and analyses are </w:t>
      </w:r>
      <w:proofErr w:type="spellStart"/>
      <w:r w:rsidRPr="00893D9B">
        <w:t>thus</w:t>
      </w:r>
      <w:proofErr w:type="spellEnd"/>
      <w:r w:rsidRPr="00893D9B">
        <w:t xml:space="preserve"> </w:t>
      </w:r>
      <w:proofErr w:type="spellStart"/>
      <w:r w:rsidRPr="00893D9B">
        <w:t>based</w:t>
      </w:r>
      <w:proofErr w:type="spellEnd"/>
      <w:r w:rsidRPr="00893D9B">
        <w:t xml:space="preserve"> on </w:t>
      </w:r>
      <w:proofErr w:type="spellStart"/>
      <w:r w:rsidRPr="00893D9B">
        <w:t>overflight</w:t>
      </w:r>
      <w:proofErr w:type="spellEnd"/>
      <w:r w:rsidRPr="00893D9B">
        <w:t xml:space="preserve"> </w:t>
      </w:r>
      <w:proofErr w:type="spellStart"/>
      <w:r w:rsidRPr="00893D9B">
        <w:t>sightings</w:t>
      </w:r>
      <w:proofErr w:type="spellEnd"/>
      <w:r w:rsidRPr="00893D9B">
        <w:t xml:space="preserve"> and interviews </w:t>
      </w:r>
      <w:proofErr w:type="spellStart"/>
      <w:r w:rsidRPr="00893D9B">
        <w:t>with</w:t>
      </w:r>
      <w:proofErr w:type="spellEnd"/>
      <w:r w:rsidRPr="00893D9B">
        <w:t xml:space="preserve"> ALCI personnel at Novo, as </w:t>
      </w:r>
      <w:proofErr w:type="spellStart"/>
      <w:r w:rsidRPr="00893D9B">
        <w:t>well</w:t>
      </w:r>
      <w:proofErr w:type="spellEnd"/>
      <w:r w:rsidRPr="00893D9B">
        <w:t xml:space="preserve"> as on the document </w:t>
      </w:r>
      <w:proofErr w:type="spellStart"/>
      <w:r w:rsidRPr="00893D9B">
        <w:t>Perseus</w:t>
      </w:r>
      <w:proofErr w:type="spellEnd"/>
      <w:r w:rsidRPr="00893D9B">
        <w:t xml:space="preserve"> Blue </w:t>
      </w:r>
      <w:proofErr w:type="spellStart"/>
      <w:r w:rsidRPr="00893D9B">
        <w:t>Ice</w:t>
      </w:r>
      <w:proofErr w:type="spellEnd"/>
      <w:r w:rsidRPr="00893D9B">
        <w:t xml:space="preserve"> </w:t>
      </w:r>
      <w:proofErr w:type="spellStart"/>
      <w:r w:rsidRPr="00893D9B">
        <w:t>Runway</w:t>
      </w:r>
      <w:proofErr w:type="spellEnd"/>
      <w:r w:rsidRPr="00893D9B">
        <w:t xml:space="preserve"> Initial </w:t>
      </w:r>
      <w:proofErr w:type="spellStart"/>
      <w:r w:rsidRPr="00893D9B">
        <w:t>Evaluation</w:t>
      </w:r>
      <w:proofErr w:type="spellEnd"/>
      <w:r w:rsidRPr="00893D9B">
        <w:t xml:space="preserve"> report, </w:t>
      </w:r>
      <w:proofErr w:type="spellStart"/>
      <w:r w:rsidRPr="00893D9B">
        <w:t>which</w:t>
      </w:r>
      <w:proofErr w:type="spellEnd"/>
      <w:r w:rsidRPr="00893D9B">
        <w:t xml:space="preserve"> </w:t>
      </w:r>
      <w:proofErr w:type="spellStart"/>
      <w:r w:rsidRPr="00893D9B">
        <w:t>was</w:t>
      </w:r>
      <w:proofErr w:type="spellEnd"/>
      <w:r w:rsidRPr="00893D9B">
        <w:t xml:space="preserve"> </w:t>
      </w:r>
      <w:proofErr w:type="spellStart"/>
      <w:r w:rsidRPr="00893D9B">
        <w:t>provided</w:t>
      </w:r>
      <w:proofErr w:type="spellEnd"/>
      <w:r w:rsidRPr="00893D9B">
        <w:t xml:space="preserve"> to the inspection team by the ALCI </w:t>
      </w:r>
      <w:proofErr w:type="spellStart"/>
      <w:r w:rsidRPr="00893D9B">
        <w:t>director</w:t>
      </w:r>
      <w:proofErr w:type="spellEnd"/>
      <w:r w:rsidRPr="00893D9B">
        <w:t xml:space="preserve"> </w:t>
      </w:r>
      <w:proofErr w:type="spellStart"/>
      <w:r w:rsidRPr="00893D9B">
        <w:t>after</w:t>
      </w:r>
      <w:proofErr w:type="spellEnd"/>
      <w:r w:rsidRPr="00893D9B">
        <w:t xml:space="preserve"> the inspection</w:t>
      </w:r>
      <w:r>
        <w:t> ».</w:t>
      </w:r>
    </w:p>
  </w:footnote>
  <w:footnote w:id="64">
    <w:p w14:paraId="3F3775AB" w14:textId="5ABDA773" w:rsidR="00AD3281" w:rsidRDefault="00AD3281">
      <w:pPr>
        <w:pStyle w:val="Notedebasdepage"/>
      </w:pPr>
      <w:r>
        <w:rPr>
          <w:rStyle w:val="Appelnotedebasdep"/>
        </w:rPr>
        <w:footnoteRef/>
      </w:r>
      <w:r>
        <w:t xml:space="preserve"> Traité précité note </w:t>
      </w:r>
      <w:r>
        <w:fldChar w:fldCharType="begin"/>
      </w:r>
      <w:r>
        <w:instrText xml:space="preserve"> NOTEREF _Ref522958281 \h </w:instrText>
      </w:r>
      <w:r>
        <w:fldChar w:fldCharType="separate"/>
      </w:r>
      <w:r w:rsidR="000E75EC">
        <w:t>2</w:t>
      </w:r>
      <w:r>
        <w:fldChar w:fldCharType="end"/>
      </w:r>
      <w:r>
        <w:t>, article 7, alinéa 4 : « [c]</w:t>
      </w:r>
      <w:proofErr w:type="spellStart"/>
      <w:r w:rsidRPr="0069110B">
        <w:t>hacune</w:t>
      </w:r>
      <w:proofErr w:type="spellEnd"/>
      <w:r w:rsidRPr="0069110B">
        <w:t xml:space="preserve"> des Parties Contractantes </w:t>
      </w:r>
      <w:proofErr w:type="spellStart"/>
      <w:r w:rsidRPr="0069110B">
        <w:t>habilitées</w:t>
      </w:r>
      <w:proofErr w:type="spellEnd"/>
      <w:r w:rsidRPr="0069110B">
        <w:t xml:space="preserve"> à </w:t>
      </w:r>
      <w:proofErr w:type="spellStart"/>
      <w:r w:rsidRPr="0069110B">
        <w:t>désigner</w:t>
      </w:r>
      <w:proofErr w:type="spellEnd"/>
      <w:r w:rsidRPr="0069110B">
        <w:t xml:space="preserve"> des observateurs peut effectuer à tout moment l</w:t>
      </w:r>
      <w:r>
        <w:t>’</w:t>
      </w:r>
      <w:r w:rsidRPr="0069110B">
        <w:t xml:space="preserve">inspection </w:t>
      </w:r>
      <w:proofErr w:type="spellStart"/>
      <w:r w:rsidRPr="0069110B">
        <w:t>aérienne</w:t>
      </w:r>
      <w:proofErr w:type="spellEnd"/>
      <w:r w:rsidRPr="0069110B">
        <w:t xml:space="preserve"> de l</w:t>
      </w:r>
      <w:r>
        <w:t>’</w:t>
      </w:r>
      <w:r w:rsidRPr="0069110B">
        <w:t xml:space="preserve">une ou de toutes les </w:t>
      </w:r>
      <w:proofErr w:type="spellStart"/>
      <w:r w:rsidRPr="0069110B">
        <w:t>régions</w:t>
      </w:r>
      <w:proofErr w:type="spellEnd"/>
      <w:r w:rsidRPr="0069110B">
        <w:t xml:space="preserve"> de l</w:t>
      </w:r>
      <w:r>
        <w:t>’</w:t>
      </w:r>
      <w:r w:rsidRPr="0069110B">
        <w:t>Antarctique</w:t>
      </w:r>
      <w:r>
        <w:t> ».</w:t>
      </w:r>
    </w:p>
  </w:footnote>
  <w:footnote w:id="65">
    <w:p w14:paraId="4DAA0620" w14:textId="77777777" w:rsidR="00AD3281" w:rsidRDefault="00AD3281">
      <w:pPr>
        <w:pStyle w:val="Notedebasdepage"/>
      </w:pPr>
      <w:r>
        <w:rPr>
          <w:rStyle w:val="Appelnotedebasdep"/>
        </w:rPr>
        <w:footnoteRef/>
      </w:r>
      <w:r>
        <w:t xml:space="preserve"> </w:t>
      </w:r>
      <w:r w:rsidRPr="00B766E2">
        <w:t xml:space="preserve">Checklist A. </w:t>
      </w:r>
      <w:proofErr w:type="spellStart"/>
      <w:r w:rsidRPr="00B766E2">
        <w:t>Antarctic</w:t>
      </w:r>
      <w:proofErr w:type="spellEnd"/>
      <w:r w:rsidRPr="00B766E2">
        <w:t xml:space="preserve"> Stations and </w:t>
      </w:r>
      <w:proofErr w:type="spellStart"/>
      <w:r w:rsidRPr="00B766E2">
        <w:t>Subsidiary</w:t>
      </w:r>
      <w:proofErr w:type="spellEnd"/>
      <w:r w:rsidRPr="00B766E2">
        <w:t xml:space="preserve"> Installations, </w:t>
      </w:r>
      <w:proofErr w:type="spellStart"/>
      <w:r w:rsidRPr="00B766E2">
        <w:t>Annex</w:t>
      </w:r>
      <w:proofErr w:type="spellEnd"/>
      <w:r w:rsidRPr="00B766E2">
        <w:t xml:space="preserve"> to the </w:t>
      </w:r>
      <w:proofErr w:type="spellStart"/>
      <w:r w:rsidRPr="00B766E2">
        <w:t>Resolution</w:t>
      </w:r>
      <w:proofErr w:type="spellEnd"/>
      <w:r w:rsidRPr="00B766E2">
        <w:t xml:space="preserve"> 3 (2010), RCTA XXXIII- CPE XIII Punta </w:t>
      </w:r>
      <w:proofErr w:type="spellStart"/>
      <w:r w:rsidRPr="00B766E2">
        <w:t>del</w:t>
      </w:r>
      <w:proofErr w:type="spellEnd"/>
      <w:r w:rsidRPr="00B766E2">
        <w:t xml:space="preserve"> Este.</w:t>
      </w:r>
    </w:p>
  </w:footnote>
  <w:footnote w:id="66">
    <w:p w14:paraId="17EA583F" w14:textId="4ADBA29E" w:rsidR="002150DD" w:rsidRPr="002150DD" w:rsidRDefault="002150DD">
      <w:pPr>
        <w:pStyle w:val="Notedebasdepage"/>
      </w:pPr>
      <w:r>
        <w:rPr>
          <w:rStyle w:val="Appelnotedebasdep"/>
        </w:rPr>
        <w:footnoteRef/>
      </w:r>
      <w:r>
        <w:t xml:space="preserve"> Voir </w:t>
      </w:r>
      <w:r>
        <w:rPr>
          <w:i/>
          <w:iCs/>
        </w:rPr>
        <w:t>supra</w:t>
      </w:r>
      <w:r>
        <w:t xml:space="preserve">, note </w:t>
      </w:r>
      <w:r>
        <w:fldChar w:fldCharType="begin"/>
      </w:r>
      <w:r>
        <w:instrText xml:space="preserve"> NOTEREF _Ref523051370 \h </w:instrText>
      </w:r>
      <w:r>
        <w:fldChar w:fldCharType="separate"/>
      </w:r>
      <w:r w:rsidR="000E75EC">
        <w:t>36</w:t>
      </w:r>
      <w:r>
        <w:fldChar w:fldCharType="end"/>
      </w:r>
      <w:r>
        <w:t>.</w:t>
      </w:r>
    </w:p>
  </w:footnote>
  <w:footnote w:id="67">
    <w:p w14:paraId="0EB9CDC6" w14:textId="77777777" w:rsidR="00AD3281" w:rsidRDefault="00AD3281">
      <w:pPr>
        <w:pStyle w:val="Notedebasdepage"/>
      </w:pPr>
      <w:r>
        <w:rPr>
          <w:rStyle w:val="Appelnotedebasdep"/>
        </w:rPr>
        <w:footnoteRef/>
      </w:r>
      <w:r>
        <w:t xml:space="preserve"> En la matière, depuis le début des années 1960, un système d’observation du respect de quotas est instauré, avec non des « inspecteurs » mais des « officiers » dont les missions sont proches. Voir, par exemple,</w:t>
      </w:r>
      <w:r w:rsidRPr="002966F6">
        <w:t xml:space="preserve"> Convention sur l</w:t>
      </w:r>
      <w:r>
        <w:t>’</w:t>
      </w:r>
      <w:r w:rsidRPr="002966F6">
        <w:t>exercice de la pêche dans l</w:t>
      </w:r>
      <w:r>
        <w:t>’</w:t>
      </w:r>
      <w:r w:rsidRPr="002966F6">
        <w:t>Atlantique Nord, Londres, 1</w:t>
      </w:r>
      <w:r w:rsidRPr="007D3952">
        <w:rPr>
          <w:vertAlign w:val="superscript"/>
        </w:rPr>
        <w:t>er</w:t>
      </w:r>
      <w:r w:rsidRPr="002966F6">
        <w:t xml:space="preserve"> juin 1967, article 9.</w:t>
      </w:r>
    </w:p>
  </w:footnote>
  <w:footnote w:id="68">
    <w:p w14:paraId="0917D7BC" w14:textId="77777777" w:rsidR="00AD3281" w:rsidRDefault="00AD3281">
      <w:pPr>
        <w:pStyle w:val="Notedebasdepage"/>
      </w:pPr>
      <w:r>
        <w:rPr>
          <w:rStyle w:val="Appelnotedebasdep"/>
        </w:rPr>
        <w:footnoteRef/>
      </w:r>
      <w:r>
        <w:t xml:space="preserve"> L’on pense ici à la </w:t>
      </w:r>
      <w:r w:rsidRPr="005F4D66">
        <w:t>Convention européenne pour la prévention de la torture</w:t>
      </w:r>
      <w:r>
        <w:t>,</w:t>
      </w:r>
      <w:r w:rsidRPr="005F4D66">
        <w:t xml:space="preserve"> </w:t>
      </w:r>
      <w:r>
        <w:t xml:space="preserve">qui prévoit des inspections dans les lieux de privation de liberté (voir </w:t>
      </w:r>
      <w:r w:rsidRPr="005F4D66">
        <w:t>Convention européenne pour la prévention de la torture et des peines ou traitements inhumains ou dégradants, Strasbourg, 26 novembre 1987, STE, n°126</w:t>
      </w:r>
      <w:r>
        <w:t>, article 2 : « [c]</w:t>
      </w:r>
      <w:proofErr w:type="spellStart"/>
      <w:r w:rsidRPr="005F4D66">
        <w:t>haque</w:t>
      </w:r>
      <w:proofErr w:type="spellEnd"/>
      <w:r w:rsidRPr="005F4D66">
        <w:t xml:space="preserve"> Partie autorise la visite, conformément à la présente Convention, de tout lieu relevant de sa juridiction où des personnes sont privées de liberté par une autorité publique</w:t>
      </w:r>
      <w:r>
        <w:t> »).</w:t>
      </w:r>
    </w:p>
  </w:footnote>
  <w:footnote w:id="69">
    <w:p w14:paraId="081C4EC0" w14:textId="065BDFA8" w:rsidR="00FD22A9" w:rsidRPr="00FD22A9" w:rsidRDefault="00FD22A9">
      <w:pPr>
        <w:pStyle w:val="Notedebasdepage"/>
      </w:pPr>
      <w:r>
        <w:rPr>
          <w:rStyle w:val="Appelnotedebasdep"/>
        </w:rPr>
        <w:footnoteRef/>
      </w:r>
      <w:r>
        <w:t xml:space="preserve"> Cette information a été recueillie à l’occasion d’une </w:t>
      </w:r>
      <w:r w:rsidR="00BE34E4">
        <w:t>rencontre avec la direction des affaires juridiques de</w:t>
      </w:r>
      <w:r>
        <w:t xml:space="preserve"> l’</w:t>
      </w:r>
      <w:r w:rsidR="00AB28FF">
        <w:t>OIAC</w:t>
      </w:r>
      <w:r>
        <w:t xml:space="preserve">, organisée dans le cadre du </w:t>
      </w:r>
      <w:r w:rsidR="005B232A">
        <w:t>Centre d’études et de recherche de l’Académie de droit international de La Haye</w:t>
      </w:r>
      <w:r w:rsidR="005B232A">
        <w:t xml:space="preserve"> </w:t>
      </w:r>
      <w:r>
        <w:t xml:space="preserve">en août 2018 (voir </w:t>
      </w:r>
      <w:r>
        <w:rPr>
          <w:i/>
          <w:iCs/>
        </w:rPr>
        <w:t>supra</w:t>
      </w:r>
      <w:r>
        <w:t>, not</w:t>
      </w:r>
      <w:r w:rsidR="005B232A">
        <w:t>e </w:t>
      </w:r>
      <w:r w:rsidR="005B232A">
        <w:fldChar w:fldCharType="begin"/>
      </w:r>
      <w:r w:rsidR="005B232A">
        <w:instrText xml:space="preserve"> NOTEREF _Ref39826053 \h </w:instrText>
      </w:r>
      <w:r w:rsidR="005B232A">
        <w:fldChar w:fldCharType="separate"/>
      </w:r>
      <w:r w:rsidR="005B232A">
        <w:t>8</w:t>
      </w:r>
      <w:r w:rsidR="005B232A">
        <w:fldChar w:fldCharType="end"/>
      </w:r>
      <w:r>
        <w:t>).</w:t>
      </w:r>
    </w:p>
  </w:footnote>
  <w:footnote w:id="70">
    <w:p w14:paraId="72BC009D" w14:textId="77777777" w:rsidR="00AD3281" w:rsidRDefault="00AD3281" w:rsidP="00BE4557">
      <w:pPr>
        <w:pStyle w:val="Notedebasdepage"/>
      </w:pPr>
      <w:r>
        <w:rPr>
          <w:rStyle w:val="Appelnotedebasdep"/>
        </w:rPr>
        <w:footnoteRef/>
      </w:r>
      <w:r>
        <w:t> </w:t>
      </w:r>
      <w:r w:rsidRPr="00EC4630">
        <w:t xml:space="preserve">GAMBARDELLA Sophie, </w:t>
      </w:r>
      <w:r>
        <w:t>« </w:t>
      </w:r>
      <w:r w:rsidRPr="00EC4630">
        <w:t xml:space="preserve">Le processus de </w:t>
      </w:r>
      <w:proofErr w:type="spellStart"/>
      <w:r w:rsidRPr="00EC4630">
        <w:t>Kobé</w:t>
      </w:r>
      <w:proofErr w:type="spellEnd"/>
      <w:r w:rsidRPr="00EC4630">
        <w:t> : un vecteur de circulation des normes et des acteurs dans un contexte de gouvernance internationale fragmentée</w:t>
      </w:r>
      <w:r>
        <w:t> »</w:t>
      </w:r>
      <w:r w:rsidRPr="00EC4630">
        <w:t xml:space="preserve">, </w:t>
      </w:r>
      <w:r w:rsidRPr="00EC4630">
        <w:rPr>
          <w:i/>
        </w:rPr>
        <w:t>in</w:t>
      </w:r>
      <w:r w:rsidRPr="00EC4630">
        <w:t xml:space="preserve"> MALJEAN-DUBOIS Sandrine (</w:t>
      </w:r>
      <w:proofErr w:type="spellStart"/>
      <w:r w:rsidRPr="00EC4630">
        <w:t>dir</w:t>
      </w:r>
      <w:proofErr w:type="spellEnd"/>
      <w:r w:rsidRPr="00EC4630">
        <w:t xml:space="preserve">.), </w:t>
      </w:r>
      <w:r w:rsidRPr="00EC4630">
        <w:rPr>
          <w:i/>
        </w:rPr>
        <w:t>Circulations de normes et réseaux d</w:t>
      </w:r>
      <w:r>
        <w:rPr>
          <w:i/>
        </w:rPr>
        <w:t>’</w:t>
      </w:r>
      <w:r w:rsidRPr="00EC4630">
        <w:rPr>
          <w:i/>
        </w:rPr>
        <w:t>acteurs dans la gouvernance internationale de l</w:t>
      </w:r>
      <w:r>
        <w:rPr>
          <w:i/>
        </w:rPr>
        <w:t>’</w:t>
      </w:r>
      <w:r w:rsidRPr="00EC4630">
        <w:rPr>
          <w:i/>
        </w:rPr>
        <w:t>environnement</w:t>
      </w:r>
      <w:r w:rsidRPr="00EC4630">
        <w:t xml:space="preserve">, </w:t>
      </w:r>
      <w:r>
        <w:t xml:space="preserve">Aix-en-Provence, </w:t>
      </w:r>
      <w:r w:rsidRPr="00EC4630">
        <w:t>Confluence des droits, 2017</w:t>
      </w:r>
      <w:r>
        <w:t>,</w:t>
      </w:r>
      <w:r w:rsidRPr="00EC4630">
        <w:t xml:space="preserve"> p. 149.</w:t>
      </w:r>
    </w:p>
  </w:footnote>
  <w:footnote w:id="71">
    <w:p w14:paraId="31708584" w14:textId="77777777" w:rsidR="00AD3281" w:rsidRPr="00492D81" w:rsidRDefault="00AD3281" w:rsidP="00C05A27">
      <w:pPr>
        <w:pStyle w:val="Notedebasdepage"/>
      </w:pPr>
      <w:r>
        <w:rPr>
          <w:rStyle w:val="Appelnotedebasdep"/>
        </w:rPr>
        <w:footnoteRef/>
      </w:r>
      <w:r>
        <w:t> </w:t>
      </w:r>
      <w:r w:rsidRPr="00FD718B">
        <w:t xml:space="preserve">FAO, </w:t>
      </w:r>
      <w:r w:rsidRPr="00FD718B">
        <w:rPr>
          <w:i/>
        </w:rPr>
        <w:t>Directives techniques pour une pêche responsable</w:t>
      </w:r>
      <w:r w:rsidRPr="00FD718B">
        <w:t xml:space="preserve">, n°1, Supplément n°1, </w:t>
      </w:r>
      <w:r>
        <w:t>« </w:t>
      </w:r>
      <w:r w:rsidRPr="00FD718B">
        <w:t>Opérations de pêche. 1. Systèmes de surveillance des navires par satellite</w:t>
      </w:r>
      <w:r>
        <w:t> »</w:t>
      </w:r>
      <w:r w:rsidRPr="00FD718B">
        <w:t>, Rome, 2003</w:t>
      </w:r>
      <w:r>
        <w:t>, p. 45.</w:t>
      </w:r>
    </w:p>
  </w:footnote>
  <w:footnote w:id="72">
    <w:p w14:paraId="44BEE3CE" w14:textId="77777777" w:rsidR="00AD3281" w:rsidRDefault="00AD3281" w:rsidP="00C05A27">
      <w:pPr>
        <w:pStyle w:val="Notedebasdepage"/>
      </w:pPr>
      <w:r>
        <w:rPr>
          <w:rStyle w:val="Appelnotedebasdep"/>
        </w:rPr>
        <w:footnoteRef/>
      </w:r>
      <w:r>
        <w:t> </w:t>
      </w:r>
      <w:r w:rsidRPr="001C0D8A">
        <w:t xml:space="preserve">CANTRELL Ryan, </w:t>
      </w:r>
      <w:r>
        <w:t>« </w:t>
      </w:r>
      <w:proofErr w:type="spellStart"/>
      <w:r w:rsidRPr="001C0D8A">
        <w:t>Finding</w:t>
      </w:r>
      <w:proofErr w:type="spellEnd"/>
      <w:r w:rsidRPr="001C0D8A">
        <w:t xml:space="preserve"> </w:t>
      </w:r>
      <w:proofErr w:type="spellStart"/>
      <w:r w:rsidRPr="001C0D8A">
        <w:t>Nemo</w:t>
      </w:r>
      <w:proofErr w:type="spellEnd"/>
      <w:r w:rsidRPr="001C0D8A">
        <w:t xml:space="preserve">...and </w:t>
      </w:r>
      <w:proofErr w:type="spellStart"/>
      <w:r w:rsidRPr="001C0D8A">
        <w:t>Eating</w:t>
      </w:r>
      <w:proofErr w:type="spellEnd"/>
      <w:r w:rsidRPr="001C0D8A">
        <w:t xml:space="preserve"> </w:t>
      </w:r>
      <w:proofErr w:type="spellStart"/>
      <w:proofErr w:type="gramStart"/>
      <w:r w:rsidRPr="001C0D8A">
        <w:t>Him</w:t>
      </w:r>
      <w:proofErr w:type="spellEnd"/>
      <w:r w:rsidRPr="001C0D8A">
        <w:t>:</w:t>
      </w:r>
      <w:proofErr w:type="gramEnd"/>
      <w:r w:rsidRPr="001C0D8A">
        <w:t xml:space="preserve"> The </w:t>
      </w:r>
      <w:proofErr w:type="spellStart"/>
      <w:r w:rsidRPr="001C0D8A">
        <w:t>Failure</w:t>
      </w:r>
      <w:proofErr w:type="spellEnd"/>
      <w:r w:rsidRPr="001C0D8A">
        <w:t xml:space="preserve"> of the United Nations to Force </w:t>
      </w:r>
      <w:proofErr w:type="spellStart"/>
      <w:r w:rsidRPr="001C0D8A">
        <w:t>Internalization</w:t>
      </w:r>
      <w:proofErr w:type="spellEnd"/>
      <w:r w:rsidRPr="001C0D8A">
        <w:t xml:space="preserve"> of the </w:t>
      </w:r>
      <w:proofErr w:type="spellStart"/>
      <w:r w:rsidRPr="001C0D8A">
        <w:t>Negative</w:t>
      </w:r>
      <w:proofErr w:type="spellEnd"/>
      <w:r w:rsidRPr="001C0D8A">
        <w:t xml:space="preserve"> Social </w:t>
      </w:r>
      <w:proofErr w:type="spellStart"/>
      <w:r w:rsidRPr="001C0D8A">
        <w:t>Costs</w:t>
      </w:r>
      <w:proofErr w:type="spellEnd"/>
      <w:r w:rsidRPr="001C0D8A">
        <w:t xml:space="preserve"> That </w:t>
      </w:r>
      <w:proofErr w:type="spellStart"/>
      <w:r w:rsidRPr="001C0D8A">
        <w:t>Result</w:t>
      </w:r>
      <w:proofErr w:type="spellEnd"/>
      <w:r w:rsidRPr="001C0D8A">
        <w:t xml:space="preserve"> </w:t>
      </w:r>
      <w:proofErr w:type="spellStart"/>
      <w:r w:rsidRPr="001C0D8A">
        <w:t>from</w:t>
      </w:r>
      <w:proofErr w:type="spellEnd"/>
      <w:r w:rsidRPr="001C0D8A">
        <w:t xml:space="preserve"> </w:t>
      </w:r>
      <w:proofErr w:type="spellStart"/>
      <w:r w:rsidRPr="001C0D8A">
        <w:t>Overfishing</w:t>
      </w:r>
      <w:proofErr w:type="spellEnd"/>
      <w:r>
        <w:t> »</w:t>
      </w:r>
      <w:r w:rsidRPr="001C0D8A">
        <w:t xml:space="preserve">, </w:t>
      </w:r>
      <w:r w:rsidRPr="001C0D8A">
        <w:rPr>
          <w:i/>
        </w:rPr>
        <w:t xml:space="preserve">Wash. U. Global </w:t>
      </w:r>
      <w:proofErr w:type="spellStart"/>
      <w:r w:rsidRPr="001C0D8A">
        <w:rPr>
          <w:i/>
        </w:rPr>
        <w:t>Stud</w:t>
      </w:r>
      <w:proofErr w:type="spellEnd"/>
      <w:r w:rsidRPr="001C0D8A">
        <w:rPr>
          <w:i/>
        </w:rPr>
        <w:t xml:space="preserve">. L. </w:t>
      </w:r>
      <w:proofErr w:type="spellStart"/>
      <w:r w:rsidRPr="001C0D8A">
        <w:rPr>
          <w:i/>
        </w:rPr>
        <w:t>Rev</w:t>
      </w:r>
      <w:proofErr w:type="spellEnd"/>
      <w:r w:rsidRPr="001C0D8A">
        <w:t>, vol. 5-2, 2006, p. 402.</w:t>
      </w:r>
    </w:p>
  </w:footnote>
  <w:footnote w:id="73">
    <w:p w14:paraId="6A364148" w14:textId="295D9EBD" w:rsidR="00AD3281" w:rsidRDefault="00AD3281" w:rsidP="00C05A27">
      <w:pPr>
        <w:pStyle w:val="Notedebasdepage"/>
      </w:pPr>
      <w:r>
        <w:rPr>
          <w:rStyle w:val="Appelnotedebasdep"/>
        </w:rPr>
        <w:footnoteRef/>
      </w:r>
      <w:r>
        <w:t xml:space="preserve"> BONUCCI Nicolas, « Une organisation régionale des pêches atypique : l’Agence des pêches du Forum du Pacifique Sud », </w:t>
      </w:r>
      <w:r w:rsidRPr="00594D5C">
        <w:rPr>
          <w:i/>
        </w:rPr>
        <w:t>Revue de l</w:t>
      </w:r>
      <w:r>
        <w:rPr>
          <w:i/>
        </w:rPr>
        <w:t>’</w:t>
      </w:r>
      <w:r w:rsidRPr="00594D5C">
        <w:rPr>
          <w:i/>
        </w:rPr>
        <w:t>INDEMER</w:t>
      </w:r>
      <w:r>
        <w:t>, n°2, 1994, p. 91</w:t>
      </w:r>
      <w:r w:rsidR="00757ED1">
        <w:t> ;</w:t>
      </w:r>
      <w:r>
        <w:t xml:space="preserve"> cité</w:t>
      </w:r>
      <w:r w:rsidR="00757ED1">
        <w:t xml:space="preserve"> également</w:t>
      </w:r>
      <w:r>
        <w:t xml:space="preserve"> par LUCCHINI Laurent, « L’État insulaire », </w:t>
      </w:r>
      <w:r w:rsidRPr="00594D5C">
        <w:rPr>
          <w:i/>
        </w:rPr>
        <w:t>RCADI</w:t>
      </w:r>
      <w:r>
        <w:t>, vol. 285, 2000, p. 365.</w:t>
      </w:r>
    </w:p>
  </w:footnote>
  <w:footnote w:id="74">
    <w:p w14:paraId="3E735321" w14:textId="77777777" w:rsidR="00AD3281" w:rsidRDefault="00AD3281" w:rsidP="00C05A27">
      <w:pPr>
        <w:pStyle w:val="Notedebasdepage"/>
      </w:pPr>
      <w:r>
        <w:rPr>
          <w:rStyle w:val="Appelnotedebasdep"/>
        </w:rPr>
        <w:footnoteRef/>
      </w:r>
      <w:r>
        <w:t xml:space="preserve"> </w:t>
      </w:r>
      <w:r w:rsidRPr="0081218C">
        <w:t xml:space="preserve">LUCCHINI Laurent, </w:t>
      </w:r>
      <w:r>
        <w:t>« </w:t>
      </w:r>
      <w:r w:rsidRPr="0081218C">
        <w:t>L</w:t>
      </w:r>
      <w:r>
        <w:t>’</w:t>
      </w:r>
      <w:r w:rsidRPr="0081218C">
        <w:t>État insulaire</w:t>
      </w:r>
      <w:r>
        <w:t> »</w:t>
      </w:r>
      <w:r w:rsidRPr="0081218C">
        <w:t xml:space="preserve">, </w:t>
      </w:r>
      <w:r w:rsidRPr="0081218C">
        <w:rPr>
          <w:i/>
        </w:rPr>
        <w:t>ibid</w:t>
      </w:r>
      <w:r w:rsidRPr="0081218C">
        <w:t>., p. 375.</w:t>
      </w:r>
    </w:p>
  </w:footnote>
  <w:footnote w:id="75">
    <w:p w14:paraId="6948E902" w14:textId="307C5B4C" w:rsidR="00AD3281" w:rsidRDefault="00AD3281">
      <w:pPr>
        <w:pStyle w:val="Notedebasdepage"/>
      </w:pPr>
      <w:r>
        <w:rPr>
          <w:rStyle w:val="Appelnotedebasdep"/>
        </w:rPr>
        <w:footnoteRef/>
      </w:r>
      <w:r>
        <w:t xml:space="preserve"> Tel est l’avis d’une partie de la doctrine, tout comme de certains États au moment des débats antérieurs à l’établissement de ces régimes. Voir ainsi LE GUELTE Georges, « Les inspections de l’AIEA : la construction d’un système de sécurité collective », </w:t>
      </w:r>
      <w:r>
        <w:rPr>
          <w:i/>
        </w:rPr>
        <w:t xml:space="preserve">op. </w:t>
      </w:r>
      <w:proofErr w:type="spellStart"/>
      <w:proofErr w:type="gramStart"/>
      <w:r>
        <w:rPr>
          <w:i/>
        </w:rPr>
        <w:t>cit</w:t>
      </w:r>
      <w:proofErr w:type="spellEnd"/>
      <w:proofErr w:type="gramEnd"/>
      <w:r>
        <w:rPr>
          <w:i/>
        </w:rPr>
        <w:t>.</w:t>
      </w:r>
      <w:r>
        <w:rPr>
          <w:iCs/>
        </w:rPr>
        <w:t xml:space="preserve"> </w:t>
      </w:r>
      <w:proofErr w:type="gramStart"/>
      <w:r>
        <w:rPr>
          <w:iCs/>
        </w:rPr>
        <w:t>note</w:t>
      </w:r>
      <w:proofErr w:type="gramEnd"/>
      <w:r>
        <w:rPr>
          <w:iCs/>
        </w:rPr>
        <w:t xml:space="preserve"> </w:t>
      </w:r>
      <w:r>
        <w:rPr>
          <w:iCs/>
        </w:rPr>
        <w:fldChar w:fldCharType="begin"/>
      </w:r>
      <w:r>
        <w:rPr>
          <w:iCs/>
        </w:rPr>
        <w:instrText xml:space="preserve"> NOTEREF _Ref24995287 \h </w:instrText>
      </w:r>
      <w:r>
        <w:rPr>
          <w:iCs/>
        </w:rPr>
      </w:r>
      <w:r>
        <w:rPr>
          <w:iCs/>
        </w:rPr>
        <w:fldChar w:fldCharType="separate"/>
      </w:r>
      <w:r w:rsidR="000E75EC">
        <w:rPr>
          <w:iCs/>
        </w:rPr>
        <w:t>44</w:t>
      </w:r>
      <w:r>
        <w:rPr>
          <w:iCs/>
        </w:rPr>
        <w:fldChar w:fldCharType="end"/>
      </w:r>
      <w:r>
        <w:t xml:space="preserve">, </w:t>
      </w:r>
      <w:r w:rsidRPr="00051088">
        <w:t>p</w:t>
      </w:r>
      <w:r>
        <w:t>. 34 : « [l]es inspections internationales sont une atteinte à la sacro-sainte souveraineté nationale ».</w:t>
      </w:r>
    </w:p>
  </w:footnote>
  <w:footnote w:id="76">
    <w:p w14:paraId="53168E68" w14:textId="272811D1" w:rsidR="00514970" w:rsidRDefault="00514970">
      <w:pPr>
        <w:pStyle w:val="Notedebasdepage"/>
      </w:pPr>
      <w:r>
        <w:rPr>
          <w:rStyle w:val="Appelnotedebasdep"/>
        </w:rPr>
        <w:footnoteRef/>
      </w:r>
      <w:r>
        <w:t> </w:t>
      </w:r>
      <w:r w:rsidRPr="00514970">
        <w:t xml:space="preserve">OMS, </w:t>
      </w:r>
      <w:proofErr w:type="spellStart"/>
      <w:r w:rsidRPr="00514970">
        <w:t>Règlement</w:t>
      </w:r>
      <w:proofErr w:type="spellEnd"/>
      <w:r w:rsidRPr="00514970">
        <w:t xml:space="preserve"> sanitaire international (2005), </w:t>
      </w:r>
      <w:proofErr w:type="spellStart"/>
      <w:r w:rsidRPr="00514970">
        <w:t>troisième</w:t>
      </w:r>
      <w:proofErr w:type="spellEnd"/>
      <w:r w:rsidRPr="00514970">
        <w:t xml:space="preserve"> </w:t>
      </w:r>
      <w:proofErr w:type="spellStart"/>
      <w:r w:rsidRPr="00514970">
        <w:t>édition</w:t>
      </w:r>
      <w:proofErr w:type="spellEnd"/>
      <w:r w:rsidRPr="00514970">
        <w:t>, 2016, article 6</w:t>
      </w:r>
      <w:r w:rsidR="00B053D9">
        <w:t>§1 : « </w:t>
      </w:r>
      <w:r w:rsidR="00B053D9" w:rsidRPr="00B053D9">
        <w:t>[c]</w:t>
      </w:r>
      <w:proofErr w:type="spellStart"/>
      <w:r w:rsidR="00B053D9" w:rsidRPr="00B053D9">
        <w:t>haque</w:t>
      </w:r>
      <w:proofErr w:type="spellEnd"/>
      <w:r w:rsidR="00B053D9" w:rsidRPr="00B053D9">
        <w:t xml:space="preserve"> </w:t>
      </w:r>
      <w:proofErr w:type="spellStart"/>
      <w:r w:rsidR="00B053D9" w:rsidRPr="00B053D9">
        <w:t>État</w:t>
      </w:r>
      <w:proofErr w:type="spellEnd"/>
      <w:r w:rsidR="00B053D9" w:rsidRPr="00B053D9">
        <w:t xml:space="preserve"> Partie notifie à l’OMS, par les moyens de communication les plus efficaces dont il dispose, par l’</w:t>
      </w:r>
      <w:proofErr w:type="spellStart"/>
      <w:r w:rsidR="00B053D9" w:rsidRPr="00B053D9">
        <w:t>intermédiaire</w:t>
      </w:r>
      <w:proofErr w:type="spellEnd"/>
      <w:r w:rsidR="00B053D9" w:rsidRPr="00B053D9">
        <w:t xml:space="preserve"> du point focal national RSI et dans les 24 heures suivant l’</w:t>
      </w:r>
      <w:proofErr w:type="spellStart"/>
      <w:r w:rsidR="00B053D9" w:rsidRPr="00B053D9">
        <w:t>évaluation</w:t>
      </w:r>
      <w:proofErr w:type="spellEnd"/>
      <w:r w:rsidR="00B053D9" w:rsidRPr="00B053D9">
        <w:t xml:space="preserve"> des informations de santé publique, tout </w:t>
      </w:r>
      <w:proofErr w:type="spellStart"/>
      <w:r w:rsidR="00B053D9" w:rsidRPr="00B053D9">
        <w:t>événement</w:t>
      </w:r>
      <w:proofErr w:type="spellEnd"/>
      <w:r w:rsidR="00B053D9" w:rsidRPr="00B053D9">
        <w:t xml:space="preserve"> survenu sur son territoire pouvant constituer une urgence de santé publique de </w:t>
      </w:r>
      <w:proofErr w:type="spellStart"/>
      <w:r w:rsidR="00B053D9" w:rsidRPr="00B053D9">
        <w:t>portée</w:t>
      </w:r>
      <w:proofErr w:type="spellEnd"/>
      <w:r w:rsidR="00B053D9" w:rsidRPr="00B053D9">
        <w:t xml:space="preserve"> internationale au regard de l’instrument de </w:t>
      </w:r>
      <w:proofErr w:type="spellStart"/>
      <w:r w:rsidR="00B053D9" w:rsidRPr="00B053D9">
        <w:t>décision</w:t>
      </w:r>
      <w:proofErr w:type="spellEnd"/>
      <w:r w:rsidR="00B053D9" w:rsidRPr="00B053D9">
        <w:t xml:space="preserve">, ainsi que toute mesure sanitaire prise pour faire face </w:t>
      </w:r>
      <w:proofErr w:type="spellStart"/>
      <w:r w:rsidR="00B053D9" w:rsidRPr="00B053D9">
        <w:t>a</w:t>
      </w:r>
      <w:proofErr w:type="spellEnd"/>
      <w:r w:rsidR="00B053D9" w:rsidRPr="00B053D9">
        <w:t xml:space="preserve">̀ ces </w:t>
      </w:r>
      <w:proofErr w:type="spellStart"/>
      <w:r w:rsidR="00B053D9" w:rsidRPr="00B053D9">
        <w:t>événements</w:t>
      </w:r>
      <w:proofErr w:type="spellEnd"/>
      <w:r w:rsidR="00B053D9">
        <w:t> ».</w:t>
      </w:r>
      <w:r w:rsidRPr="00514970">
        <w:t xml:space="preserve"> Sur ce </w:t>
      </w:r>
      <w:proofErr w:type="spellStart"/>
      <w:r w:rsidRPr="00514970">
        <w:t>règlement</w:t>
      </w:r>
      <w:proofErr w:type="spellEnd"/>
      <w:r w:rsidRPr="00514970">
        <w:t>, voir</w:t>
      </w:r>
      <w:r>
        <w:t xml:space="preserve"> en particulier</w:t>
      </w:r>
      <w:r w:rsidRPr="00514970">
        <w:t xml:space="preserve"> DE POOTER </w:t>
      </w:r>
      <w:proofErr w:type="spellStart"/>
      <w:r w:rsidRPr="00514970">
        <w:t>Hélène</w:t>
      </w:r>
      <w:proofErr w:type="spellEnd"/>
      <w:r w:rsidRPr="00514970">
        <w:t xml:space="preserve">, </w:t>
      </w:r>
      <w:r w:rsidRPr="00514970">
        <w:rPr>
          <w:i/>
          <w:iCs/>
        </w:rPr>
        <w:t xml:space="preserve">Le droit international face aux </w:t>
      </w:r>
      <w:proofErr w:type="spellStart"/>
      <w:r w:rsidRPr="00514970">
        <w:rPr>
          <w:i/>
          <w:iCs/>
        </w:rPr>
        <w:t>pandémies</w:t>
      </w:r>
      <w:proofErr w:type="spellEnd"/>
      <w:r w:rsidRPr="00514970">
        <w:rPr>
          <w:i/>
          <w:iCs/>
        </w:rPr>
        <w:t xml:space="preserve"> : vers un </w:t>
      </w:r>
      <w:proofErr w:type="spellStart"/>
      <w:r w:rsidRPr="00514970">
        <w:rPr>
          <w:i/>
          <w:iCs/>
        </w:rPr>
        <w:t>système</w:t>
      </w:r>
      <w:proofErr w:type="spellEnd"/>
      <w:r w:rsidRPr="00514970">
        <w:rPr>
          <w:i/>
          <w:iCs/>
        </w:rPr>
        <w:t xml:space="preserve"> de </w:t>
      </w:r>
      <w:proofErr w:type="spellStart"/>
      <w:r w:rsidRPr="00514970">
        <w:rPr>
          <w:i/>
          <w:iCs/>
        </w:rPr>
        <w:t>sécurite</w:t>
      </w:r>
      <w:proofErr w:type="spellEnd"/>
      <w:r w:rsidRPr="00514970">
        <w:rPr>
          <w:i/>
          <w:iCs/>
        </w:rPr>
        <w:t xml:space="preserve">́ sanitaire </w:t>
      </w:r>
      <w:proofErr w:type="gramStart"/>
      <w:r w:rsidRPr="00514970">
        <w:rPr>
          <w:i/>
          <w:iCs/>
        </w:rPr>
        <w:t>collective ?</w:t>
      </w:r>
      <w:r w:rsidRPr="00514970">
        <w:t>,</w:t>
      </w:r>
      <w:proofErr w:type="gramEnd"/>
      <w:r w:rsidRPr="00514970">
        <w:t xml:space="preserve"> Paris, </w:t>
      </w:r>
      <w:proofErr w:type="spellStart"/>
      <w:r w:rsidRPr="00514970">
        <w:t>Pedone</w:t>
      </w:r>
      <w:proofErr w:type="spellEnd"/>
      <w:r w:rsidRPr="00514970">
        <w:t xml:space="preserve">, 2015, pp. 27 et </w:t>
      </w:r>
      <w:proofErr w:type="spellStart"/>
      <w:r w:rsidRPr="00514970">
        <w:t>ss</w:t>
      </w:r>
      <w:proofErr w:type="spellEnd"/>
      <w:r w:rsidRPr="00514970">
        <w:t>.</w:t>
      </w:r>
    </w:p>
  </w:footnote>
  <w:footnote w:id="77">
    <w:p w14:paraId="1E07E895" w14:textId="62B0E17A" w:rsidR="003141D0" w:rsidRDefault="003141D0">
      <w:pPr>
        <w:pStyle w:val="Notedebasdepage"/>
      </w:pPr>
      <w:r>
        <w:rPr>
          <w:rStyle w:val="Appelnotedebasdep"/>
        </w:rPr>
        <w:footnoteRef/>
      </w:r>
      <w:r>
        <w:t> </w:t>
      </w:r>
      <w:r w:rsidRPr="003141D0">
        <w:t xml:space="preserve">MAE, </w:t>
      </w:r>
      <w:r w:rsidRPr="003141D0">
        <w:rPr>
          <w:i/>
          <w:iCs/>
        </w:rPr>
        <w:t>Déclarations officielles de politique étrangère</w:t>
      </w:r>
      <w:r w:rsidRPr="003141D0">
        <w:t xml:space="preserve"> du 30 avril 2020, Forum de Paris sur la Paix </w:t>
      </w:r>
      <w:r>
        <w:t>–</w:t>
      </w:r>
      <w:r w:rsidRPr="003141D0">
        <w:t xml:space="preserve"> Présentation de la troisième édition du Forum de Paris sur la paix en visioconférence </w:t>
      </w:r>
      <w:r>
        <w:t>–</w:t>
      </w:r>
      <w:r w:rsidRPr="003141D0">
        <w:t xml:space="preserve"> Allocution de M. Jean-Yves Le </w:t>
      </w:r>
      <w:proofErr w:type="spellStart"/>
      <w:r w:rsidRPr="003141D0">
        <w:t>Drian</w:t>
      </w:r>
      <w:proofErr w:type="spellEnd"/>
      <w:r w:rsidRPr="003141D0">
        <w:t>, ministre de l'Europe et des affaires étrangères (Paris, 29/04/2020)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5C08B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E3627EF"/>
    <w:multiLevelType w:val="hybridMultilevel"/>
    <w:tmpl w:val="E4A4E2DC"/>
    <w:lvl w:ilvl="0" w:tplc="7E4833F0">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15:restartNumberingAfterBreak="0">
    <w:nsid w:val="2BEF2E43"/>
    <w:multiLevelType w:val="hybridMultilevel"/>
    <w:tmpl w:val="AE6A92B4"/>
    <w:lvl w:ilvl="0" w:tplc="B1B04AFA">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 w15:restartNumberingAfterBreak="0">
    <w:nsid w:val="2F674D8D"/>
    <w:multiLevelType w:val="hybridMultilevel"/>
    <w:tmpl w:val="E176F51C"/>
    <w:lvl w:ilvl="0" w:tplc="21FACD4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2257FB"/>
    <w:multiLevelType w:val="hybridMultilevel"/>
    <w:tmpl w:val="DD1407F4"/>
    <w:lvl w:ilvl="0" w:tplc="AF2244D4">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5" w15:restartNumberingAfterBreak="0">
    <w:nsid w:val="523179EF"/>
    <w:multiLevelType w:val="hybridMultilevel"/>
    <w:tmpl w:val="6D34E672"/>
    <w:lvl w:ilvl="0" w:tplc="24AC5626">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5D721EDB"/>
    <w:multiLevelType w:val="hybridMultilevel"/>
    <w:tmpl w:val="F00A2DEE"/>
    <w:lvl w:ilvl="0" w:tplc="FE6AD708">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18"/>
    <w:rsid w:val="00010920"/>
    <w:rsid w:val="000316EF"/>
    <w:rsid w:val="00034631"/>
    <w:rsid w:val="00036A7E"/>
    <w:rsid w:val="00044871"/>
    <w:rsid w:val="0004601C"/>
    <w:rsid w:val="00050BEB"/>
    <w:rsid w:val="00054613"/>
    <w:rsid w:val="0006202D"/>
    <w:rsid w:val="00065631"/>
    <w:rsid w:val="00091A8A"/>
    <w:rsid w:val="000945C0"/>
    <w:rsid w:val="00095815"/>
    <w:rsid w:val="000A179D"/>
    <w:rsid w:val="000B6FC2"/>
    <w:rsid w:val="000B7072"/>
    <w:rsid w:val="000C7A70"/>
    <w:rsid w:val="000E40EB"/>
    <w:rsid w:val="000E75EC"/>
    <w:rsid w:val="0010786A"/>
    <w:rsid w:val="00110768"/>
    <w:rsid w:val="00114252"/>
    <w:rsid w:val="001151A0"/>
    <w:rsid w:val="00116862"/>
    <w:rsid w:val="00122849"/>
    <w:rsid w:val="00145ECA"/>
    <w:rsid w:val="00172867"/>
    <w:rsid w:val="00182192"/>
    <w:rsid w:val="001853BA"/>
    <w:rsid w:val="00190274"/>
    <w:rsid w:val="001907F9"/>
    <w:rsid w:val="001A1849"/>
    <w:rsid w:val="001B14C5"/>
    <w:rsid w:val="001C54BA"/>
    <w:rsid w:val="001D1C5C"/>
    <w:rsid w:val="001F3137"/>
    <w:rsid w:val="002054C5"/>
    <w:rsid w:val="00205644"/>
    <w:rsid w:val="00207C19"/>
    <w:rsid w:val="002150DD"/>
    <w:rsid w:val="002211B0"/>
    <w:rsid w:val="00230226"/>
    <w:rsid w:val="002735B6"/>
    <w:rsid w:val="00273F3A"/>
    <w:rsid w:val="00275E3C"/>
    <w:rsid w:val="002765E5"/>
    <w:rsid w:val="002841A4"/>
    <w:rsid w:val="002959B2"/>
    <w:rsid w:val="002966F6"/>
    <w:rsid w:val="002A0EB9"/>
    <w:rsid w:val="002A2ACC"/>
    <w:rsid w:val="002A4725"/>
    <w:rsid w:val="002B157F"/>
    <w:rsid w:val="002C4131"/>
    <w:rsid w:val="002C47E5"/>
    <w:rsid w:val="002C7EB3"/>
    <w:rsid w:val="002D5859"/>
    <w:rsid w:val="002E1507"/>
    <w:rsid w:val="002E3754"/>
    <w:rsid w:val="002F5DF9"/>
    <w:rsid w:val="00306C7D"/>
    <w:rsid w:val="003141D0"/>
    <w:rsid w:val="003215AF"/>
    <w:rsid w:val="00323A8F"/>
    <w:rsid w:val="0032572D"/>
    <w:rsid w:val="0032613E"/>
    <w:rsid w:val="003272B8"/>
    <w:rsid w:val="0033569C"/>
    <w:rsid w:val="003359BC"/>
    <w:rsid w:val="003669D0"/>
    <w:rsid w:val="003705FF"/>
    <w:rsid w:val="00375102"/>
    <w:rsid w:val="003773DB"/>
    <w:rsid w:val="00381995"/>
    <w:rsid w:val="00386C01"/>
    <w:rsid w:val="0039545F"/>
    <w:rsid w:val="003A7262"/>
    <w:rsid w:val="003A7C98"/>
    <w:rsid w:val="003B6277"/>
    <w:rsid w:val="003C11C0"/>
    <w:rsid w:val="003C49F7"/>
    <w:rsid w:val="003C64AB"/>
    <w:rsid w:val="003F260A"/>
    <w:rsid w:val="003F607A"/>
    <w:rsid w:val="00400BF1"/>
    <w:rsid w:val="0042771A"/>
    <w:rsid w:val="00431591"/>
    <w:rsid w:val="004338C9"/>
    <w:rsid w:val="004551A5"/>
    <w:rsid w:val="00465670"/>
    <w:rsid w:val="004810CE"/>
    <w:rsid w:val="00490E9A"/>
    <w:rsid w:val="0049454B"/>
    <w:rsid w:val="004A0743"/>
    <w:rsid w:val="004B5817"/>
    <w:rsid w:val="004B5973"/>
    <w:rsid w:val="004D5BBC"/>
    <w:rsid w:val="004E3BD0"/>
    <w:rsid w:val="005145EC"/>
    <w:rsid w:val="00514970"/>
    <w:rsid w:val="00547231"/>
    <w:rsid w:val="0056568D"/>
    <w:rsid w:val="00567164"/>
    <w:rsid w:val="00591E8D"/>
    <w:rsid w:val="00593254"/>
    <w:rsid w:val="005B232A"/>
    <w:rsid w:val="005C2007"/>
    <w:rsid w:val="005D657B"/>
    <w:rsid w:val="005E2A03"/>
    <w:rsid w:val="005E4728"/>
    <w:rsid w:val="005F1E4C"/>
    <w:rsid w:val="005F4D66"/>
    <w:rsid w:val="005F7C7A"/>
    <w:rsid w:val="00601118"/>
    <w:rsid w:val="00603515"/>
    <w:rsid w:val="0060525C"/>
    <w:rsid w:val="00607182"/>
    <w:rsid w:val="006145D7"/>
    <w:rsid w:val="00616181"/>
    <w:rsid w:val="00627EBF"/>
    <w:rsid w:val="006316A2"/>
    <w:rsid w:val="00656514"/>
    <w:rsid w:val="00661DE5"/>
    <w:rsid w:val="00670904"/>
    <w:rsid w:val="00672161"/>
    <w:rsid w:val="00674F31"/>
    <w:rsid w:val="0069110B"/>
    <w:rsid w:val="00694607"/>
    <w:rsid w:val="00697AC4"/>
    <w:rsid w:val="006A5010"/>
    <w:rsid w:val="006B27D3"/>
    <w:rsid w:val="006C5CE2"/>
    <w:rsid w:val="006C7B8F"/>
    <w:rsid w:val="006D248D"/>
    <w:rsid w:val="006D6DC4"/>
    <w:rsid w:val="006E4BE8"/>
    <w:rsid w:val="0072435D"/>
    <w:rsid w:val="007265A2"/>
    <w:rsid w:val="00740FAB"/>
    <w:rsid w:val="00741890"/>
    <w:rsid w:val="00754087"/>
    <w:rsid w:val="007554C6"/>
    <w:rsid w:val="00757ED1"/>
    <w:rsid w:val="00770A34"/>
    <w:rsid w:val="00772B20"/>
    <w:rsid w:val="00775221"/>
    <w:rsid w:val="00780113"/>
    <w:rsid w:val="00784FC1"/>
    <w:rsid w:val="00790463"/>
    <w:rsid w:val="007952F7"/>
    <w:rsid w:val="007A60BF"/>
    <w:rsid w:val="007B0E1C"/>
    <w:rsid w:val="007B23B1"/>
    <w:rsid w:val="007C1E3E"/>
    <w:rsid w:val="007C1FE6"/>
    <w:rsid w:val="007C59D9"/>
    <w:rsid w:val="007D3952"/>
    <w:rsid w:val="007D59A7"/>
    <w:rsid w:val="007D7DCE"/>
    <w:rsid w:val="007E31A3"/>
    <w:rsid w:val="00806CF3"/>
    <w:rsid w:val="0085407C"/>
    <w:rsid w:val="00861B76"/>
    <w:rsid w:val="0086699A"/>
    <w:rsid w:val="008729CA"/>
    <w:rsid w:val="008812A7"/>
    <w:rsid w:val="008879E3"/>
    <w:rsid w:val="00890429"/>
    <w:rsid w:val="00891A94"/>
    <w:rsid w:val="008937F1"/>
    <w:rsid w:val="00893D9B"/>
    <w:rsid w:val="00894F6C"/>
    <w:rsid w:val="00897620"/>
    <w:rsid w:val="008A4DE4"/>
    <w:rsid w:val="008D30CE"/>
    <w:rsid w:val="008D6F20"/>
    <w:rsid w:val="008E2138"/>
    <w:rsid w:val="008E415D"/>
    <w:rsid w:val="008F2A0D"/>
    <w:rsid w:val="00900BDF"/>
    <w:rsid w:val="00915A53"/>
    <w:rsid w:val="00942369"/>
    <w:rsid w:val="00943249"/>
    <w:rsid w:val="00951E6F"/>
    <w:rsid w:val="00956233"/>
    <w:rsid w:val="00964562"/>
    <w:rsid w:val="00974004"/>
    <w:rsid w:val="00983C09"/>
    <w:rsid w:val="009A151D"/>
    <w:rsid w:val="009A1D43"/>
    <w:rsid w:val="009A4953"/>
    <w:rsid w:val="009B47E9"/>
    <w:rsid w:val="009B4F7C"/>
    <w:rsid w:val="009C42D9"/>
    <w:rsid w:val="009E64EE"/>
    <w:rsid w:val="009E739E"/>
    <w:rsid w:val="00A00A5D"/>
    <w:rsid w:val="00A01721"/>
    <w:rsid w:val="00A069ED"/>
    <w:rsid w:val="00A143D5"/>
    <w:rsid w:val="00A238AB"/>
    <w:rsid w:val="00A2519A"/>
    <w:rsid w:val="00A305E0"/>
    <w:rsid w:val="00A35F91"/>
    <w:rsid w:val="00A36B81"/>
    <w:rsid w:val="00A40D8F"/>
    <w:rsid w:val="00A46D5D"/>
    <w:rsid w:val="00A50F08"/>
    <w:rsid w:val="00A510F5"/>
    <w:rsid w:val="00A61CF2"/>
    <w:rsid w:val="00A77A00"/>
    <w:rsid w:val="00A833AE"/>
    <w:rsid w:val="00AA4403"/>
    <w:rsid w:val="00AB28FF"/>
    <w:rsid w:val="00AB335A"/>
    <w:rsid w:val="00AB50DC"/>
    <w:rsid w:val="00AD1E25"/>
    <w:rsid w:val="00AD3281"/>
    <w:rsid w:val="00AD681C"/>
    <w:rsid w:val="00AF3F7D"/>
    <w:rsid w:val="00AF6935"/>
    <w:rsid w:val="00B03FF1"/>
    <w:rsid w:val="00B053D9"/>
    <w:rsid w:val="00B14657"/>
    <w:rsid w:val="00B148AA"/>
    <w:rsid w:val="00B20F71"/>
    <w:rsid w:val="00B45FF0"/>
    <w:rsid w:val="00B528C0"/>
    <w:rsid w:val="00B547BB"/>
    <w:rsid w:val="00B7233C"/>
    <w:rsid w:val="00B727CF"/>
    <w:rsid w:val="00B73EF2"/>
    <w:rsid w:val="00B76560"/>
    <w:rsid w:val="00B766E2"/>
    <w:rsid w:val="00B83CE8"/>
    <w:rsid w:val="00B85236"/>
    <w:rsid w:val="00B9150B"/>
    <w:rsid w:val="00B93C61"/>
    <w:rsid w:val="00BA5646"/>
    <w:rsid w:val="00BA7CA6"/>
    <w:rsid w:val="00BC683D"/>
    <w:rsid w:val="00BD0F9E"/>
    <w:rsid w:val="00BD40D8"/>
    <w:rsid w:val="00BE34E4"/>
    <w:rsid w:val="00BE4557"/>
    <w:rsid w:val="00BE713D"/>
    <w:rsid w:val="00BF1A5A"/>
    <w:rsid w:val="00BF67A6"/>
    <w:rsid w:val="00C04A0D"/>
    <w:rsid w:val="00C05A27"/>
    <w:rsid w:val="00C105DF"/>
    <w:rsid w:val="00C12B10"/>
    <w:rsid w:val="00C31A8D"/>
    <w:rsid w:val="00C369D1"/>
    <w:rsid w:val="00C403C6"/>
    <w:rsid w:val="00C5315C"/>
    <w:rsid w:val="00C559BA"/>
    <w:rsid w:val="00C64EBE"/>
    <w:rsid w:val="00C66973"/>
    <w:rsid w:val="00C66A34"/>
    <w:rsid w:val="00C719A7"/>
    <w:rsid w:val="00C721A3"/>
    <w:rsid w:val="00C76050"/>
    <w:rsid w:val="00C81D6C"/>
    <w:rsid w:val="00C8366C"/>
    <w:rsid w:val="00CA1C07"/>
    <w:rsid w:val="00CA5C13"/>
    <w:rsid w:val="00CB6F78"/>
    <w:rsid w:val="00CC35E5"/>
    <w:rsid w:val="00CD40F5"/>
    <w:rsid w:val="00CE298F"/>
    <w:rsid w:val="00CE3D0E"/>
    <w:rsid w:val="00CE5427"/>
    <w:rsid w:val="00CF1458"/>
    <w:rsid w:val="00CF46F9"/>
    <w:rsid w:val="00D02C1E"/>
    <w:rsid w:val="00D13303"/>
    <w:rsid w:val="00D15FEF"/>
    <w:rsid w:val="00D17609"/>
    <w:rsid w:val="00D23518"/>
    <w:rsid w:val="00D36770"/>
    <w:rsid w:val="00D434BF"/>
    <w:rsid w:val="00D436B1"/>
    <w:rsid w:val="00D50E90"/>
    <w:rsid w:val="00D52710"/>
    <w:rsid w:val="00D54D80"/>
    <w:rsid w:val="00D90F55"/>
    <w:rsid w:val="00D9179C"/>
    <w:rsid w:val="00D92A24"/>
    <w:rsid w:val="00DB16E0"/>
    <w:rsid w:val="00DC0EEC"/>
    <w:rsid w:val="00DD01E3"/>
    <w:rsid w:val="00DE25E0"/>
    <w:rsid w:val="00DE3C76"/>
    <w:rsid w:val="00DE67CE"/>
    <w:rsid w:val="00DE692F"/>
    <w:rsid w:val="00DF1659"/>
    <w:rsid w:val="00DF7F4A"/>
    <w:rsid w:val="00E01E93"/>
    <w:rsid w:val="00E03258"/>
    <w:rsid w:val="00E101D1"/>
    <w:rsid w:val="00E11CB6"/>
    <w:rsid w:val="00E218A4"/>
    <w:rsid w:val="00E40A22"/>
    <w:rsid w:val="00E5185D"/>
    <w:rsid w:val="00E528B5"/>
    <w:rsid w:val="00E65FEB"/>
    <w:rsid w:val="00E84BA6"/>
    <w:rsid w:val="00E87E46"/>
    <w:rsid w:val="00EA63E3"/>
    <w:rsid w:val="00ED40DF"/>
    <w:rsid w:val="00EE034C"/>
    <w:rsid w:val="00EE4111"/>
    <w:rsid w:val="00EF0481"/>
    <w:rsid w:val="00EF70B3"/>
    <w:rsid w:val="00F0731F"/>
    <w:rsid w:val="00F270B6"/>
    <w:rsid w:val="00F35FBB"/>
    <w:rsid w:val="00F4437C"/>
    <w:rsid w:val="00F4455A"/>
    <w:rsid w:val="00F4497C"/>
    <w:rsid w:val="00F468C7"/>
    <w:rsid w:val="00F57C8E"/>
    <w:rsid w:val="00F72171"/>
    <w:rsid w:val="00F73351"/>
    <w:rsid w:val="00F7558E"/>
    <w:rsid w:val="00F77CAB"/>
    <w:rsid w:val="00F81E63"/>
    <w:rsid w:val="00F92D55"/>
    <w:rsid w:val="00FA4D67"/>
    <w:rsid w:val="00FB1013"/>
    <w:rsid w:val="00FB19D5"/>
    <w:rsid w:val="00FC185B"/>
    <w:rsid w:val="00FC4F15"/>
    <w:rsid w:val="00FC5017"/>
    <w:rsid w:val="00FC723C"/>
    <w:rsid w:val="00FD03A1"/>
    <w:rsid w:val="00FD22A9"/>
    <w:rsid w:val="00FD28C4"/>
    <w:rsid w:val="00FE2A32"/>
    <w:rsid w:val="00FF6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C2E6"/>
  <w15:chartTrackingRefBased/>
  <w15:docId w15:val="{64068B68-D423-4C3E-B79E-2B12D573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904"/>
    <w:pPr>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601118"/>
    <w:pPr>
      <w:spacing w:after="0" w:line="240" w:lineRule="auto"/>
    </w:pPr>
    <w:rPr>
      <w:sz w:val="20"/>
      <w:szCs w:val="20"/>
    </w:rPr>
  </w:style>
  <w:style w:type="character" w:customStyle="1" w:styleId="NotedebasdepageCar">
    <w:name w:val="Note de bas de page Car"/>
    <w:basedOn w:val="Policepardfaut"/>
    <w:link w:val="Notedebasdepage"/>
    <w:uiPriority w:val="99"/>
    <w:rsid w:val="00601118"/>
    <w:rPr>
      <w:rFonts w:ascii="Times New Roman" w:hAnsi="Times New Roman"/>
      <w:sz w:val="20"/>
      <w:szCs w:val="20"/>
    </w:rPr>
  </w:style>
  <w:style w:type="character" w:styleId="Appelnotedebasdep">
    <w:name w:val="footnote reference"/>
    <w:basedOn w:val="Policepardfaut"/>
    <w:uiPriority w:val="99"/>
    <w:unhideWhenUsed/>
    <w:rsid w:val="00601118"/>
    <w:rPr>
      <w:vertAlign w:val="superscript"/>
    </w:rPr>
  </w:style>
  <w:style w:type="paragraph" w:styleId="Listepuces">
    <w:name w:val="List Bullet"/>
    <w:basedOn w:val="Normal"/>
    <w:uiPriority w:val="99"/>
    <w:unhideWhenUsed/>
    <w:rsid w:val="00601118"/>
    <w:pPr>
      <w:numPr>
        <w:numId w:val="1"/>
      </w:numPr>
      <w:spacing w:after="0" w:line="240" w:lineRule="auto"/>
      <w:contextualSpacing/>
    </w:pPr>
  </w:style>
  <w:style w:type="paragraph" w:styleId="Paragraphedeliste">
    <w:name w:val="List Paragraph"/>
    <w:basedOn w:val="Normal"/>
    <w:uiPriority w:val="34"/>
    <w:qFormat/>
    <w:rsid w:val="003C11C0"/>
    <w:pPr>
      <w:ind w:left="720"/>
      <w:contextualSpacing/>
    </w:pPr>
  </w:style>
  <w:style w:type="paragraph" w:styleId="Textedebulles">
    <w:name w:val="Balloon Text"/>
    <w:basedOn w:val="Normal"/>
    <w:link w:val="TextedebullesCar"/>
    <w:uiPriority w:val="99"/>
    <w:semiHidden/>
    <w:unhideWhenUsed/>
    <w:rsid w:val="00BC683D"/>
    <w:pPr>
      <w:spacing w:after="0" w:line="240" w:lineRule="auto"/>
    </w:pPr>
    <w:rPr>
      <w:rFonts w:cs="Times New Roman"/>
      <w:sz w:val="18"/>
      <w:szCs w:val="18"/>
    </w:rPr>
  </w:style>
  <w:style w:type="character" w:customStyle="1" w:styleId="TextedebullesCar">
    <w:name w:val="Texte de bulles Car"/>
    <w:basedOn w:val="Policepardfaut"/>
    <w:link w:val="Textedebulles"/>
    <w:uiPriority w:val="99"/>
    <w:semiHidden/>
    <w:rsid w:val="00BC683D"/>
    <w:rPr>
      <w:rFonts w:ascii="Times New Roman" w:hAnsi="Times New Roman" w:cs="Times New Roman"/>
      <w:sz w:val="18"/>
      <w:szCs w:val="18"/>
    </w:rPr>
  </w:style>
  <w:style w:type="paragraph" w:styleId="En-tte">
    <w:name w:val="header"/>
    <w:basedOn w:val="Normal"/>
    <w:link w:val="En-tteCar"/>
    <w:uiPriority w:val="99"/>
    <w:unhideWhenUsed/>
    <w:rsid w:val="00547231"/>
    <w:pPr>
      <w:tabs>
        <w:tab w:val="center" w:pos="4536"/>
        <w:tab w:val="right" w:pos="9072"/>
      </w:tabs>
      <w:spacing w:after="0" w:line="240" w:lineRule="auto"/>
    </w:pPr>
  </w:style>
  <w:style w:type="character" w:customStyle="1" w:styleId="En-tteCar">
    <w:name w:val="En-tête Car"/>
    <w:basedOn w:val="Policepardfaut"/>
    <w:link w:val="En-tte"/>
    <w:uiPriority w:val="99"/>
    <w:rsid w:val="00547231"/>
    <w:rPr>
      <w:rFonts w:ascii="Times New Roman" w:hAnsi="Times New Roman"/>
      <w:sz w:val="24"/>
    </w:rPr>
  </w:style>
  <w:style w:type="paragraph" w:styleId="Pieddepage">
    <w:name w:val="footer"/>
    <w:basedOn w:val="Normal"/>
    <w:link w:val="PieddepageCar"/>
    <w:uiPriority w:val="99"/>
    <w:unhideWhenUsed/>
    <w:rsid w:val="005472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7231"/>
    <w:rPr>
      <w:rFonts w:ascii="Times New Roman" w:hAnsi="Times New Roman"/>
      <w:sz w:val="24"/>
    </w:rPr>
  </w:style>
  <w:style w:type="character" w:styleId="Numrodepage">
    <w:name w:val="page number"/>
    <w:basedOn w:val="Policepardfaut"/>
    <w:uiPriority w:val="99"/>
    <w:semiHidden/>
    <w:unhideWhenUsed/>
    <w:rsid w:val="00547231"/>
  </w:style>
  <w:style w:type="character" w:styleId="Marquedecommentaire">
    <w:name w:val="annotation reference"/>
    <w:basedOn w:val="Policepardfaut"/>
    <w:uiPriority w:val="99"/>
    <w:semiHidden/>
    <w:unhideWhenUsed/>
    <w:rsid w:val="00567164"/>
    <w:rPr>
      <w:sz w:val="16"/>
      <w:szCs w:val="16"/>
    </w:rPr>
  </w:style>
  <w:style w:type="paragraph" w:styleId="Commentaire">
    <w:name w:val="annotation text"/>
    <w:basedOn w:val="Normal"/>
    <w:link w:val="CommentaireCar"/>
    <w:uiPriority w:val="99"/>
    <w:semiHidden/>
    <w:unhideWhenUsed/>
    <w:rsid w:val="00567164"/>
    <w:pPr>
      <w:spacing w:line="240" w:lineRule="auto"/>
    </w:pPr>
    <w:rPr>
      <w:sz w:val="20"/>
      <w:szCs w:val="20"/>
    </w:rPr>
  </w:style>
  <w:style w:type="character" w:customStyle="1" w:styleId="CommentaireCar">
    <w:name w:val="Commentaire Car"/>
    <w:basedOn w:val="Policepardfaut"/>
    <w:link w:val="Commentaire"/>
    <w:uiPriority w:val="99"/>
    <w:semiHidden/>
    <w:rsid w:val="00567164"/>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567164"/>
    <w:rPr>
      <w:b/>
      <w:bCs/>
    </w:rPr>
  </w:style>
  <w:style w:type="character" w:customStyle="1" w:styleId="ObjetducommentaireCar">
    <w:name w:val="Objet du commentaire Car"/>
    <w:basedOn w:val="CommentaireCar"/>
    <w:link w:val="Objetducommentaire"/>
    <w:uiPriority w:val="99"/>
    <w:semiHidden/>
    <w:rsid w:val="00567164"/>
    <w:rPr>
      <w:rFonts w:ascii="Times New Roman" w:hAnsi="Times New Roman"/>
      <w:b/>
      <w:bCs/>
      <w:sz w:val="20"/>
      <w:szCs w:val="20"/>
    </w:rPr>
  </w:style>
  <w:style w:type="character" w:styleId="Lienhypertexte">
    <w:name w:val="Hyperlink"/>
    <w:basedOn w:val="Policepardfaut"/>
    <w:uiPriority w:val="99"/>
    <w:unhideWhenUsed/>
    <w:rsid w:val="000E75EC"/>
    <w:rPr>
      <w:color w:val="0563C1" w:themeColor="hyperlink"/>
      <w:u w:val="single"/>
    </w:rPr>
  </w:style>
  <w:style w:type="character" w:styleId="Mentionnonrsolue">
    <w:name w:val="Unresolved Mention"/>
    <w:basedOn w:val="Policepardfaut"/>
    <w:uiPriority w:val="99"/>
    <w:semiHidden/>
    <w:unhideWhenUsed/>
    <w:rsid w:val="000E7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8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s.aq/devAS/Ats/InspectionsDatabase?lang=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13</Pages>
  <Words>5090</Words>
  <Characters>28760</Characters>
  <Application>Microsoft Office Word</Application>
  <DocSecurity>0</DocSecurity>
  <Lines>479</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Raphaël Maurel</cp:lastModifiedBy>
  <cp:revision>28</cp:revision>
  <dcterms:created xsi:type="dcterms:W3CDTF">2020-02-13T10:01:00Z</dcterms:created>
  <dcterms:modified xsi:type="dcterms:W3CDTF">2020-05-08T08:48:00Z</dcterms:modified>
</cp:coreProperties>
</file>